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>
      <w:r>
        <w:t>Вывод о признаках преднамеренного банкротства: {{ВЫВОД_ПРЕДНАМЕРЕННОЕ}}.</w:t>
      </w:r>
    </w:p>
    <w:p>
      <w:r>
        <w:t>Вывод о признаках фиктивного банкротства: {{ВЫВОД_ФИКТИВНОЕ}}.</w:t>
      </w:r>
    </w:p>
    <w:p>
      <w:r>
        <w:t>Вывод об основаниях для оспаривания сделок: {{ВЫВОД_СДЕЛКИ}}.</w:t>
      </w:r>
    </w:p>
    <w:p>
      <w:r>
        <w:t>Вывод о достаточности имущества для покрытия судебных расходов и вознаграждения управляющего: {{ВЫВОД_ДОСТАТОЧНОСТЬ}}.</w:t>
      </w:r>
    </w:p>
    <w:p/>
    <w:p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