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Бывшему руководителю</w:t>
      </w:r>
    </w:p>
    <w:p>
      <w:pPr>
        <w:spacing w:after="0"/>
        <w:ind w:left="5102"/>
      </w:pPr>
      <w:r>
        <w:t>{{ДОЛЖНИК_НАИМЕНОВАНИЕ}}</w:t>
      </w:r>
    </w:p>
    <w:p>
      <w:pPr>
        <w:spacing w:after="0"/>
        <w:ind w:left="5102"/>
      </w:pPr>
      <w:r>
        <w:t>{{ФИО_РУКОВОДИТЕЛЯ}}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Требование о передаче документации, печатей, штампов и иных ценностей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течение 3 дней с даты утверждения конкурсного управляющего (конкурсный управляющий утверждён определением (решением) от {{ДАТА_УТВЕРЖДЕНИЯ_АУ}}) руководитель должника обязан передать ему бухгалтерскую и иную документацию, печати, штампы, материальные и иные ценности (п. 2 ст. 126 127-ФЗ).</w:t>
      </w:r>
    </w:p>
    <w:p/>
    <w:p>
      <w:r>
        <w:t>Прошу передать по акту приёма-передачи {{ДАТА_ПЕРЕДАЧИ}} по адресу {{АДРЕС_ПЕРЕДАЧИ}}:</w:t>
      </w:r>
    </w:p>
    <w:p>
      <w:r>
        <w:t>1. Учредительные документы и документы о регистрации.</w:t>
      </w:r>
    </w:p>
    <w:p>
      <w:r>
        <w:t>2. Бухгалтерскую и налоговую документацию за 3 года, базы учётных программ.</w:t>
      </w:r>
    </w:p>
    <w:p>
      <w:r>
        <w:t>3. Документы на имущество и имущество по описи.</w:t>
      </w:r>
    </w:p>
    <w:p>
      <w:r>
        <w:t>4. Договоры, первичные документы, документы по дебиторской задолженности.</w:t>
      </w:r>
    </w:p>
    <w:p>
      <w:r>
        <w:t>5. Печати, штампы, ключи ЭЦП и доступ к банк-клиентам.</w:t>
      </w:r>
    </w:p>
    <w:p>
      <w:r>
        <w:t>6. {{ИНЫЕ_ДОКУМЕНТЫ}}.</w:t>
      </w:r>
    </w:p>
    <w:p/>
    <w:p>
      <w:r>
        <w:t>Неисполнение влечёт истребование судом, ответственность по ч. 4 ст. 14.13 КоАП и презумпцию для субсидиарной ответственности (пп. 2 п. 2 ст. 61.11 127-ФЗ).</w:t>
      </w:r>
    </w:p>
    <w:p/>
    <w:p>
      <w:r>
        <w:t>Основание: п. 2 ст. 126 127-ФЗ.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