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Анализ финансового состояния {{ДОЛЖНИК_НАИМЕНОВАНИЕ}}</w:t>
      </w:r>
    </w:p>
    <w:p/>
    <w:p>
      <w:r>
        <w:t>дело № {{НОМЕР_ДЕЛА}}, {{СУД}}</w:t>
      </w:r>
    </w:p>
    <w:p>
      <w:r>
        <w:t>Анализируемый период: {{ПЕРИОД_С}} — {{ПЕРИОД_ПО}}.</w:t>
      </w:r>
    </w:p>
    <w:p>
      <w:r>
        <w:t>Источники: бухгалтерская отчётность, ответы на запросы, документы должника.</w:t>
      </w:r>
    </w:p>
    <w:p/>
    <w:p>
      <w:r>
        <w:t>1. Общие сведения о должнике и его деятельности: {{ОБЩИЕ_СВЕДЕНИЯ}}.</w:t>
      </w:r>
    </w:p>
    <w:p>
      <w:r>
        <w:t>2. Анализ внешних условий деятельности и рынков: {{ВНЕШНИЕ_УСЛОВИЯ}}.</w:t>
      </w:r>
    </w:p>
    <w:p>
      <w:r>
        <w:t>3. Коэффициенты финансово-хозяйственной деятельности (по Правилам № 367): платёжеспособность, финансовая устойчивость, деловая активность — {{КОЭФФИЦИЕНТЫ}}.</w:t>
      </w:r>
    </w:p>
    <w:p>
      <w:r>
        <w:t>4. Анализ активов и пассивов: {{АКТИВЫ_ПАССИВЫ}}.</w:t>
      </w:r>
    </w:p>
    <w:p>
      <w:r>
        <w:t>5. Вывод о возможности (невозможности) восстановления платёжеспособности: {{ВЫВОД_ПЛАТЁЖЕСПОСОБНОСТЬ}}.</w:t>
      </w:r>
    </w:p>
    <w:p>
      <w:r>
        <w:t>6. Вывод о достаточности имущества для покрытия судебных расходов и вознаграждения: {{ВЫВОД_ДОСТАТОЧНОСТЬ}}.</w:t>
      </w:r>
    </w:p>
    <w:p>
      <w:r>
        <w:t>7. Рекомендуемая процедура: {{РЕКОМЕНДУЕМАЯ_ПРОЦЕДУРА}}.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«__» __________ 20__ г.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