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Мероприятия процедуры выполнены: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 правила об освобождении от исполнения обязательств.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К отчёту прилагаются: документы о продаже имущества, реестр требований с указанием погашенных сумм.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