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Кому: {{ДЕБИТОР}}</w:t>
      </w:r>
    </w:p>
    <w:p>
      <w:r>
        <w:t>От: {{ФИО_УПРАВЛЯЮЩЕГО}}, {{ВИД_УПРАВЛЯЮЩЕГО}} {{ДОЛЖНИК_НАИМЕНОВАНИЕ}}, член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pPr>
        <w:jc w:val="center"/>
      </w:pPr>
      <w:r>
        <w:rPr>
          <w:b/>
          <w:sz w:val="28"/>
        </w:rPr>
        <w:t>Претензия о погашении задолженности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ОГРН/СНИЛС {{ДОЛЖНИК_ОГРН_СНИЛС}}, адрес: {{ДОЛЖНИК_АДРЕС}}) введена процедура {{ПРОЦЕДУРА}}, {{ВИД_УПРАВЛЯЮЩЕГО}} утверждён(а) {{ФИО_УПРАВЛЯЮЩЕГО}}.</w:t>
      </w:r>
    </w:p>
    <w:p/>
    <w:p>
      <w:r>
        <w:t>По данным учёта должника за Вами числится задолженность в размере {{СУММА}} руб. по {{ОСНОВАНИЕ_ДОЛГА}} (срок оплаты {{СРОК_ОПЛАТЫ}}).</w:t>
      </w:r>
    </w:p>
    <w:p/>
    <w:p>
      <w:r>
        <w:t>Конкурсный управляющий обязан принимать меры к взысканию задолженности третьих лиц перед должником (абз. 5 п. 2 ст. 129 127-ФЗ).</w:t>
      </w:r>
    </w:p>
    <w:p/>
    <w:p>
      <w:r>
        <w:t>Требую в течение 30 календарных дней с даты получения претензии перечислить {{СУММА}} руб. на основной счёт должника: {{РЕКВИЗИТЫ}}. В противном случае задолженность будет взыскана в судебном порядке с отнесением расходов и процентов по ст. 395 ГК РФ.</w:t>
      </w:r>
    </w:p>
    <w:p/>
    <w:p>
      <w:r>
        <w:t>Основание: ст. 129 127-ФЗ, ст. 309, 310 ГК РФ.</w:t>
      </w:r>
    </w:p>
    <w:p/>
    <w:p>
      <w:r>
        <w:t>Приложение: копия судебного акта об утверждении {{ВИД_УПРАВЛЯЮЩЕГО}}.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«__» __________ 20__ г.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