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{{НАИМЕНОВАНИЕ_БАНКА}}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признании гражданина банкротом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С даты признания гражданина банкротом все права в отношении имущества, составляющего конкурсную массу, в том числе на распоряжение денежными средствами на счетах и во вкладах, осуществляются только финансовым управляющим (п. 5, 6 ст. 213.25 127-ФЗ).</w:t>
      </w:r>
    </w:p>
    <w:p/>
    <w:p>
      <w:r>
        <w:t>Прошу:</w:t>
      </w:r>
    </w:p>
    <w:p>
      <w:r>
        <w:t>1. Не исполнять распоряжения гражданина по счетам без согласия финансового управляющего.</w:t>
      </w:r>
    </w:p>
    <w:p>
      <w:r>
        <w:t>2. Предоставить сведения об остатках и движении средств по всем счетам за 3 года.</w:t>
      </w:r>
    </w:p>
    <w:p>
      <w:r>
        <w:t>3. Перечислить остатки на счёт {{СПЕЦСЧЁТ_ИЛИ_ОСНОВНОЙ}} (за исключением сумм, исключённых из массы).</w:t>
      </w:r>
    </w:p>
    <w:p/>
    <w:p>
      <w:r>
        <w:t>Основание: п. 5, 6, 9 ст. 213.25 127-ФЗ.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