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Форма сообщения для ЕФРСБ (Федресурс) и, если требуется, газеты «Коммерсантъ»</w:t>
      </w:r>
    </w:p>
    <w:p/>
    <w:p>
      <w:pPr>
        <w:keepNext/>
        <w:jc w:val="center"/>
      </w:pPr>
      <w:r>
        <w:rPr>
          <w:b/>
          <w:sz w:val="28"/>
        </w:rPr>
        <w:t>Сообщение о введении процедуры банкротства</w:t>
      </w:r>
    </w:p>
    <w:p/>
    <w:p>
      <w:r>
        <w:t>{{ВИД_УПРАВЛЯЮЩЕГО}} {{ДОЛЖНИК_НАИМЕНОВАНИЕ}} {{ФИО_УПРАВЛЯЮЩЕГО}} (ИНН {{ИНН_УПРАВЛЯЮЩЕГО}}{{#if СНИЛС_АУ}}, СНИЛС {{СНИЛС_АУ}}{{/if}}, рег. номер в сводном реестре {{РЕГ_НОМЕР_АУ}}, адрес для корреспонденции: {{АДРЕС_АУ}}, тел. {{ТЕЛ_АУ}}, e-mail {{EMAIL_АУ}}), член СРО: {{СРО}} (ИНН {{ИНН_СРО}}, ОГРН {{ОГРН_СРО}}, адрес: {{АДРЕС_СРО}}) сообщает: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>
      <w:r>
        <w:t>дело № {{НОМЕР_ДЕЛА}}, {{СУД}}, судебный акт от {{ДАТА_СУДЕБНОГО_АКТА}}.</w:t>
      </w:r>
    </w:p>
    <w:p/>
    <w:p>
      <w:r>
        <w:t>Введена процедура: {{ПРОЦЕДУРА}}. Управляющим утверждён(а) {{ФИО_УПРАВЛЯЮЩЕГО}}.</w:t>
      </w:r>
    </w:p>
    <w:p>
      <w:r>
        <w:t>Требования кредиторов направляются по адресу: {{АДРЕС_АУ}} и в суд в срок {{СРОК_ПРЕДЪЯВЛЕНИЯ_ТРЕБОВАНИЙ}} с даты опубликования.</w:t>
      </w:r>
    </w:p>
    <w:p>
      <w:r>
        <w:t>Дата следующего судебного заседания: {{ДАТА_ЗАСЕДАНИЯ}}.</w:t>
      </w:r>
    </w:p>
    <w:p/>
    <w:p>
      <w:r>
        <w:t>Основание публикации: ст. 28 127-ФЗ.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