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Ходатайство о признании гражданина банкротом и введении процедуры реализации имущества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Основание для признания гражданина банкротом и введения процедуры реализации имущества: {{ПРИЧИНА}}.</w:t>
      </w:r>
    </w:p>
    <w:p>
      <w:r>
        <w:t>Доводы и доказательства: {{ДОВОДЫ}}.</w:t>
      </w:r>
    </w:p>
    <w:p/>
    <w:p>
      <w:r>
        <w:t>Прошу признать гражданина банкротом и ввести процедуру реализации имущества сроком на 6 месяцев.</w:t>
      </w:r>
    </w:p>
    <w:p/>
    <w:p>
      <w:pPr>
        <w:keepNext/>
        <w:keepLines/>
      </w:pPr>
      <w:r>
        <w:t>Правовое основание: п. 1 ст. 213.24 127-ФЗ.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Документ, подтверждающий направление копии лицам, участвующим в деле{{#if ПРИЛ_1_ЛИСТОВ}} на {{ПРИЛ_1_ЛИСТОВ}} л.{{/if}} в {{ПРИЛ_1_ЭКЗ}} экз.</w:t>
      </w:r>
    </w:p>
    <w:p>
      <w:pPr>
        <w:keepNext/>
        <w:keepLines/>
      </w:pPr>
      <w:r>
        <w:t>{{#if ИНЫЕ_ПРИЛОЖЕНИЯ}}2.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