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{{ФИО_СУПРУГА_СОСОБСТВЕННИКА}}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Имущество {{ОПИСАНИЕ_ИМУЩЕСТВА}}, принадлежащее на праве {{ВИД_ПРАВА}}, подлежит реализации в деле о банкротстве гражданина по правилам ст. 213.26 127-ФЗ. Вы вправе участвовать в рассмотрении вопросов, связанных с его реализацией.</w:t>
      </w:r>
    </w:p>
    <w:p>
      <w:r>
        <w:t>После реализации Вам будет выплачена часть средств, соответствующая Вашей доле (п. 7 ст. 213.26 127-ФЗ).</w:t>
      </w:r>
    </w:p>
    <w:p/>
    <w:p>
      <w:pPr>
        <w:keepNext/>
        <w:keepLines/>
      </w:pPr>
      <w:r>
        <w:t>Основание: п. 7 ст. 213.26 127-ФЗ.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