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получении отчёта об оценке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ОГРН/ОГРНИП {{ДОЛЖНИК_ОГРН}},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Получен отчёт об оценке № {{НОМЕР_ОТЧЁТА}} от {{ДАТА_ОТЧЁТА}}, оценщик {{ОЦЕНЩИК}}, член СРО оценщиков: {{СРО_ОЦЕНЩИКА}}.</w:t>
      </w:r>
    </w:p>
    <w:p>
      <w:r>
        <w:t>Объекты оценки и рыночная стоимость: {{ОБЪЕКТЫ_И_СТОИМОСТЬ}}.</w:t>
      </w:r>
    </w:p>
    <w:p>
      <w:r>
        <w:t>Отчёт прилагается к сообщению.</w:t>
      </w:r>
    </w:p>
    <w:p/>
    <w:p>
      <w:r>
        <w:t>Основание публикации: абз. 4 п. 1 ст. 130 127-ФЗ.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