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Исследуемый период: {{ПЕРИОД_С}} — {{ПЕРИОД_ПО}} (не менее 2 лет до возбуждения дела).</w:t>
      </w:r>
    </w:p>
    <w:p/>
    <w:p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r>
        <w:t>3. Вывод о наличии (отсутствии) признаков преднамеренного банкротства: {{ВЫВОД_ПРЕДНАМЕРЕННОЕ}}.</w:t>
      </w:r>
    </w:p>
    <w:p>
      <w:r>
        <w:t>4. Вывод о наличии (отсутствии) признаков фиктивного банкротства (на дату подачи заявления): {{ВЫВОД_ФИКТИВНОЕ}}.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