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{{ДОЛЖНИК_ИФНС_НАИМЕНОВАНИЕ}}</w:t>
      </w:r>
    </w:p>
    <w:p>
      <w:pPr>
        <w:spacing w:after="0"/>
        <w:ind w:left="5102"/>
      </w:pPr>
      <w:r>
        <w:t>Код {{ДОЛЖНИК_ИФНС_КОД}}</w:t>
      </w:r>
    </w:p>
    <w:p>
      <w:pPr>
        <w:spacing w:after="0"/>
        <w:ind w:left="5102"/>
      </w:pPr>
      <w:r>
        <w:t>{{ДОЛЖНИК_ИФНС_АДРЕС}}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налоговый орган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об открытых и закрытых счетах, бухгалтерскую (финансовую) отчётность за 3 года, сведения о задолженности, о долях участия в юридических лицах, о контрольно-кассовой технике, справки 2-НДФЛ/о доходах (для гражданина).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