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завершении конкурсного производства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Мероприятия конкурсного производства выполнены: имущество выявлено и реализовано ({{РЕЗУЛЬТАТ_РЕАЛИЗАЦИИ}}), расчёты с кредиторами произведены ({{ПРОЦЕНТ_ПОГАШЕНИЯ}}% требований), оспаривание сделок и субсидиарная ответственность: {{ИТОГ}}. Отчёт рассмотрен собранием кредиторов {{ДАТА_СОБРАНИЯ}}.</w:t>
      </w:r>
    </w:p>
    <w:p/>
    <w:p>
      <w:r>
        <w:t>Прошу:</w:t>
      </w:r>
    </w:p>
    <w:p>
      <w:r>
        <w:t>1. Приобщить отчёт конкурсного управляющего о результатах конкурсного производства.</w:t>
      </w:r>
    </w:p>
    <w:p>
      <w:r>
        <w:t>2. Завершить конкурсное производство в отношении должника.</w:t>
      </w:r>
    </w:p>
    <w:p/>
    <w:p>
      <w:r>
        <w:t>Правовое основание: ст. 147, 149 127-ФЗ.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ликвидационный баланс, документы о продаже имущества, реестр требований с указанием погашенных сумм, документ о передаче документов в архив, документ о представлении сведений в Социальный фонд.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