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взыскании убытков с контролирующих должника лиц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Действия (бездействие) ответчика, причинившие убытки должнику: {{ДЕЙСТВИЯ_ОТВЕТЧИКА}}.</w:t>
      </w:r>
    </w:p>
    <w:p>
      <w:r>
        <w:t>{{/each}}</w:t>
      </w:r>
    </w:p>
    <w:p/>
    <w:p>
      <w:r>
        <w:t>Размер убытков: {{РАЗМЕР_УБЫТКОВ}} руб. Расчёт: {{РАСЧЁТ_УБЫТКОВ}}.</w:t>
      </w:r>
    </w:p>
    <w:p/>
    <w:p>
      <w:r>
        <w:t>Причинная связь между действиями (бездействием) ответчиков и убытками должника: {{ПРИЧИННАЯ_СВЯЗЬ}}.</w:t>
      </w:r>
    </w:p>
    <w:p/>
    <w:p>
      <w:r>
        <w:t>Прошу:</w:t>
      </w:r>
    </w:p>
    <w:p>
      <w:r>
        <w:t>1. Взыскать с ответчика (ответчиков) в пользу должника убытки в размере {{РАЗМЕР_УБЫТКОВ}} руб. с зачислением в конкурсную массу.</w:t>
      </w:r>
    </w:p>
    <w:p>
      <w:r>
        <w:t>{{#if poshlina_deferral}}</w:t>
      </w:r>
    </w:p>
    <w:p>
      <w:r>
        <w:t>2.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61.20, п. 1 ст. 61.13 (если убытки причинены нарушением 127-ФЗ) 127-ФЗ, ст. 15, 53.1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