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>
      <w:r>
        <w:t>11. Вывод об основаниях для оспаривания сделок: {{ВЫВОД_СДЕЛКИ}}.</w:t>
      </w:r>
    </w:p>
    <w:p>
      <w:r>
        <w:t>12. Вывод о достаточности имущества для покрытия судебных расходов и вознаграждения управляющего: {{ВЫВОД_ДОСТАТОЧНОСТЬ}}, {{ОСНОВА_ДОСТАТОЧНОСТИ}}.</w:t>
      </w:r>
    </w:p>
    <w:p/>
    <w:p>
      <w:r>
        <w:t>Приложения: документы, подтверждающие сведения отчёта.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