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Бывшему 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течение 3 дней с даты утверждения конкурсного управляющего (конкурсный управляющий утверждён определением (решением) от {{ДАТА_УТВЕРЖДЕНИЯ_АУ}})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{{#if ИНЫЕ_ДОКУМЕНТЫ}}6. {{ИНЫЕ_ДОКУМЕНТЫ}}.{{/if}}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