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Конкурсному кредитору</w:t>
      </w:r>
    </w:p>
    <w:p>
      <w:pPr>
        <w:spacing w:after="0"/>
        <w:ind w:left="5102"/>
      </w:pPr>
      <w:r>
        <w:t>{{НАИМЕНОВАНИЕ_КРЕДИТОРА}}</w:t>
      </w:r>
    </w:p>
    <w:p>
      <w:pPr>
        <w:spacing w:after="0"/>
        <w:ind w:left="5102"/>
      </w:pPr>
      <w:r>
        <w:t>Уполномоченному органу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{{#each ВОПРОСЫ_ПОВЕСТКИ}}</w:t>
      </w:r>
    </w:p>
    <w:p>
      <w:r>
        <w:t>{{@number}}. {{ВОПРОС}}</w:t>
      </w:r>
    </w:p>
    <w:p>
      <w:r>
        <w:t>{{/each}}</w:t>
      </w:r>
    </w:p>
    <w:p/>
    <w:p>
      <w:r>
        <w:t>Регистрация участников с {{ВРЕМЯ_РЕГИСТРАЦИИ}}. Ознакомиться с материалами можно с {{ДАТА_ОЗНАКОМЛЕНИЯ_МАТЕРИАЛЫ}}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>
      <w:r>
        <w:t>{{#if absentee_voting}}</w:t>
      </w:r>
    </w:p>
    <w:p>
      <w:r>
        <w:t>Собрание проводится в форме заочного голосования (п. 7 ст. 213.8 127-ФЗ). К уведомлению прилагаются бюллетени для голосования. Заполненные бюллетени направляются по адресу: {{АДРЕС_ПРИЁМА_БЮЛЛЕТЕНЕЙ}}. Дата окончания приёма бюллетеней (дата проведения собрания): {{ДАТА_ОКОНЧАНИЯ_ПРИЁМА_БЮЛЛЕТЕНЕЙ}}; она не может быть установлена ранее чем через 30 дней с даты направления уведомления.</w:t>
      </w:r>
    </w:p>
    <w:p>
      <w:r>
        <w:t>Приложение: бюллетени для голосования.</w:t>
      </w:r>
    </w:p>
    <w:p>
      <w:r>
        <w:t>{{/if}}</w:t>
      </w:r>
    </w:p>
    <w:p/>
    <w:p>
      <w:r>
        <w:t>Основание: ст. 13, п. 5, 7 ст. 213.8 127-ФЗ.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