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признания гражданина банкротом и введения процедуры реализации имущества: {{ПРИЧИНА}}.</w:t>
      </w:r>
    </w:p>
    <w:p>
      <w:r>
        <w:t>Доводы и доказательства: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pPr>
        <w:keepNext/>
        <w:keepLines/>
      </w:pPr>
      <w:r>
        <w:t>Правовое основание: п. 1 ст. 213.24 127-ФЗ.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