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{{ДЕБИТОР}}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По данным учёта должника за Вами числится задолженность в размере {{СУММА}} руб. по {{ОСНОВАНИЕ_ДОЛГА}} (срок оплаты {{СРОК_ОПЛАТЫ}}).</w:t>
      </w:r>
    </w:p>
    <w:p/>
    <w:p>
      <w:r>
        <w:t>Конкурсный управляющий обязан принимать меры к взысканию задолженности третьих лиц перед должником (абз. 8 п. 2 ст. 129 127-ФЗ).</w:t>
      </w:r>
    </w:p>
    <w:p/>
    <w:p>
      <w:r>
        <w:t>Требую в течение 30 календарных дней с даты получения претензии перечислить {{СУММА}} руб. на основной счёт должника: {{РЕКВИЗИТЫ}}. В противном случае задолженность будет взыскана в судебном порядке с отнесением расходов и процентов по ст. 395 ГК РФ.</w:t>
      </w:r>
    </w:p>
    <w:p/>
    <w:p>
      <w:pPr>
        <w:keepNext/>
        <w:keepLines/>
      </w:pPr>
      <w:r>
        <w:t>Основание: ст. 129 127-ФЗ, ст. 309, 310 ГК РФ.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