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Заключение о наличии (отсутствии) признаков преднамеренного и фиктивного банкротства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Исследуемый период: {{ПЕРИОД_С}} — {{ПЕРИОД_ПО}} (не менее 2 лет до возбуждения дела).</w:t>
      </w:r>
    </w:p>
    <w:p>
      <w:pPr>
        <w:keepNext/>
        <w:keepLines/>
      </w:pPr>
    </w:p>
    <w:p>
      <w:pPr>
        <w:keepNext/>
        <w:keepLines/>
      </w:pPr>
      <w:r>
        <w:t>1. Анализ коэффициентов, характеризующих платёжеспособность, и выявление периодов их существенного ухудшения: {{КОЭФФИЦИЕНТЫ}}.</w:t>
      </w:r>
    </w:p>
    <w:p>
      <w:pPr>
        <w:keepNext/>
        <w:keepLines/>
      </w:pPr>
      <w:r>
        <w:t>2. Анализ сделок и действий органов управления в периоды ухудшения, не соответствующих рыночным условиям: {{СДЕЛКИ}}.</w:t>
      </w:r>
    </w:p>
    <w:p>
      <w:pPr>
        <w:keepNext/>
        <w:keepLines/>
      </w:pPr>
      <w:r>
        <w:t>3. Вывод о наличии (отсутствии) признаков преднамеренного банкротства: {{ВЫВОД_ПРЕДНАМЕРЕННОЕ}}.</w:t>
      </w:r>
    </w:p>
    <w:p>
      <w:pPr>
        <w:keepNext/>
        <w:keepLines/>
      </w:pPr>
      <w:r>
        <w:t>4. Вывод о наличии (отсутствии) признаков фиктивного банкротства (на дату подачи заявления): {{ВЫВОД_ФИКТИВНОЕ}}.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