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{{#if СУММА_ВЗЫСКАНИЯ}}Цена требования: {{СУММА_ВЗЫСКАНИЯ}} руб.{{/if}}</w:t>
      </w:r>
    </w:p>
    <w:p/>
    <w:p>
      <w:pPr>
        <w:keepNext/>
      </w:pPr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>
      <w:r>
        <w:t>{{#if poshlina_deferral}}</w:t>
      </w:r>
    </w:p>
    <w:p>
      <w:r>
        <w:t>3.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61.1, 61.2, 61.3, 61.8, 61.9 127-ФЗ, ст. 166, 167 ГК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ответчику {{ОТВЕТЧИК}} заказным письмом с уведомлением о вручении и иным лицам, участвующим в деле (п. 3 ст. 61.8 127-ФЗ; 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