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Бывшему 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передаче документации, печатей, штампов и иных ценностей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течение 3 дней с даты утверждения конкурсного управляющего (конкурсный управляющий утверждён определением (решением) от {{ДАТА_УТВЕРЖДЕНИЯ_АУ}})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6. {{ИНЫЕ_ДОКУМЕНТЫ}}.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r>
        <w:t>Основание: п. 2 ст. 126 127-ФЗ.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