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pPr>
        <w:keepNext/>
        <w:jc w:val="center"/>
      </w:pPr>
      <w:r>
        <w:rPr>
          <w:b/>
          <w:sz w:val="28"/>
        </w:rPr>
        <w:t>Ходатайство о завершении конкурсного производства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Мероприятия конкурсного производства выполнены: имущество выявлено и реализовано ({{РЕЗУЛЬТАТ_РЕАЛИЗАЦИИ}}), расчёты с кредиторами произведены ({{ПРОЦЕНТ_ПОГАШЕНИЯ}}% требований), оспаривание сделок и субсидиарная ответственность: {{ИТОГ}}. Отчёт рассмотрен собранием кредиторов {{ДАТА_СОБРАНИЯ}}.</w:t>
      </w:r>
    </w:p>
    <w:p/>
    <w:p>
      <w:pPr>
        <w:keepNext/>
      </w:pPr>
      <w:r>
        <w:t>Прошу:</w:t>
      </w:r>
    </w:p>
    <w:p>
      <w:r>
        <w:t>1. Приобщить отчёт конкурсного управляющего о результатах конкурсного производства.</w:t>
      </w:r>
    </w:p>
    <w:p>
      <w:r>
        <w:t>2. Завершить конкурсное производство в отношении должника.</w:t>
      </w:r>
    </w:p>
    <w:p/>
    <w:p>
      <w:r>
        <w:t>Правовое основание: ст. 147, 149 127-ФЗ.</w:t>
      </w:r>
    </w:p>
    <w:p/>
    <w:p>
      <w:pPr>
        <w:keepNext/>
      </w:pPr>
      <w:r>
        <w:t>К отчёту прилагаются: ликвидационный баланс, документы о продаже имущества, реестр требований с указанием погашенных сумм, документ о передаче документов в архив, документ о представлении сведений в Социальный фонд.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  <w:keepLines/>
      </w:pPr>
      <w:r>
        <w:t>1. Документ, подтверждающий направление копии лицам, участвующим в деле{{#if ПРИЛ_1_ЛИСТОВ}} на {{ПРИЛ_1_ЛИСТОВ}} л.{{/if}} в {{ПРИЛ_1_ЭКЗ}} экз.</w:t>
      </w:r>
    </w:p>
    <w:p>
      <w:pPr>
        <w:keepNext/>
        <w:keepLines/>
      </w:pPr>
      <w:r>
        <w:t>{{#if ИНЫЕ_ПРИЛОЖЕНИЯ}}2. {{ИНЫЕ_ПРИЛОЖЕНИЯ}}{{/if}}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