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{{ОРГАН_ИЛИ_БАНК}}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сведений об имуществе супруга должника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Имущество, являющееся общей собственностью супругов, подлежит реализации в деле о банкротстве гражданина (п. 7 ст. 213.26 127-ФЗ). Финансовый управляющий вправе получать сведения об имуществе супруга (бывшего супруга) должника.</w:t>
      </w:r>
    </w:p>
    <w:p/>
    <w:p>
      <w:r>
        <w:t>Супруг (бывший супруг): {{ФИО_СУПРУГА}}, дата рождения {{ДР_СУПРУГА}}, брак зарегистрирован {{ДАТА_БРАКА}}{{РАСТОРГНУТ}}.</w:t>
      </w:r>
    </w:p>
    <w:p/>
    <w:p>
      <w:r>
        <w:t>Прошу представить сведения об имуществе, зарегистрированном (приобретённом) на имя супруга в период брака и за 3 года после его расторжения.</w:t>
      </w:r>
    </w:p>
    <w:p/>
    <w:p>
      <w:r>
        <w:t>Основание: п. 7 ст. 213.9 127-ФЗ.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