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Кому: {{НАИМЕНОВАНИЕ_КРЕДИТОРА}}</w:t>
      </w:r>
    </w:p>
    <w:p>
      <w:r>
        <w:t>От: {{ФИО_УПРАВЛЯЮЩЕГО}}, {{ВИД_УПРАВЛЯЮЩЕГО}} {{ДОЛЖНИК_НАИМЕНОВАНИЕ}}, член СРО: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Исх. № {{ИСХ_НОМЕР}} от {{ДАТА}}</w:t>
      </w:r>
    </w:p>
    <w:p/>
    <w:p>
      <w:pPr>
        <w:jc w:val="center"/>
      </w:pPr>
      <w:r>
        <w:rPr>
          <w:b/>
          <w:sz w:val="28"/>
        </w:rPr>
        <w:t>Уведомление о введении процедуры банкротства гражданина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{{ДОЛЖНИК_ИНН}}, ОГРН/СНИЛС {{ДОЛЖНИК_ОГРН_СНИЛС}}, адрес: {{ДОЛЖНИК_АДРЕС}}) введена процедура банкротства: {{ПРОЦЕДУРА}}; управляющим утверждён(а) {{ФИО_УПРАВЛЯЮЩЕГО}}.</w:t>
      </w:r>
    </w:p>
    <w:p/>
    <w:p>
      <w:r>
        <w:t>Требования кредиторов предъявляются в течение двух месяцев с даты опубликования сообщения о введении процедуры в ЕФРСБ (п. 2 ст. 213.8, п. 4 ст. 213.24 127-ФЗ).</w:t>
      </w:r>
    </w:p>
    <w:p>
      <w:r>
        <w:t>Сообщение ЕФРСБ № {{НОМЕР_СООБЩЕНИЯ_ЕФРСБ}} от {{ДАТА_СООБЩЕНИЯ}}.</w:t>
      </w:r>
    </w:p>
    <w:p/>
    <w:p>
      <w:r>
        <w:t>Основание: п. 8 ст. 213.9 127-ФЗ.</w:t>
      </w:r>
    </w:p>
    <w:p/>
    <w:p>
      <w:r>
        <w:t>Приложение: копия судебного акта о введении процедуры и утверждении управляющего.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{{ДАТА}}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