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Форма сообщения для ЕФРСБ (Федресурс) и, если требуется, газеты «Коммерсантъ»</w:t>
      </w:r>
    </w:p>
    <w:p/>
    <w:p>
      <w:pPr>
        <w:keepNext/>
        <w:jc w:val="center"/>
      </w:pPr>
      <w:r>
        <w:rPr>
          <w:b/>
          <w:sz w:val="28"/>
        </w:rPr>
        <w:t>Сообщение о получении отчёта об оценке</w:t>
      </w:r>
    </w:p>
    <w:p/>
    <w:p>
      <w:r>
        <w:t>{{ВИД_УПРАВЛЯЮЩЕГО}} {{ДОЛЖНИК_НАИМЕНОВАНИЕ}} {{ФИО_УПРАВЛЯЮЩЕГО}} (ИНН {{ИНН_УПРАВЛЯЮЩЕГО}}{{#if СНИЛС_АУ}}, СНИЛС {{СНИЛС_АУ}}{{/if}}, рег. номер в сводном реестре {{РЕГ_НОМЕР_АУ}}, адрес для корреспонденции: {{АДРЕС_АУ}}, тел. {{ТЕЛ_АУ}}, e-mail {{EMAIL_АУ}}), член СРО: {{СРО}} (ИНН {{ИНН_СРО}}, ОГРН {{ОГРН_СРО}}, адрес: {{АДРЕС_СРО}}) сообщает: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>
      <w:r>
        <w:t>дело № {{НОМЕР_ДЕЛА}}, {{СУД}}, судебный акт от {{ДАТА_СУДЕБНОГО_АКТА}}.</w:t>
      </w:r>
    </w:p>
    <w:p/>
    <w:p>
      <w:r>
        <w:t>Получен отчёт об оценке № {{НОМЕР_ОТЧЁТА}} от {{ДАТА_ОТЧЁТА}}, оценщик {{ОЦЕНЩИК}}, член СРО оценщиков: {{СРО_ОЦЕНЩИКА}}.</w:t>
      </w:r>
    </w:p>
    <w:p>
      <w:r>
        <w:t>Объекты оценки и рыночная стоимость: {{ОБЪЕКТЫ_И_СТОИМОСТЬ}}.</w:t>
      </w:r>
    </w:p>
    <w:p>
      <w:r>
        <w:t>Отчёт прилагается к сообщению.</w:t>
      </w:r>
    </w:p>
    <w:p/>
    <w:p>
      <w:r>
        <w:t>Основание публикации: абз. 4 п. 1 ст. 130 127-ФЗ.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