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Форма сообщения для ЕФРСБ (Федресурс) и, если требуется, газеты «Коммерсантъ»</w:t>
      </w:r>
    </w:p>
    <w:p/>
    <w:p>
      <w:pPr>
        <w:keepNext/>
        <w:jc w:val="center"/>
      </w:pPr>
      <w:r>
        <w:rPr>
          <w:b/>
          <w:sz w:val="28"/>
        </w:rPr>
        <w:t>Сообщение о проведении торгов</w:t>
      </w:r>
    </w:p>
    <w:p/>
    <w:p>
      <w:r>
        <w:t>{{ВИД_УПРАВЛЯЮЩЕГО}} {{ДОЛЖНИК_НАИМЕНОВАНИЕ}} {{ФИО_УПРАВЛЯЮЩЕГО}} (ИНН {{ИНН_УПРАВЛЯЮЩЕГО}}{{#if СНИЛС_АУ}}, СНИЛС {{СНИЛС_АУ}}{{/if}}, рег. номер в сводном реестре {{РЕГ_НОМЕР_АУ}}, адрес для корреспонденции: {{АДРЕС_АУ}}, тел. {{ТЕЛ_АУ}}, e-mail {{EMAIL_АУ}}), член СРО: {{СРО}} (ИНН {{ИНН_СРО}}, ОГРН {{ОГРН_СРО}}, адрес: {{АДРЕС_СРО}}) сообщает: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дело № {{НОМЕР_ДЕЛА}}, {{СУД}}, судебный акт от {{ДАТА_СУДЕБНОГО_АКТА}}.</w:t>
      </w:r>
    </w:p>
    <w:p/>
    <w:p>
      <w:r>
        <w:t>Организатор торгов: {{ОРГАНИЗАТОР}}. Электронная площадка: {{ЭТП}}.</w:t>
      </w:r>
    </w:p>
    <w:p>
      <w:r>
        <w:t>Лот № {{НОМЕР_ЛОТА}}: {{ОПИСАНИЕ_ЛОТА}}; начальная цена {{НАЧАЛЬНАЯ_ЦЕНА}} руб.; шаг {{ШАГ}}%; задаток {{ЗАДАТОК}}%.</w:t>
      </w:r>
    </w:p>
    <w:p>
      <w:r>
        <w:t>Приём заявок с {{ДАТА_НАЧАЛА_ЗАЯВОК}} по {{ДАТА_ОКОНЧАНИЯ_ЗАЯВОК}} (не менее 25 рабочих дней). Дата и время торгов: {{ДАТА_ТОРГОВ}}.</w:t>
      </w:r>
    </w:p>
    <w:p>
      <w:r>
        <w:t>Порядок ознакомления с имуществом: {{ОЗНАКОМЛЕНИЕ}}.</w:t>
      </w:r>
    </w:p>
    <w:p>
      <w:r>
        <w:t>Требования к заявке и документы: п. 11 ст. 110 127-ФЗ.</w:t>
      </w:r>
    </w:p>
    <w:p>
      <w:r>
        <w:t>Порядок определения победителя, срок заключения и проект договора, сроки платежей и реквизиты: {{УСЛОВИЯ}}.</w:t>
      </w:r>
    </w:p>
    <w:p/>
    <w:p>
      <w:r>
        <w:t>Основание публикации: п. 9, 10 ст. 110 127-ФЗ.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