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Собранию кредиторов (комитету кредиторов) гражданина {{ДОЛЖНИК_НАИМЕНОВАНИЕ}}</w:t>
      </w:r>
    </w:p>
    <w:p>
      <w:r>
        <w:t>дело № {{НОМЕР_ДЕЛА}}, {{СУД}}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pPr>
        <w:keepNext/>
        <w:jc w:val="center"/>
      </w:pPr>
      <w:r>
        <w:rPr>
          <w:b/>
          <w:sz w:val="28"/>
        </w:rPr>
        <w:t>Предложение о порядке, об условиях и о сроках реализации имущества гражданина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Опись имущества гражданина окончена {{ДАТА_ОКОНЧАНИЯ_ИНВЕНТАРИЗАЦИИ}}, оценка имущества завершена {{ДАТА_ОКОНЧАНИЯ_ОЦЕНКИ}} (решение финансового управляющего или отчёт оценщика): {{ОЦЕНКА}}.</w:t>
      </w:r>
    </w:p>
    <w:p>
      <w:r>
        <w:t>Предлагаемый порядок реализации: {{ПОРЯДОК}} (торги на ЭТП {{ЭТП}}, начальная цена {{НАЧАЛЬНАЯ_ЦЕНА}} руб.).</w:t>
      </w:r>
    </w:p>
    <w:p/>
    <w:p>
      <w:r>
        <w:t>Представляю для утверждения проект положения о порядке, об условиях и о сроках реализации имущества гражданина с указанием начальной цены продажи имущества (абз. 1 п. 1 ст. 213.26 127-ФЗ).</w:t>
      </w:r>
    </w:p>
    <w:p/>
    <w:p>
      <w:pPr>
        <w:keepNext/>
      </w:pPr>
      <w:r>
        <w:t>Лица, участвующие в деле о банкротстве, вправе в течение двух месяцев с даты включения в ЕФРСБ сведений об утверждённом положении обратиться в арбитражный суд с заявлением о разногласиях (абз. 4 п. 1 ст. 213.26 127-ФЗ).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Проект положения о порядке, об условиях и о сроках реализации имущества гражданина{{#if ПРИЛ_1_ЛИСТОВ}} на {{ПРИЛ_1_ЛИСТОВ}} л.{{/if}} в {{ПРИЛ_1_ЭКЗ}} экз.</w:t>
      </w:r>
    </w:p>
    <w:p>
      <w:pPr>
        <w:keepNext/>
        <w:keepLines/>
      </w:pPr>
      <w:r>
        <w:t>2. Документы об оценке имущества{{#if ПРИЛ_2_ЛИСТОВ}} на {{ПРИЛ_2_ЛИСТОВ}} л.{{/if}} в {{ПРИЛ_2_ЭКЗ}}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