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{{ДОЛЖНИК_ИФНС_НАИМЕНОВАНИЕ}}</w:t>
      </w:r>
    </w:p>
    <w:p>
      <w:pPr>
        <w:spacing w:after="0"/>
        <w:ind w:left="5102"/>
      </w:pPr>
      <w:r>
        <w:t>Код {{ДОЛЖНИК_ИФНС_КОД}}</w:t>
      </w:r>
    </w:p>
    <w:p>
      <w:pPr>
        <w:spacing w:after="0"/>
        <w:ind w:left="5102"/>
      </w:pPr>
      <w:r>
        <w:t>{{ДОЛЖНИК_ИФНС_АДРЕС}}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сведения об открытых и закрытых счетах, бухгалтерскую (финансовую) отчётность за 3 года, сведения о задолженности, о долях участия в юридических лицах, о контрольно-кассовой технике, справки 2-НДФЛ/о доходах (для гражданина).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pPr>
        <w:keepNext/>
        <w:keepLines/>
      </w:pPr>
      <w:r>
        <w:t>Основание: п. 1 ст. 20.3 Федерального закона от 26.10.2002 № 127-ФЗ «О несостоятельности (банкротстве)».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