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8"/>
        </w:rPr>
        <w:t>Инвентаризационная опись имущества {{ДОЛЖНИК_НАИМЕНОВАНИЕ}} № {{НОМЕР_ОПИСИ}}</w:t>
      </w:r>
    </w:p>
    <w:p/>
    <w:p>
      <w:r>
        <w:t>дело № {{НОМЕР_ДЕЛА}}, {{СУД}}</w:t>
      </w:r>
    </w:p>
    <w:p>
      <w:r>
        <w:t>Место составления: {{МЕСТО_СОСТАВЛЕНИЯ}}.</w:t>
      </w:r>
    </w:p>
    <w:p>
      <w:r>
        <w:t>Дата начала: {{ДАТА_НАЧАЛА}}, дата окончания: {{ДАТА_ОКОНЧАНИЯ}}.</w:t>
      </w:r>
    </w:p>
    <w:p>
      <w:r>
        <w:t>Основание: {{ПРИКАЗ_О_ИНВЕНТАРИЗАЦИИ}}.</w:t>
      </w:r>
    </w:p>
    <w:p>
      <w:pPr>
        <w:keepNext/>
      </w:pPr>
      <w:r>
        <w:t>Комиссия: {{СОСТАВ_КОМИССИИ}}.</w:t>
      </w:r>
    </w:p>
    <w:p/>
    <w:tbl>
      <w:tblPr>
        <w:tblStyle w:val="TableGrid"/>
        <w:tblW w:type="dxa" w:w="1457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928"/>
        <w:gridCol w:w="1134"/>
        <w:gridCol w:w="624"/>
        <w:gridCol w:w="1361"/>
        <w:gridCol w:w="1417"/>
        <w:gridCol w:w="964"/>
        <w:gridCol w:w="1247"/>
        <w:gridCol w:w="1077"/>
        <w:gridCol w:w="1928"/>
        <w:gridCol w:w="964"/>
        <w:gridCol w:w="147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Инв./кад. номер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Кол-во фактически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Стоимость фактически, руб.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Кол-во по данным учёта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Стоимость по данным учёта, руб.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Наличие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Обременения (залогодержатель)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В залоге (да/нет)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Примечание (причина расхождения)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{{ОБЪЕКТ}}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{{НОМЕР}}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{{ЕД}}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{{КОЛ}}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{{СТОИМОСТЬ}}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{{КОЛ_ПО_УЧЁТУ}}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{{СТОИМОСТЬ_ПО_УЧЁТУ}}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{{НАЛИЧИЕ}}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{{ОБРЕМЕНЕНИЯ}}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{{В_ЗАЛОГЕ}}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{{ПРИМЕЧАНИЕ}}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left"/>
            </w:pPr>
          </w:p>
        </w:tc>
        <w:tc>
          <w:tcPr>
            <w:tcW w:type="dxa" w:w="624"/>
          </w:tcPr>
          <w:p>
            <w:pPr>
              <w:spacing w:after="0"/>
              <w:jc w:val="center"/>
            </w:pPr>
          </w:p>
        </w:tc>
        <w:tc>
          <w:tcPr>
            <w:tcW w:type="dxa" w:w="1361"/>
          </w:tcPr>
          <w:p>
            <w:pPr>
              <w:spacing w:after="0"/>
              <w:jc w:val="right"/>
            </w:pPr>
          </w:p>
        </w:tc>
        <w:tc>
          <w:tcPr>
            <w:tcW w:type="dxa" w:w="1417"/>
          </w:tcPr>
          <w:p>
            <w:pPr>
              <w:spacing w:after="0"/>
              <w:jc w:val="right"/>
            </w:pPr>
          </w:p>
        </w:tc>
        <w:tc>
          <w:tcPr>
            <w:tcW w:type="dxa" w:w="964"/>
          </w:tcPr>
          <w:p>
            <w:pPr>
              <w:spacing w:after="0"/>
              <w:jc w:val="right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077"/>
          </w:tcPr>
          <w:p>
            <w:pPr>
              <w:spacing w:after="0"/>
              <w:jc w:val="center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964"/>
          </w:tcPr>
          <w:p>
            <w:pPr>
              <w:spacing w:after="0"/>
              <w:jc w:val="center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</w:tr>
    </w:tbl>
    <w:p/>
    <w:p>
      <w:r>
        <w:t>Итого: {{ИТОГО}} руб.</w:t>
      </w:r>
    </w:p>
    <w:p/>
    <w:p>
      <w:r>
        <w:t>Сведения о результатах инвентаризации включаются в ЕФРСБ в течение 3 рабочих дней с даты её окончания (абз. 3 п. 2 ст. 129 127-ФЗ).</w:t>
      </w:r>
    </w:p>
    <w:p/>
    <w:p>
      <w:pPr>
        <w:keepNext/>
        <w:keepLines/>
      </w:pPr>
      <w:r>
        <w:t>Члены комиссии: ______________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