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{{НАИМЕНОВАНИЕ_БАНКА}}</w:t>
      </w:r>
    </w:p>
    <w:p>
      <w:r>
        <w:t>От: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соответствии со ст. 133 127-ФЗ конкурсный управляющий использует только один счёт должника в кредитной организации (основной счёт). Иные известные счета подлежат закрытию, а остатки — перечислению на основной счёт.</w:t>
      </w:r>
    </w:p>
    <w:p/>
    <w:p>
      <w:r>
        <w:t>Прошу:</w:t>
      </w:r>
    </w:p>
    <w:p>
      <w:r>
        <w:t>1. {{ОТКРЫТЬ_ИСПОЛЬЗОВАТЬ}} счёт № {{НОМЕР_ОСНОВНОГО_СЧЁТА}} в качестве основного счёта должника.</w:t>
      </w:r>
    </w:p>
    <w:p>
      <w:r>
        <w:t>2. Закрыть счета № {{НОМЕРА_СЧЕТОВ}} и перечислить остатки на основной счёт.</w:t>
      </w:r>
    </w:p>
    <w:p>
      <w:r>
        <w:t>3. Прекратить исполнение ранее выданных доверенностей и права подписи прежних лиц, доступ к системе «Банк-клиент».</w:t>
      </w:r>
    </w:p>
    <w:p>
      <w:r>
        <w:t>4. Принять образец подписи конкурсного управляющего.</w:t>
      </w:r>
    </w:p>
    <w:p/>
    <w:p>
      <w:r>
        <w:t>Основание: ст. 133 127-ФЗ.</w:t>
      </w:r>
    </w:p>
    <w:p/>
    <w:p>
      <w:r>
        <w:t>Приложение: копия судебного акта о введении процедуры и утверждении управляющего.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{{ДАТА}}</w:t>
      </w:r>
    </w:p>
    <w:p/>
    <w:p>
      <w:r>
        <w:t>{{#if executor_mark}}</w:t>
      </w:r>
    </w:p>
    <w:p>
      <w:r>
        <w:t>Исп.: {{ИСПОЛНИТЕЛЬ_ФИО}}{{#if ИСПОЛНИТЕЛЬ_ТЕЛЕФОН}}, тел. {{ИСПОЛНИТЕЛЬ_ТЕЛЕФОН}}{{/if}}</w:t>
      </w:r>
    </w:p>
    <w:p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