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введении процедуры банкротства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Введена процедура: {{ПРОЦЕДУРА}}. Управляющим утверждён(а) {{ФИО_УПРАВЛЯЮЩЕГО}}.</w:t>
      </w:r>
    </w:p>
    <w:p>
      <w:r>
        <w:t>Требования кредиторов направляются по адресу: {{АДРЕС_АУ}} и в суд в срок {{СРОК_ПРЕДЪЯВЛЕНИЯ_ТРЕБОВАНИЙ}} с даты опубликования.</w:t>
      </w:r>
    </w:p>
    <w:p>
      <w:r>
        <w:t>Дата следующего судебного заседания: {{ДАТА_ЗАСЕДАНИЯ}}.</w:t>
      </w:r>
    </w:p>
    <w:p/>
    <w:p>
      <w:r>
        <w:t>Основание публикации: ст. 28 127-ФЗ.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