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Положение о порядке, сроках и условиях продажи имущества {{ДОЛЖНИК_НАИМЕНОВАНИЕ}}</w:t>
      </w:r>
    </w:p>
    <w:p/>
    <w:p>
      <w:r>
        <w:t>дело № {{НОМЕР_ДЕЛА}}, {{СУД}}</w:t>
      </w:r>
    </w:p>
    <w:p/>
    <w:p>
      <w:r>
        <w:t>1. Состав имущества (лоты) и начальная цена: {{ЛОТЫ}} (основание — отчёт об оценке № {{НОМЕР_ОТЧЁТА}} либо решение управляющего).</w:t>
      </w:r>
    </w:p>
    <w:p>
      <w:r>
        <w:t>2. Организатор торгов: {{ОРГАНИЗАТОР}}; электронная площадка: {{ЭТП}}.</w:t>
      </w:r>
    </w:p>
    <w:p>
      <w:r>
        <w:t>3. Форма торгов: открытый аукцион с открытой формой подачи предложений о цене; шаг аукциона {{ШАГ}}% (от 5 до 10%).</w:t>
      </w:r>
    </w:p>
    <w:p>
      <w:r>
        <w:t>4. Задаток: {{ЗАДАТОК}}% от начальной цены (не более 20%), реквизиты счёта: {{СЧЁТ_ЗАДАТКОВ}}.</w:t>
      </w:r>
    </w:p>
    <w:p>
      <w:r>
        <w:t>5. Повторные торги: начальная цена ниже на 10%.</w:t>
      </w:r>
    </w:p>
    <w:p>
      <w:r>
        <w:t>6. Публичное предложение: снижение цены на {{СНИЖЕНИЕ}}% каждые {{ПЕРИОД_ДНЕЙ}} дней до цены отсечения {{ЦЕНА_ОТСЕЧЕНИЯ}}.</w:t>
      </w:r>
    </w:p>
    <w:p>
      <w:r>
        <w:t>7. Порядок заключения договора и оплаты: в течение 5 дней с даты протокола направляется предложение, оплата в течение 30 дней.</w:t>
      </w:r>
    </w:p>
    <w:p>
      <w:r>
        <w:t>8. Особенности продажи залогового имущества (ст. 138): {{ЗАЛОГ}}.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