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>
      <w:r>
        <w:t>{{#if poshlina_deferral}}</w:t>
      </w:r>
    </w:p>
    <w:p>
      <w:r>
        <w:t>3.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61.1, 61.2, 61.3, 61.8, 61.9 127-ФЗ, ст. 166, 167 ГК РФ.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ответчику {{ОТВЕТЧИК}} заказным письмом с уведомлением о вручении и иным лицам, участвующим в деле (п. 3 ст. 61.8 127-ФЗ; 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4.1.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4.1. Документы об остатке денежных средств на счетах должника.</w:t>
      </w:r>
    </w:p>
    <w:p>
      <w:r>
        <w:t>{{/if}}</w:t>
      </w:r>
    </w:p>
    <w:p>
      <w:r>
        <w:t>{{#if ИНЫЕ_ПРИЛОЖЕНИЯ}}5.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