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5×5 AI Mesh</w:t>
        <w:br/>
        <w:t>路由与双 lane 实验结论</w:t>
      </w:r>
    </w:p>
    <w:p>
      <w:r>
        <w:rPr>
          <w:color w:val="536477"/>
          <w:sz w:val="18"/>
        </w:rPr>
        <w:t>数据快照：2026-09-09 11:10:01+08:00（北京时间）；正式负载 16 MiB/core。</w:t>
      </w:r>
    </w:p>
    <w:p>
      <w:pPr>
        <w:pStyle w:val="Heading1"/>
      </w:pPr>
      <w:r>
        <w:t>1. 配置结论：C 组的已测带宽最好</w:t>
      </w:r>
    </w:p>
    <w:p>
      <w:r/>
      <w:r>
        <w:rPr>
          <w:b/>
          <w:color w:val="087F5B"/>
        </w:rPr>
        <w:t>C 组</w:t>
      </w:r>
      <w:r>
        <w:t>采用双 lane、读 XY / 写 YX，FIFO 深度为 [4,8,4,4,8]，outstanding 数量为 32。按现有实验各自最高稳态带宽比较，</w:t>
      </w:r>
      <w:r>
        <w:rPr>
          <w:b/>
          <w:color w:val="087F5B"/>
        </w:rPr>
        <w:t>C 组</w:t>
      </w:r>
      <w:r>
        <w:t>的纯读、纯写和混合结果均最好。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247"/>
        <w:gridCol w:w="3969"/>
        <w:gridCol w:w="3798"/>
      </w:tblGrid>
      <w:tr>
        <w:trPr>
          <w:tblHeader/>
          <w:cantSplit/>
        </w:trPr>
        <w:tc>
          <w:tcPr>
            <w:tcW w:type="dxa" w:w="96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124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物理 lane</w:t>
            </w:r>
          </w:p>
        </w:tc>
        <w:tc>
          <w:tcPr>
            <w:tcW w:type="dxa" w:w="3969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798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已测范围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 lane</w:t>
            </w:r>
          </w:p>
        </w:tc>
        <w:tc>
          <w:tcPr>
            <w:tcW w:type="dxa" w:w="3969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读写全 XY</w:t>
            </w:r>
          </w:p>
        </w:tc>
        <w:tc>
          <w:tcPr>
            <w:tcW w:type="dxa" w:w="3798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纯读、纯写、混合及深度搜索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2EC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7B4AB4"/>
                <w:sz w:val="18"/>
              </w:rPr>
              <w:t>B 组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双 lane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读写全 XY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仅纯读；写与混合未测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双 lane</w:t>
            </w:r>
          </w:p>
        </w:tc>
        <w:tc>
          <w:tcPr>
            <w:tcW w:type="dxa" w:w="3969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 XY；AW/W 写 YX；B 返回 XY</w:t>
            </w:r>
          </w:p>
        </w:tc>
        <w:tc>
          <w:tcPr>
            <w:tcW w:type="dxa" w:w="3798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纯读、纯写、混合；深度搜索未完成</w:t>
            </w:r>
          </w:p>
        </w:tc>
      </w:tr>
    </w:tbl>
    <w:p>
      <w:pPr>
        <w:spacing w:after="0"/>
      </w:pPr>
    </w:p>
    <w:p>
      <w:pPr>
        <w:pStyle w:val="Heading2"/>
      </w:pPr>
      <w:r>
        <w:t>C 组比 A、B 组提升多少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247"/>
        <w:gridCol w:w="1247"/>
        <w:gridCol w:w="1247"/>
        <w:gridCol w:w="2324"/>
        <w:gridCol w:w="2324"/>
      </w:tblGrid>
      <w:tr>
        <w:trPr>
          <w:tblHeader/>
          <w:cantSplit/>
        </w:trPr>
        <w:tc>
          <w:tcPr>
            <w:tcW w:type="dxa" w:w="1020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负载</w:t>
            </w:r>
          </w:p>
        </w:tc>
        <w:tc>
          <w:tcPr>
            <w:tcW w:type="dxa" w:w="1247"/>
            <w:vAlign w:val="center"/>
            <w:shd w:fill="245BB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A 组</w:t>
              <w:br/>
              <w:t>GB/s</w:t>
            </w:r>
          </w:p>
        </w:tc>
        <w:tc>
          <w:tcPr>
            <w:tcW w:type="dxa" w:w="1247"/>
            <w:vAlign w:val="center"/>
            <w:shd w:fill="7B4AB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B 组</w:t>
              <w:br/>
              <w:t>GB/s</w:t>
            </w:r>
          </w:p>
        </w:tc>
        <w:tc>
          <w:tcPr>
            <w:tcW w:type="dxa" w:w="1247"/>
            <w:vAlign w:val="center"/>
            <w:shd w:fill="087F5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C 组</w:t>
              <w:br/>
              <w:t>GB/s</w:t>
            </w:r>
          </w:p>
        </w:tc>
        <w:tc>
          <w:tcPr>
            <w:tcW w:type="dxa" w:w="232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C 比 A</w:t>
              <w:br/>
              <w:t>稳态带宽提升</w:t>
            </w:r>
          </w:p>
        </w:tc>
        <w:tc>
          <w:tcPr>
            <w:tcW w:type="dxa" w:w="232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C 比 B</w:t>
              <w:br/>
              <w:t>稳态带宽提升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纯读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365.33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451.05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455.08</w:t>
            </w:r>
          </w:p>
        </w:tc>
        <w:tc>
          <w:tcPr>
            <w:tcW w:type="dxa" w:w="23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+24.57%</w:t>
            </w:r>
          </w:p>
        </w:tc>
        <w:tc>
          <w:tcPr>
            <w:tcW w:type="dxa" w:w="23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+0.89%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纯写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185.48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未测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396.49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+113.77%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B 未测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混合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286.82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未测</w:t>
            </w:r>
          </w:p>
        </w:tc>
        <w:tc>
          <w:tcPr>
            <w:tcW w:type="dxa" w:w="124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639.68</w:t>
            </w:r>
          </w:p>
        </w:tc>
        <w:tc>
          <w:tcPr>
            <w:tcW w:type="dxa" w:w="23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+123.02%</w:t>
            </w:r>
          </w:p>
        </w:tc>
        <w:tc>
          <w:tcPr>
            <w:tcW w:type="dxa" w:w="23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B 未测</w:t>
            </w:r>
          </w:p>
        </w:tc>
      </w:tr>
    </w:tbl>
    <w:p>
      <w:pPr>
        <w:spacing w:after="0"/>
      </w:pPr>
    </w:p>
    <w:p>
      <w:r/>
      <w:r>
        <w:rPr>
          <w:b/>
          <w:color w:val="087F5B"/>
        </w:rPr>
        <w:t>C 组</w:t>
      </w:r>
      <w:r>
        <w:t xml:space="preserve">混合稳态带宽达到 639.68 GB/s，比 </w:t>
      </w:r>
      <w:r>
        <w:rPr>
          <w:b/>
          <w:color w:val="245BB2"/>
        </w:rPr>
        <w:t>A 组</w:t>
      </w:r>
      <w:r>
        <w:t>提高 123.02%，已接近 640 GB/s 的 HBM 总服务预算。</w:t>
      </w:r>
      <w:r>
        <w:rPr>
          <w:b/>
          <w:color w:val="7B4AB4"/>
        </w:rPr>
        <w:t>B 组</w:t>
      </w:r>
      <w:r>
        <w:t>缺少写入与混合结果，这两项暂时不能计算 C 相对 B 的提升。</w:t>
      </w:r>
    </w:p>
    <w:p>
      <w:r>
        <w:t xml:space="preserve">因此，吞吐优先统一选择 </w:t>
      </w:r>
      <w:r>
        <w:rPr>
          <w:b/>
          <w:color w:val="087F5B"/>
        </w:rPr>
        <w:t>C 组</w:t>
      </w:r>
      <w:r>
        <w:t>、[4,8,4,4,8]、outstanding 数量 32。若希望降低混合负载的在途事务数量和时延，同一硬件将 outstanding 数量设为 8，稳态带宽仍有 632.06 GB/s，达到已测峰值的 98.81%。</w:t>
      </w:r>
    </w:p>
    <w:p>
      <w:r>
        <w:rPr>
          <w:color w:val="536477"/>
          <w:sz w:val="18"/>
        </w:rPr>
        <w:t>“最好”按已测稳态带宽评判。上述百分比比较各组最佳已测配置，包含 outstanding 数量、FIFO 容量与构建差异。纯读 C 比 B 仅提升 0.89%，对应 FIFO 容量为 812 KiB 与 145 KiB，outstanding 数量为 32 与 16；C 的最小 FIFO 容量尚未确定。</w:t>
      </w:r>
    </w:p>
    <w:p>
      <w:r>
        <w:br w:type="page"/>
      </w:r>
    </w:p>
    <w:p>
      <w:pPr>
        <w:pStyle w:val="Heading1"/>
      </w:pPr>
      <w:r>
        <w:t>2. 基本信息与术语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824"/>
      </w:tblGrid>
      <w:tr>
        <w:trPr>
          <w:tblHeader/>
          <w:cantSplit/>
        </w:trPr>
        <w:tc>
          <w:tcPr>
            <w:tcW w:type="dxa" w:w="215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统一配置与带宽口径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规模 / 频率</w:t>
            </w:r>
          </w:p>
        </w:tc>
        <w:tc>
          <w:tcPr>
            <w:tcW w:type="dxa" w:w="78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5×5 Mesh；25 个 NPU/DMA 发起端、25 个 Router；2 GHz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HBM 位置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东侧 router 4/9/14/19/24，各连接两个 HBM endpoint，共 10 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Flit / AXI beat</w:t>
            </w:r>
          </w:p>
        </w:tc>
        <w:tc>
          <w:tcPr>
            <w:tcW w:type="dxa" w:w="78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 B；W/R 每 beat 一个 flit，元数据采用 sideband；AW/AR/B 各一个 flit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内部单向链路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 lane：1 flit/cycle = 64 GB/s；双 lane：合计 2 flits/cycle = 128 GB/s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外部本地 P 链路</w:t>
            </w:r>
          </w:p>
        </w:tc>
        <w:tc>
          <w:tcPr>
            <w:tcW w:type="dxa" w:w="78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NPU/HBM 接入与返回方向仍各为原有单条连接；不随内部 lane 翻倍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HBM 服务预算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每口读写共享 32 B/cycle × 2 GHz = 64 GB/s；十口合计 640 GB/s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HBM 模型</w:t>
            </w:r>
          </w:p>
        </w:tc>
        <w:tc>
          <w:tcPr>
            <w:tcW w:type="dxa" w:w="78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100 ns（200 cycle）基础等待；共享服务后端；无 bank/row/refresh 细节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VC 数量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每输入、每 lane、每个 AXI vnet 配置 4 个 VC；与东南西北方向数无关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FIFO 深度顺序</w:t>
            </w:r>
          </w:p>
        </w:tc>
        <w:tc>
          <w:tcPr>
            <w:tcW w:type="dxa" w:w="78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AW / W / B / AR / R，单位 flit/VC；配置 Router 输入 FIFO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工作量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每核 16 MiB，25 核合计 400 MiB；tile 64 KiB，burst 16×32 B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负载</w:t>
            </w:r>
          </w:p>
        </w:tc>
        <w:tc>
          <w:tcPr>
            <w:tcW w:type="dxa" w:w="78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纯读：HBM→SRAM；纯写：SRAM→HBM；混合：每核读写各 8 MiB，无计算算子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outstanding 数量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每核、每方向允许同时在途的事务数上限；混合的读、写分别采用相同数量</w:t>
            </w:r>
          </w:p>
        </w:tc>
      </w:tr>
    </w:tbl>
    <w:p>
      <w:pPr>
        <w:spacing w:after="0"/>
      </w:pPr>
    </w:p>
    <w:p>
      <w:pPr>
        <w:pStyle w:val="Heading2"/>
      </w:pPr>
      <w:r>
        <w:t>稳态带宽与全程带宽</w:t>
      </w:r>
    </w:p>
    <w:p>
      <w:r>
        <w:t>测量窗口设置在全部 DMA 已启动并持续传输的阶段。稳态带宽是这个窗口内完成的数据量除以窗口时长，用于比较持续传输能力；全程带宽还包含启动和尾段的影响，用于比较整个任务的完成速度。</w:t>
      </w:r>
    </w:p>
    <w:p>
      <w:r>
        <w:t>HBM 的 640 GB/s 是读写合计服务预算。Mesh 链路的原始带宽包含协议 flit，稳态带宽只统计完成的 tensor 字节。带宽统一使用十进制 GB/s，缓冲容量使用 KiB/MiB。</w:t>
      </w:r>
    </w:p>
    <w:p>
      <w:pPr>
        <w:pStyle w:val="Heading2"/>
      </w:pPr>
      <w:r>
        <w:t>outstanding 与 VC 的区别</w:t>
      </w:r>
    </w:p>
    <w:p>
      <w:r>
        <w:t>outstanding 数量限制每个 NPU 能同时发出多少笔未完成事务。例如混合负载的 outstanding 数量为 8，表示每个 NPU 最多同时有 8 个读 burst 和 8 个写 burst；每个 burst 为 512 B。</w:t>
      </w:r>
    </w:p>
    <w:p>
      <w:r>
        <w:t>VC 是 Router 内部具有独立缓冲与流控状态的虚拟通道。深度 [4,8,4,4,8] 中的 W=8，表示每个 W VC 可缓存 8 个 flit；4 个 VC 合计 4×8×32 B=1 KiB。多个 VC 共享物理 lane 的传输带宽。</w:t>
      </w:r>
    </w:p>
    <w:p>
      <w:r>
        <w:br w:type="page"/>
      </w:r>
    </w:p>
    <w:p>
      <w:pPr>
        <w:pStyle w:val="Heading1"/>
      </w:pPr>
      <w:r>
        <w:t>3. 各组配置与带宽结果</w:t>
      </w:r>
    </w:p>
    <w:p>
      <w:r>
        <w:t>“峰值”是该组、该负载已测有效结果中的最高稳态带宽；“推荐”要求达到该峰值的 95%，再优先较小 FIFO 容量与较低 outstanding 数量。深度顺序为 AW/W/B/AR/R，单位 flit/VC。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624"/>
        <w:gridCol w:w="1587"/>
        <w:gridCol w:w="1757"/>
        <w:gridCol w:w="737"/>
        <w:gridCol w:w="1587"/>
        <w:gridCol w:w="1587"/>
      </w:tblGrid>
      <w:tr>
        <w:trPr>
          <w:tblHeader/>
          <w:cantSplit/>
        </w:trPr>
        <w:tc>
          <w:tcPr>
            <w:tcW w:type="dxa" w:w="153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组别 / 用途</w:t>
            </w:r>
          </w:p>
        </w:tc>
        <w:tc>
          <w:tcPr>
            <w:tcW w:type="dxa" w:w="62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158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outstanding</w:t>
              <w:br/>
              <w:t>数量</w:t>
            </w:r>
          </w:p>
        </w:tc>
        <w:tc>
          <w:tcPr>
            <w:tcW w:type="dxa" w:w="175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FIFO 深度</w:t>
              <w:br/>
              <w:t>flit/VC</w:t>
            </w:r>
          </w:p>
        </w:tc>
        <w:tc>
          <w:tcPr>
            <w:tcW w:type="dxa" w:w="73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容量</w:t>
              <w:br/>
              <w:t>KiB</w:t>
            </w:r>
          </w:p>
        </w:tc>
        <w:tc>
          <w:tcPr>
            <w:tcW w:type="dxa" w:w="158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稳态带宽</w:t>
              <w:br/>
              <w:t>GB/s</w:t>
            </w:r>
          </w:p>
        </w:tc>
        <w:tc>
          <w:tcPr>
            <w:tcW w:type="dxa" w:w="158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全程带宽</w:t>
              <w:br/>
              <w:t>GB/s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</w:t>
              <w:br/>
              <w:t>推荐＝峰值</w:t>
            </w:r>
          </w:p>
        </w:tc>
        <w:tc>
          <w:tcPr>
            <w:tcW w:type="dxa" w:w="6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[1,1,1,1,1]</w:t>
            </w:r>
          </w:p>
        </w:tc>
        <w:tc>
          <w:tcPr>
            <w:tcW w:type="dxa" w:w="73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72.5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365.33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363.32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</w:t>
              <w:br/>
              <w:t>资源推荐¹</w:t>
            </w:r>
          </w:p>
        </w:tc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纯写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[1,1,1,1,1]</w:t>
            </w:r>
          </w:p>
        </w:tc>
        <w:tc>
          <w:tcPr>
            <w:tcW w:type="dxa" w:w="7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72.5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185.12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162.68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</w:t>
              <w:br/>
              <w:t>峰值 / 长验证</w:t>
            </w:r>
          </w:p>
        </w:tc>
        <w:tc>
          <w:tcPr>
            <w:tcW w:type="dxa" w:w="6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纯写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[4,8,4,4,8]</w:t>
            </w:r>
          </w:p>
        </w:tc>
        <w:tc>
          <w:tcPr>
            <w:tcW w:type="dxa" w:w="73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406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185.48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175.75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</w:t>
              <w:br/>
              <w:t>推荐＝峰值</w:t>
            </w:r>
          </w:p>
        </w:tc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混合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[1,1,1,1,1]</w:t>
            </w:r>
          </w:p>
        </w:tc>
        <w:tc>
          <w:tcPr>
            <w:tcW w:type="dxa" w:w="7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72.5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286.82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250.53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2EC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7B4AB4"/>
                <w:sz w:val="18"/>
              </w:rPr>
              <w:t>B 组</w:t>
              <w:br/>
              <w:t>已测配置²</w:t>
            </w:r>
          </w:p>
        </w:tc>
        <w:tc>
          <w:tcPr>
            <w:tcW w:type="dxa" w:w="6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[1,1,1,1,1]</w:t>
            </w:r>
          </w:p>
        </w:tc>
        <w:tc>
          <w:tcPr>
            <w:tcW w:type="dxa" w:w="73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145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451.05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448.57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</w:t>
              <w:br/>
              <w:t>暂定推荐³</w:t>
            </w:r>
          </w:p>
        </w:tc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[4,8,4,4,8]</w:t>
            </w:r>
          </w:p>
        </w:tc>
        <w:tc>
          <w:tcPr>
            <w:tcW w:type="dxa" w:w="7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812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451.05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448.57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</w:t>
              <w:br/>
              <w:t>已测峰值³</w:t>
            </w:r>
          </w:p>
        </w:tc>
        <w:tc>
          <w:tcPr>
            <w:tcW w:type="dxa" w:w="6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纯读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[4,8,4,4,8]</w:t>
            </w:r>
          </w:p>
        </w:tc>
        <w:tc>
          <w:tcPr>
            <w:tcW w:type="dxa" w:w="73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812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455.08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453.00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</w:t>
              <w:br/>
              <w:t>推荐＝峰值³</w:t>
            </w:r>
          </w:p>
        </w:tc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纯写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[4,8,4,4,8]</w:t>
            </w:r>
          </w:p>
        </w:tc>
        <w:tc>
          <w:tcPr>
            <w:tcW w:type="dxa" w:w="7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812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396.49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336.64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</w:t>
              <w:br/>
              <w:t>暂定推荐³</w:t>
            </w:r>
          </w:p>
        </w:tc>
        <w:tc>
          <w:tcPr>
            <w:tcW w:type="dxa" w:w="62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混合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[4,8,4,4,8]</w:t>
            </w:r>
          </w:p>
        </w:tc>
        <w:tc>
          <w:tcPr>
            <w:tcW w:type="dxa" w:w="73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812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632.06</w:t>
            </w:r>
          </w:p>
        </w:tc>
        <w:tc>
          <w:tcPr>
            <w:tcW w:type="dxa" w:w="158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617.74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</w:t>
              <w:br/>
              <w:t>已测峰值³</w:t>
            </w:r>
          </w:p>
        </w:tc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混合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[4,8,4,4,8]</w:t>
            </w:r>
          </w:p>
        </w:tc>
        <w:tc>
          <w:tcPr>
            <w:tcW w:type="dxa" w:w="7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812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639.68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629.44</w:t>
            </w:r>
          </w:p>
        </w:tc>
      </w:tr>
    </w:tbl>
    <w:p>
      <w:pPr>
        <w:spacing w:after="0"/>
      </w:pPr>
    </w:p>
    <w:p>
      <w:r>
        <w:rPr>
          <w:color w:val="536477"/>
          <w:sz w:val="18"/>
        </w:rPr>
        <w:t xml:space="preserve">¹ </w:t>
      </w:r>
      <w:r>
        <w:rPr>
          <w:b/>
          <w:color w:val="245BB2"/>
          <w:sz w:val="18"/>
        </w:rPr>
        <w:t>A 组</w:t>
      </w:r>
      <w:r>
        <w:rPr>
          <w:color w:val="536477"/>
          <w:sz w:val="18"/>
        </w:rPr>
        <w:t>纯写深度全 1、outstanding 数量 4，在 16 MiB 有效，但 20 MiB 未收敛。要求两种长度均有效时，采用 [4,8,4,4,8]、outstanding 数量 32。</w:t>
      </w:r>
    </w:p>
    <w:p>
      <w:r>
        <w:rPr>
          <w:color w:val="536477"/>
          <w:sz w:val="18"/>
        </w:rPr>
        <w:t xml:space="preserve">² </w:t>
      </w:r>
      <w:r>
        <w:rPr>
          <w:b/>
          <w:color w:val="7B4AB4"/>
          <w:sz w:val="18"/>
        </w:rPr>
        <w:t>B 组</w:t>
      </w:r>
      <w:r>
        <w:rPr>
          <w:color w:val="536477"/>
          <w:sz w:val="18"/>
        </w:rPr>
        <w:t>仅有表中纯读点，写与混合均未测。</w:t>
      </w:r>
    </w:p>
    <w:p>
      <w:r>
        <w:rPr>
          <w:color w:val="536477"/>
          <w:sz w:val="18"/>
        </w:rPr>
        <w:t xml:space="preserve">³ </w:t>
      </w:r>
      <w:r>
        <w:rPr>
          <w:b/>
          <w:color w:val="087F5B"/>
          <w:sz w:val="18"/>
        </w:rPr>
        <w:t>C 组</w:t>
      </w:r>
      <w:r>
        <w:rPr>
          <w:color w:val="536477"/>
          <w:sz w:val="18"/>
        </w:rPr>
        <w:t>推荐来自快照中已保存的 22 个正式点。[4,8,4,4,8] 是已验证可用的基线，尚未证明是最省 FIFO 的配置。</w:t>
      </w:r>
    </w:p>
    <w:p>
      <w:pPr>
        <w:pStyle w:val="Heading2"/>
      </w:pPr>
      <w:r>
        <w:t>容量口径</w:t>
      </w:r>
    </w:p>
    <w:p>
      <w:r>
        <w:t>表中容量只统计实际 Router 输入 FIFO 数据存储，包括双 lane 的两套 FIFO；不包含完整控制状态、NI 和端点队列开销。深度全 1 时，单 lane 为 72.5 KiB、双 lane 为 145 KiB；基线 [4,8,4,4,8] 对应 406 KiB 和 812 KiB。</w:t>
      </w:r>
    </w:p>
    <w:p>
      <w:r>
        <w:rPr>
          <w:color w:val="536477"/>
          <w:sz w:val="18"/>
        </w:rPr>
        <w:t>深度全 1 不表示五种 AXI 通道共用一个 FIFO；每种 vnet 仍有 4 个 VC。未激活的通道不能由该负载识别最优深度。</w:t>
      </w:r>
    </w:p>
    <w:p>
      <w:r>
        <w:br w:type="page"/>
      </w:r>
    </w:p>
    <w:p>
      <w:pPr>
        <w:pStyle w:val="Heading1"/>
      </w:pPr>
      <w:r>
        <w:t>4. 带宽对比与瓶颈证据</w:t>
      </w:r>
    </w:p>
    <w:p>
      <w:r>
        <w:drawing>
          <wp:inline xmlns:a="http://schemas.openxmlformats.org/drawingml/2006/main" xmlns:pic="http://schemas.openxmlformats.org/drawingml/2006/picture">
            <wp:extent cx="6192000" cy="1927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width_pea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36477"/>
          <w:sz w:val="18"/>
        </w:rPr>
        <w:t>图 1：各组最高已测稳态带宽；柱内标注对应 outstanding 数量。虚线为 640 GB/s 的 HBM 总预算，空缺表示未测。</w:t>
      </w:r>
    </w:p>
    <w:p>
      <w:pPr>
        <w:pStyle w:val="Heading2"/>
      </w:pPr>
      <w:r>
        <w:t>C 组混合负载：outstanding 数量的取舍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701"/>
        <w:gridCol w:w="1701"/>
        <w:gridCol w:w="1757"/>
        <w:gridCol w:w="1757"/>
        <w:gridCol w:w="1757"/>
      </w:tblGrid>
      <w:tr>
        <w:trPr>
          <w:tblHeader/>
          <w:cantSplit/>
        </w:trPr>
        <w:tc>
          <w:tcPr>
            <w:tcW w:type="dxa" w:w="130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outstanding</w:t>
              <w:br/>
              <w:t>数量</w:t>
            </w:r>
          </w:p>
        </w:tc>
        <w:tc>
          <w:tcPr>
            <w:tcW w:type="dxa" w:w="170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稳态读带宽</w:t>
              <w:br/>
              <w:t>GB/s</w:t>
            </w:r>
          </w:p>
        </w:tc>
        <w:tc>
          <w:tcPr>
            <w:tcW w:type="dxa" w:w="170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稳态写带宽</w:t>
              <w:br/>
              <w:t>GB/s</w:t>
            </w:r>
          </w:p>
        </w:tc>
        <w:tc>
          <w:tcPr>
            <w:tcW w:type="dxa" w:w="175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稳态合计</w:t>
              <w:br/>
              <w:t>GB/s</w:t>
            </w:r>
          </w:p>
        </w:tc>
        <w:tc>
          <w:tcPr>
            <w:tcW w:type="dxa" w:w="175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全程带宽</w:t>
              <w:br/>
              <w:t>GB/s</w:t>
            </w:r>
          </w:p>
        </w:tc>
        <w:tc>
          <w:tcPr>
            <w:tcW w:type="dxa" w:w="1757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事务合计</w:t>
              <w:br/>
              <w:t>P99 μs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315.50</w:t>
            </w:r>
          </w:p>
        </w:tc>
        <w:tc>
          <w:tcPr>
            <w:tcW w:type="dxa" w:w="170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316.56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632.06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617.74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0.478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316.82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318.36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635.18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624.54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0.969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0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319.69</w:t>
            </w:r>
          </w:p>
        </w:tc>
        <w:tc>
          <w:tcPr>
            <w:tcW w:type="dxa" w:w="170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319.99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639.68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629.44</w:t>
            </w:r>
          </w:p>
        </w:tc>
        <w:tc>
          <w:tcPr>
            <w:tcW w:type="dxa" w:w="1757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1.872</w:t>
            </w:r>
          </w:p>
        </w:tc>
      </w:tr>
    </w:tbl>
    <w:p>
      <w:pPr>
        <w:spacing w:after="0"/>
      </w:pPr>
    </w:p>
    <w:p>
      <w:r>
        <w:t>outstanding 数量从 8 增至 32，稳态带宽增加 1.21%，全程带宽增加 1.89%；读写事务合计 P99 从 0.478 μs 增至 1.872 μs。表中三点均有正式结果，P99 是读写合计口径。</w:t>
      </w:r>
    </w:p>
    <w:p>
      <w:pPr>
        <w:pStyle w:val="Heading2"/>
      </w:pPr>
      <w:r>
        <w:t>C 组混合负载的主要瓶颈在 HBM 后端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742"/>
      </w:tblGrid>
      <w:tr>
        <w:trPr>
          <w:tblHeader/>
          <w:cantSplit/>
        </w:trPr>
        <w:tc>
          <w:tcPr>
            <w:tcW w:type="dxa" w:w="6236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稳态统计</w:t>
            </w:r>
          </w:p>
        </w:tc>
        <w:tc>
          <w:tcPr>
            <w:tcW w:type="dxa" w:w="3742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outstanding 数量 8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十个 HBM 平均服务忙碌率</w:t>
            </w:r>
          </w:p>
        </w:tc>
        <w:tc>
          <w:tcPr>
            <w:tcW w:type="dxa" w:w="3742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98.76%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NPU→Mesh 最忙入口利用率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23.14%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Mesh→NPU 最忙出口利用率</w:t>
            </w:r>
          </w:p>
        </w:tc>
        <w:tc>
          <w:tcPr>
            <w:tcW w:type="dxa" w:w="3742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21.87%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Mesh 内最忙物理 lane 利用率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67.32%</w:t>
            </w:r>
          </w:p>
        </w:tc>
      </w:tr>
    </w:tbl>
    <w:p>
      <w:pPr>
        <w:spacing w:after="0"/>
      </w:pPr>
    </w:p>
    <w:p>
      <w:r>
        <w:t>HBM 服务忙碌率已达 98.76%，NPU 入口仍有明显带宽余量。outstanding 数量由 8 增至 16，稳态带宽仅提高 0.49%，说明当前已接近 HBM 服务上限。</w:t>
      </w:r>
    </w:p>
    <w:p>
      <w:r>
        <w:br w:type="page"/>
      </w:r>
    </w:p>
    <w:p>
      <w:pPr>
        <w:pStyle w:val="Heading1"/>
      </w:pPr>
      <w:r>
        <w:t>5. 测量窗口与数据来源</w:t>
      </w:r>
    </w:p>
    <w:p>
      <w:r>
        <w:t>测量窗口设置在全部 DMA 已启动并持续传输的阶段，各组按相同规则统计。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tblHeader/>
          <w:cantSplit/>
        </w:trPr>
        <w:tc>
          <w:tcPr>
            <w:tcW w:type="dxa" w:w="181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16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稳态带宽</w:t>
            </w:r>
          </w:p>
        </w:tc>
        <w:tc>
          <w:tcPr>
            <w:tcW w:type="dxa" w:w="816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窗口内完成读字节（写入 SRAM）＋完成写字节（收到成功写响应），除以窗口时长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全程带宽</w:t>
            </w:r>
          </w:p>
        </w:tc>
        <w:tc>
          <w:tcPr>
            <w:tcW w:type="dxa" w:w="816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400 MiB 除以完整任务执行时间；不计纯写任务的 SRAM 预填时间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有效结果</w:t>
            </w:r>
          </w:p>
        </w:tc>
        <w:tc>
          <w:tcPr>
            <w:tcW w:type="dxa" w:w="816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数据正确、传输完成、排空及稳定性检查均通过的正式仿真结果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比较范围</w:t>
            </w:r>
          </w:p>
        </w:tc>
        <w:tc>
          <w:tcPr>
            <w:tcW w:type="dxa" w:w="816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正式工作量为每核 16 MiB；短测试、探测运行、未收敛点和 20 MiB 长验证不混入带宽排名</w:t>
            </w:r>
          </w:p>
        </w:tc>
      </w:tr>
    </w:tbl>
    <w:p>
      <w:pPr>
        <w:spacing w:after="0"/>
      </w:pPr>
    </w:p>
    <w:p>
      <w:pPr>
        <w:pStyle w:val="Heading2"/>
      </w:pPr>
      <w:r>
        <w:t>代表性配置的测量窗口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304"/>
        <w:gridCol w:w="2041"/>
        <w:gridCol w:w="2041"/>
        <w:gridCol w:w="2041"/>
      </w:tblGrid>
      <w:tr>
        <w:trPr>
          <w:tblHeader/>
          <w:cantSplit/>
        </w:trPr>
        <w:tc>
          <w:tcPr>
            <w:tcW w:type="dxa" w:w="255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组别 / 配置</w:t>
            </w:r>
          </w:p>
        </w:tc>
        <w:tc>
          <w:tcPr>
            <w:tcW w:type="dxa" w:w="1304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outstanding</w:t>
              <w:br/>
              <w:t>数量</w:t>
            </w:r>
          </w:p>
        </w:tc>
        <w:tc>
          <w:tcPr>
            <w:tcW w:type="dxa" w:w="204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开始 μs</w:t>
            </w:r>
          </w:p>
        </w:tc>
        <w:tc>
          <w:tcPr>
            <w:tcW w:type="dxa" w:w="204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结束 μs</w:t>
            </w:r>
          </w:p>
        </w:tc>
        <w:tc>
          <w:tcPr>
            <w:tcW w:type="dxa" w:w="2041"/>
            <w:vAlign w:val="center"/>
            <w:shd w:fill="183E63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窗口长 μs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 纯读 / 全1</w:t>
            </w:r>
          </w:p>
        </w:tc>
        <w:tc>
          <w:tcPr>
            <w:tcW w:type="dxa" w:w="130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228.9571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1144.7695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915.8124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 纯写 / 基线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149.2747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745.8275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596.5528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AF1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45BB2"/>
                <w:sz w:val="18"/>
              </w:rPr>
              <w:t>A 组 混合 / 全1</w:t>
            </w:r>
          </w:p>
        </w:tc>
        <w:tc>
          <w:tcPr>
            <w:tcW w:type="dxa" w:w="130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244.1014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1219.9610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975.8596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EC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7B4AB4"/>
                <w:sz w:val="18"/>
              </w:rPr>
              <w:t>B 组 纯读 / 全1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185.7264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928.6160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742.8896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 混合 / 基线</w:t>
            </w:r>
          </w:p>
        </w:tc>
        <w:tc>
          <w:tcPr>
            <w:tcW w:type="dxa" w:w="1304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128.8682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643.7950</w:t>
            </w:r>
          </w:p>
        </w:tc>
        <w:tc>
          <w:tcPr>
            <w:tcW w:type="dxa" w:w="2041"/>
            <w:vAlign w:val="center"/>
            <w:shd w:fill="F0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514.9268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7F5E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087F5B"/>
                <w:sz w:val="18"/>
              </w:rPr>
              <w:t>C 组 混合 / 基线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126.7160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633.0340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506.3180</w:t>
            </w:r>
          </w:p>
        </w:tc>
      </w:tr>
    </w:tbl>
    <w:p>
      <w:pPr>
        <w:spacing w:after="0"/>
      </w:pPr>
    </w:p>
    <w:p>
      <w:pPr>
        <w:pStyle w:val="Heading2"/>
      </w:pPr>
      <w:r>
        <w:t>来源索引</w:t>
      </w:r>
    </w:p>
    <w:p>
      <w:pPr>
        <w:spacing w:after="40"/>
      </w:pPr>
      <w:hyperlink r:id="rId12">
        <w:r>
          <w:rPr>
            <w:color w:val="245BB2"/>
            <w:sz w:val="18"/>
          </w:rPr>
          <w:t>A 组 · 单 lane 全 XY：原始报告与案例索引</w:t>
        </w:r>
      </w:hyperlink>
    </w:p>
    <w:p>
      <w:pPr>
        <w:spacing w:after="40"/>
      </w:pPr>
      <w:hyperlink r:id="rId13">
        <w:r>
          <w:rPr>
            <w:color w:val="245BB2"/>
            <w:sz w:val="18"/>
          </w:rPr>
          <w:t>A 组 · 原始组与执行审计</w:t>
        </w:r>
      </w:hyperlink>
    </w:p>
    <w:p>
      <w:pPr>
        <w:spacing w:after="40"/>
      </w:pPr>
      <w:hyperlink r:id="rId14">
        <w:r>
          <w:rPr>
            <w:color w:val="7B4AB4"/>
            <w:sz w:val="18"/>
          </w:rPr>
          <w:t>B 组 · 双 lane 全 XY：纯读、outstanding 数量 16、深度全 1</w:t>
        </w:r>
      </w:hyperlink>
    </w:p>
    <w:p>
      <w:pPr>
        <w:spacing w:after="40"/>
      </w:pPr>
      <w:hyperlink r:id="rId15">
        <w:r>
          <w:rPr>
            <w:color w:val="087F5B"/>
            <w:sz w:val="18"/>
          </w:rPr>
          <w:t>C 组 · 阶段覆盖与中断清单（10:05 快照）</w:t>
        </w:r>
      </w:hyperlink>
    </w:p>
    <w:p>
      <w:pPr>
        <w:spacing w:after="40"/>
      </w:pPr>
      <w:hyperlink r:id="rId16">
        <w:r>
          <w:rPr>
            <w:color w:val="087F5B"/>
            <w:sz w:val="18"/>
          </w:rPr>
          <w:t>C 组 · 纯读、outstanding 数量 32 / measurement.json</w:t>
        </w:r>
      </w:hyperlink>
    </w:p>
    <w:p>
      <w:pPr>
        <w:spacing w:after="40"/>
      </w:pPr>
      <w:hyperlink r:id="rId17">
        <w:r>
          <w:rPr>
            <w:color w:val="087F5B"/>
            <w:sz w:val="18"/>
          </w:rPr>
          <w:t>C 组 · 纯写、outstanding 数量 32 / measurement.json</w:t>
        </w:r>
      </w:hyperlink>
    </w:p>
    <w:p>
      <w:pPr>
        <w:spacing w:after="40"/>
      </w:pPr>
      <w:hyperlink r:id="rId18">
        <w:r>
          <w:rPr>
            <w:color w:val="087F5B"/>
            <w:sz w:val="18"/>
          </w:rPr>
          <w:t>C 组 · 混合、outstanding 数量 8 / measurement.json</w:t>
        </w:r>
      </w:hyperlink>
    </w:p>
    <w:p>
      <w:pPr>
        <w:spacing w:after="40"/>
      </w:pPr>
      <w:hyperlink r:id="rId19">
        <w:r>
          <w:rPr>
            <w:color w:val="087F5B"/>
            <w:sz w:val="18"/>
          </w:rPr>
          <w:t>C 组 · 混合、outstanding 数量 32 / measurement.json</w:t>
        </w:r>
      </w:hyperlink>
    </w:p>
    <w:p>
      <w:pPr>
        <w:spacing w:after="40"/>
      </w:pPr>
      <w:hyperlink r:id="rId20">
        <w:r>
          <w:rPr>
            <w:color w:val="087F8C"/>
            <w:sz w:val="18"/>
          </w:rPr>
          <w:t>原始选择与度量规则：metrics.py</w:t>
        </w:r>
      </w:hyperlink>
    </w:p>
    <w:p>
      <w:pPr>
        <w:spacing w:after="40"/>
      </w:pPr>
      <w:hyperlink r:id="rId21">
        <w:r>
          <w:rPr>
            <w:color w:val="087F8C"/>
            <w:sz w:val="18"/>
          </w:rPr>
          <w:t>本报告冻结数据、原路径与核验记录</w:t>
        </w:r>
      </w:hyperlink>
    </w:p>
    <w:p>
      <w:r>
        <w:rPr>
          <w:color w:val="536477"/>
          <w:sz w:val="18"/>
        </w:rPr>
        <w:t>已核验 11 个代表点、792 个归档文件，摘要错误为 0，新增正式结果复算一致。三组构建不同，非 lane、非路由参数一致。</w:t>
      </w:r>
      <w:r>
        <w:rPr>
          <w:b/>
          <w:color w:val="087F5B"/>
          <w:sz w:val="18"/>
        </w:rPr>
        <w:t>C 组</w:t>
      </w:r>
      <w:r>
        <w:rPr>
          <w:color w:val="536477"/>
          <w:sz w:val="18"/>
        </w:rPr>
        <w:t>深度搜索和最终验证尚未完成，结论限于快照已测配置；来源链接指向本地文件。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964" w:bottom="935" w:left="964" w:header="31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477"/>
        <w:sz w:val="16"/>
      </w:rPr>
      <w:t xml:space="preserve">2026-09-09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color w:val="536477"/>
        <w:sz w:val="14"/>
      </w:rPr>
      <w:t>AI MESH  /  路由与物理 lane 实验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326"/>
      <w:gridCol w:w="3326"/>
      <w:gridCol w:w="3326"/>
    </w:tblGrid>
    <w:tr>
      <w:tc>
        <w:tcPr>
          <w:tcW w:type="dxa" w:w="3326"/>
          <w:shd w:fill="245BB2"/>
        </w:tcPr>
        <w:p>
          <w:pPr>
            <w:spacing w:after="40" w:before="40"/>
            <w:jc w:val="center"/>
          </w:pPr>
          <w:r>
            <w:rPr>
              <w:b/>
              <w:color w:val="FFFFFF"/>
              <w:sz w:val="16"/>
            </w:rPr>
            <w:t>A 组  单 lane｜全 XY</w:t>
          </w:r>
        </w:p>
      </w:tc>
      <w:tc>
        <w:tcPr>
          <w:tcW w:type="dxa" w:w="3326"/>
          <w:shd w:fill="7B4AB4"/>
        </w:tcPr>
        <w:p>
          <w:pPr>
            <w:spacing w:after="40" w:before="40"/>
            <w:jc w:val="center"/>
          </w:pPr>
          <w:r>
            <w:rPr>
              <w:b/>
              <w:color w:val="FFFFFF"/>
              <w:sz w:val="16"/>
            </w:rPr>
            <w:t>B 组  双 lane｜全 XY</w:t>
          </w:r>
        </w:p>
      </w:tc>
      <w:tc>
        <w:tcPr>
          <w:tcW w:type="dxa" w:w="3326"/>
          <w:shd w:fill="087F5B"/>
        </w:tcPr>
        <w:p>
          <w:pPr>
            <w:spacing w:after="40" w:before="40"/>
            <w:jc w:val="center"/>
          </w:pPr>
          <w:r>
            <w:rPr>
              <w:b/>
              <w:color w:val="FFFFFF"/>
              <w:sz w:val="16"/>
            </w:rPr>
            <w:t>C 组  双 lane｜读 XY、写 YX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83E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83E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 w:eastAsia="Noto Sans CJK SC"/>
      <w:color w:val="183E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nfs/home/majunhong/project/DSU-GEM5-TEST/XS-DSU-GEM5/src/doc/ai_mesh/goal_mesh_outstanding_buffer_experiment.md" TargetMode="External"/><Relationship Id="rId13" Type="http://schemas.openxmlformats.org/officeDocument/2006/relationships/hyperlink" Target="file:///nfs/home/majunhong/project/DSU-GEM5-TEST/XS-DSU-GEM5/.tmp/mesh-east-dual-hbm-32B.9luwm2qi/README.md" TargetMode="External"/><Relationship Id="rId14" Type="http://schemas.openxmlformats.org/officeDocument/2006/relationships/hyperlink" Target="file:///nfs/home/majunhong/project/DSU-GEM5-TEST/XS-DSU-GEM5/.tmp/dual-lane-load-09s4v2wv/load/measurement.json" TargetMode="External"/><Relationship Id="rId15" Type="http://schemas.openxmlformats.org/officeDocument/2006/relationships/hyperlink" Target="file:///nfs/home/majunhong/project/DSU-GEM5-TEST/XS-DSU-GEM5/.tmp/mesh-dual-xy-yx.6xNUz7/analysis/status_review_20260909/summary.md" TargetMode="External"/><Relationship Id="rId16" Type="http://schemas.openxmlformats.org/officeDocument/2006/relationships/hyperlink" Target="file:///nfs/home/majunhong/project/DSU-GEM5-TEST/XS-DSU-GEM5/.tmp/mesh-dual-xy-yx.6xNUz7/dual/cases/A_H10_EAST2_LOAD_ONLY_N32/measurement.json" TargetMode="External"/><Relationship Id="rId17" Type="http://schemas.openxmlformats.org/officeDocument/2006/relationships/hyperlink" Target="file:///nfs/home/majunhong/project/DSU-GEM5-TEST/XS-DSU-GEM5/.tmp/mesh-dual-xy-yx.6xNUz7/dual/cases/A_H10_EAST2_STORE_ONLY_N32/measurement.json" TargetMode="External"/><Relationship Id="rId18" Type="http://schemas.openxmlformats.org/officeDocument/2006/relationships/hyperlink" Target="file:///nfs/home/majunhong/project/DSU-GEM5-TEST/XS-DSU-GEM5/.tmp/mesh-dual-xy-yx.6xNUz7/dual/cases/A_H10_EAST2_MIXED_1_1_N8/measurement.json" TargetMode="External"/><Relationship Id="rId19" Type="http://schemas.openxmlformats.org/officeDocument/2006/relationships/hyperlink" Target="file:///nfs/home/majunhong/project/DSU-GEM5-TEST/XS-DSU-GEM5/.tmp/mesh-dual-xy-yx.6xNUz7/dual/cases/A_H10_EAST2_MIXED_1_1_N32/measurement.json" TargetMode="External"/><Relationship Id="rId20" Type="http://schemas.openxmlformats.org/officeDocument/2006/relationships/hyperlink" Target="file:///nfs/home/majunhong/project/DSU-GEM5-TEST/XS-DSU-GEM5/util/mesh_ir/mesh_ir/experiment/metrics.py" TargetMode="External"/><Relationship Id="rId21" Type="http://schemas.openxmlformats.org/officeDocument/2006/relationships/hyperlink" Target="file:///nfs/home/majunhong/project/DSU-GEM5-TEST/XS-DSU-GEM5/.tmp/docs/mesh_word_report_20260909/evidence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5×5 AI Mesh 路由与双 lane 实验结论</dc:title>
  <dc:subject>频率与带宽、FIFO 深度、outstanding 数量与最佳配置</dc:subject>
  <dc:creator>AI Mesh 实验分析</dc:creator>
  <cp:keywords>gem5, AXI, Mesh, XY, YX, 稳态带宽, FIFO, outstanding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