
<file path=[Content_Types].xml><?xml version="1.0" encoding="utf-8"?>
<Types xmlns="http://schemas.openxmlformats.org/package/2006/content-types">
  <Default Extension="xml" ContentType="application/xml"/>
  <Default Extension="ttf" ContentType="application/x-font-ttf"/>
  <Default Extension="png" ContentType="image/png"/>
  <Default Extension="odttf" ContentType="application/vnd.openxmlformats-officedocument.obfuscatedFont"/>
  <Default Extension="rels" ContentType="application/vnd.openxmlformats-package.relationships+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docProps/core.xml" ContentType="application/vnd.openxmlformats-package.core-properties+xml"/>
  <Override PartName="/word/theme/theme1.xml" ContentType="application/vnd.openxmlformats-officedocument.theme+xml"/>
  <Override PartName="/word/header2.xml" ContentType="application/vnd.openxmlformats-officedocument.wordprocessingml.header+xml"/>
  <Override PartName="/word/header1.xml" ContentType="application/vnd.openxmlformats-officedocument.wordprocessingml.header+xml"/>
  <Override PartName="/word/settings.xml" ContentType="application/vnd.openxmlformats-officedocument.wordprocessingml.settings+xml"/>
  <Override PartName="/docProps/custom.xml" ContentType="application/vnd.openxmlformats-officedocument.custom-properties+xml"/>
  <Override PartName="/word/footer2.xml" ContentType="application/vnd.openxmlformats-officedocument.wordprocessingml.footer+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Pr="00000000" w:rsidR="00000000" w:rsidDel="00000000" w:rsidP="00000000" w:rsidRDefault="00000000" w14:paraId="00000001">
      <w:pPr>
        <w:widowControl w:val="0"/>
        <w:spacing w:line="240" w:lineRule="auto"/>
        <w:ind w:firstLine="709"/>
        <w:rPr/>
      </w:pPr>
      <w:r w:rsidRPr="00000000" w:rsidDel="00000000" w:rsidR="00000000">
        <w:rPr>
          <w:rtl w:val="0"/>
        </w:rPr>
      </w:r>
    </w:p>
    <w:p w:rsidRPr="00000000" w:rsidR="00000000" w:rsidDel="00000000" w:rsidP="00000000" w:rsidRDefault="00000000" w14:paraId="00000002">
      <w:pPr>
        <w:widowControl w:val="0"/>
        <w:spacing w:after="240" w:line="240" w:lineRule="auto"/>
        <w:ind w:left="0" w:firstLine="0"/>
        <w:jc w:val="right"/>
        <w:rPr>
          <w:sz w:val="20"/>
          <w:szCs w:val="20"/>
        </w:rPr>
      </w:pPr>
      <w:bookmarkStart w:name="_heading=h.u3zjjhm6dn4t" w:colFirst="0" w:colLast="0" w:id="0"/>
      <w:bookmarkEnd w:id="0"/>
      <w:r w:rsidRPr="00000000" w:rsidDel="00000000" w:rsidR="00000000">
        <w:rPr>
          <w:sz w:val="24"/>
          <w:szCs w:val="24"/>
        </w:rPr>
        <w:drawing>
          <wp:inline distT="0" distB="0" distL="0" distR="0">
            <wp:extent cx="3151358" cy="633413"/>
            <wp:effectExtent l="0" t="0" r="0" b="0"/>
            <wp:docPr id="25" name="image1.png"/>
            <a:graphic>
              <a:graphicData uri="http://schemas.openxmlformats.org/drawingml/2006/picture">
                <pic:pic>
                  <pic:nvPicPr>
                    <pic:cNvPr id="0" name="image1.png"/>
                    <pic:cNvPicPr preferRelativeResize="0"/>
                  </pic:nvPicPr>
                  <pic:blipFill>
                    <a:blip r:embed="rId8"/>
                    <a:srcRect l="0" t="0" r="0" b="0"/>
                    <a:stretch>
                      <a:fillRect/>
                    </a:stretch>
                  </pic:blipFill>
                  <pic:spPr>
                    <a:xfrm>
                      <a:off x="0" y="0"/>
                      <a:ext cx="3151358" cy="633413"/>
                    </a:xfrm>
                    <a:prstGeom prst="rect"/>
                    <a:ln/>
                  </pic:spPr>
                </pic:pic>
              </a:graphicData>
            </a:graphic>
          </wp:inline>
        </w:drawing>
      </w:r>
      <w:r w:rsidRPr="00000000" w:rsidDel="00000000" w:rsidR="00000000">
        <w:rPr>
          <w:rtl w:val="0"/>
        </w:rPr>
      </w:r>
    </w:p>
    <w:p w:rsidRPr="00000000" w:rsidR="00000000" w:rsidDel="00000000" w:rsidP="00000000" w:rsidRDefault="00000000" w14:paraId="00000003">
      <w:pPr>
        <w:widowControl w:val="0"/>
        <w:spacing w:line="240" w:lineRule="auto"/>
        <w:ind w:left="0" w:firstLine="0"/>
        <w:rPr>
          <w:sz w:val="20"/>
          <w:szCs w:val="20"/>
        </w:rPr>
      </w:pPr>
      <w:r w:rsidRPr="00000000" w:rsidDel="00000000" w:rsidR="00000000">
        <w:rPr>
          <w:rtl w:val="0"/>
        </w:rPr>
      </w:r>
    </w:p>
    <w:p w:rsidRPr="00000000" w:rsidR="00000000" w:rsidDel="00000000" w:rsidP="00000000" w:rsidRDefault="00000000" w14:paraId="00000004">
      <w:pPr>
        <w:widowControl w:val="0"/>
        <w:spacing w:line="240" w:lineRule="auto"/>
        <w:ind w:left="0" w:firstLine="0"/>
        <w:rPr>
          <w:color w:val="ff0000"/>
          <w:sz w:val="32"/>
          <w:szCs w:val="32"/>
          <w:highlight w:val="yellow"/>
        </w:rPr>
      </w:pPr>
      <w:r w:rsidRPr="00000000" w:rsidDel="00000000" w:rsidR="00000000">
        <w:rPr>
          <w:rtl w:val="0"/>
        </w:rPr>
      </w:r>
    </w:p>
    <w:p w:rsidRPr="00000000" w:rsidR="00000000" w:rsidDel="00000000" w:rsidP="00000000" w:rsidRDefault="00000000" w14:paraId="00000005">
      <w:pPr>
        <w:widowControl w:val="0"/>
        <w:spacing w:line="240" w:lineRule="auto"/>
        <w:ind w:left="0" w:firstLine="0"/>
        <w:rPr>
          <w:color w:val="ff0000"/>
          <w:sz w:val="32"/>
          <w:szCs w:val="32"/>
          <w:highlight w:val="yellow"/>
        </w:rPr>
      </w:pPr>
      <w:r w:rsidRPr="00000000" w:rsidDel="00000000" w:rsidR="00000000">
        <w:rPr>
          <w:rtl w:val="0"/>
        </w:rPr>
      </w:r>
    </w:p>
    <w:p w:rsidRPr="00000000" w:rsidR="00000000" w:rsidDel="00000000" w:rsidP="00000000" w:rsidRDefault="00000000" w14:paraId="00000006">
      <w:pPr>
        <w:widowControl w:val="0"/>
        <w:spacing w:line="240" w:lineRule="auto"/>
        <w:ind w:left="0" w:firstLine="0"/>
        <w:rPr>
          <w:sz w:val="20"/>
          <w:szCs w:val="20"/>
        </w:rPr>
      </w:pPr>
      <w:r w:rsidRPr="00000000" w:rsidDel="00000000" w:rsidR="00000000">
        <w:rPr>
          <w:rtl w:val="0"/>
        </w:rPr>
      </w:r>
    </w:p>
    <w:tbl>
      <w:tblPr>
        <w:tblStyle w:val="Table1"/>
        <w:tblW w:w="10380.0" w:type="dxa"/>
        <w:jc w:val="left"/>
        <w:tblInd w:w="-355.0" w:type="dxa"/>
        <w:tblBorders>
          <w:left w:val="single" w:color="4472c4" w:sz="12" w:space="0"/>
        </w:tblBorders>
        <w:tblLayout w:type="fixed"/>
        <w:tblLook w:val="0400"/>
      </w:tblPr>
      <w:tblGrid>
        <w:gridCol w:w="10380"/>
        <w:tblGridChange w:id="0">
          <w:tblGrid>
            <w:gridCol w:w="10380"/>
          </w:tblGrid>
        </w:tblGridChange>
      </w:tblGrid>
      <w:tr>
        <w:trPr>
          <w:cantSplit w:val="0"/>
          <w:trHeight w:val="2175" w:hRule="atLeast"/>
          <w:tblHeader w:val="0"/>
        </w:trPr>
        <w:tc>
          <w:tcPr>
            <w:tcBorders>
              <w:left w:val="single" w:color="f0b90b" w:sz="12" w:space="0"/>
            </w:tcBorders>
            <w:tcMar>
              <w:top w:w="216.0" w:type="dxa"/>
              <w:left w:w="115.0" w:type="dxa"/>
              <w:bottom w:w="216.0" w:type="dxa"/>
              <w:right w:w="115.0" w:type="dxa"/>
            </w:tcMar>
            <w:vAlign w:val="center"/>
          </w:tcPr>
          <w:p w:rsidRPr="00000000" w:rsidR="00000000" w:rsidDel="00000000" w:rsidP="00000000" w:rsidRDefault="00000000" w14:paraId="00000007">
            <w:pPr>
              <w:keepNext w:val="1"/>
              <w:keepLines w:val="1"/>
              <w:spacing w:before="100" w:after="100" w:lineRule="auto"/>
              <w:ind w:left="90" w:right="-1815" w:firstLine="0"/>
              <w:jc w:val="left"/>
              <w:rPr>
                <w:b w:val="1"/>
                <w:bCs w:val="1"/>
                <w:sz w:val="48"/>
                <w:szCs w:val="48"/>
              </w:rPr>
            </w:pPr>
            <w:r w:rsidRPr="00000000" w:rsidDel="00000000" w:rsidR="00000000">
              <w:rPr>
                <w:b w:val="1"/>
                <w:bCs w:val="1"/>
                <w:sz w:val="48"/>
                <w:szCs w:val="48"/>
                <w:rtl w:val="0"/>
              </w:rPr>
              <w:t xml:space="preserve">ADGM &amp; Global </w:t>
            </w:r>
          </w:p>
          <w:p w:rsidRPr="00000000" w:rsidR="00000000" w:rsidDel="00000000" w:rsidP="00000000" w:rsidRDefault="00000000" w14:paraId="00000008">
            <w:pPr>
              <w:keepNext w:val="1"/>
              <w:keepLines w:val="1"/>
              <w:spacing w:before="100" w:after="100" w:lineRule="auto"/>
              <w:ind w:left="90" w:right="-1815" w:firstLine="0"/>
              <w:jc w:val="left"/>
              <w:rPr>
                <w:b w:val="1"/>
                <w:bCs w:val="1"/>
                <w:sz w:val="48"/>
                <w:szCs w:val="48"/>
              </w:rPr>
            </w:pPr>
            <w:r w:rsidRPr="00000000" w:rsidDel="00000000" w:rsidR="00000000">
              <w:rPr>
                <w:b w:val="1"/>
                <w:bCs w:val="1"/>
                <w:sz w:val="48"/>
                <w:szCs w:val="48"/>
                <w:rtl w:val="0"/>
              </w:rPr>
              <w:t xml:space="preserve">Anti-Money Laundering and </w:t>
            </w:r>
          </w:p>
          <w:p w:rsidRPr="00000000" w:rsidR="00000000" w:rsidDel="00000000" w:rsidP="00000000" w:rsidRDefault="00000000" w14:paraId="00000009">
            <w:pPr>
              <w:keepNext w:val="1"/>
              <w:keepLines w:val="1"/>
              <w:spacing w:before="100" w:after="100" w:lineRule="auto"/>
              <w:ind w:left="90" w:right="-1815" w:firstLine="0"/>
              <w:jc w:val="left"/>
              <w:rPr>
                <w:b w:val="1"/>
                <w:bCs w:val="1"/>
                <w:sz w:val="48"/>
                <w:szCs w:val="48"/>
              </w:rPr>
            </w:pPr>
            <w:r w:rsidRPr="00000000" w:rsidDel="00000000" w:rsidR="00000000">
              <w:rPr>
                <w:b w:val="1"/>
                <w:bCs w:val="1"/>
                <w:sz w:val="48"/>
                <w:szCs w:val="48"/>
                <w:rtl w:val="0"/>
              </w:rPr>
              <w:t xml:space="preserve">Countering Terrorism Financing Policy</w:t>
            </w:r>
          </w:p>
        </w:tc>
      </w:tr>
      <w:tr>
        <w:trPr>
          <w:cantSplit w:val="0"/>
          <w:trHeight w:val="1205.947265625" w:hRule="atLeast"/>
          <w:tblHeader w:val="0"/>
        </w:trPr>
        <w:tc>
          <w:tcPr>
            <w:tcBorders>
              <w:left w:val="single" w:color="f0b90b" w:sz="12" w:space="0"/>
            </w:tcBorders>
            <w:tcMar>
              <w:top w:w="216.0" w:type="dxa"/>
              <w:left w:w="115.0" w:type="dxa"/>
              <w:bottom w:w="216.0" w:type="dxa"/>
              <w:right w:w="115.0" w:type="dxa"/>
            </w:tcMar>
            <w:vAlign w:val="center"/>
          </w:tcPr>
          <w:p w:rsidRPr="00000000" w:rsidR="00000000" w:rsidDel="00000000" w:rsidP="00000000" w:rsidRDefault="00000000" w14:paraId="0000000A">
            <w:pPr>
              <w:keepNext w:val="1"/>
              <w:keepLines w:val="1"/>
              <w:spacing w:before="100" w:after="100" w:line="276" w:lineRule="auto"/>
              <w:ind w:left="0" w:firstLine="0"/>
              <w:rPr>
                <w:i w:val="1"/>
                <w:iCs w:val="1"/>
                <w:color w:val="434343"/>
                <w:sz w:val="18"/>
                <w:szCs w:val="18"/>
              </w:rPr>
            </w:pPr>
            <w:r w:rsidRPr="00000000" w:rsidDel="00000000" w:rsidR="00000000">
              <w:rPr>
                <w:sz w:val="36"/>
                <w:szCs w:val="36"/>
                <w:rtl w:val="0"/>
              </w:rPr>
              <w:t xml:space="preserve"> Global Compliance</w:t>
            </w:r>
            <w:r w:rsidRPr="00000000" w:rsidDel="00000000" w:rsidR="00000000">
              <w:rPr>
                <w:rtl w:val="0"/>
              </w:rPr>
            </w:r>
          </w:p>
        </w:tc>
      </w:tr>
    </w:tbl>
    <w:p w:rsidRPr="00000000" w:rsidR="00000000" w:rsidDel="00000000" w:rsidP="00000000" w:rsidRDefault="00000000" w14:paraId="0000000B">
      <w:pPr>
        <w:spacing w:line="240" w:lineRule="auto"/>
        <w:ind w:left="0" w:firstLine="0"/>
        <w:rPr/>
      </w:pPr>
      <w:r w:rsidRPr="00000000" w:rsidDel="00000000" w:rsidR="00000000">
        <w:rPr>
          <w:rtl w:val="0"/>
        </w:rPr>
      </w:r>
    </w:p>
    <w:p w:rsidRPr="00000000" w:rsidR="00000000" w:rsidDel="00000000" w:rsidP="00000000" w:rsidRDefault="00000000" w14:paraId="0000000C">
      <w:pPr>
        <w:spacing w:line="240" w:lineRule="auto"/>
        <w:ind w:left="0" w:firstLine="0"/>
        <w:rPr/>
      </w:pPr>
      <w:r w:rsidRPr="00000000" w:rsidDel="00000000" w:rsidR="00000000">
        <w:rPr>
          <w:rtl w:val="0"/>
        </w:rPr>
      </w:r>
    </w:p>
    <w:p w:rsidRPr="00000000" w:rsidR="00000000" w:rsidDel="00000000" w:rsidP="00000000" w:rsidRDefault="00000000" w14:paraId="0000000D">
      <w:pPr>
        <w:spacing w:line="240" w:lineRule="auto"/>
        <w:ind w:left="0" w:firstLine="0"/>
        <w:rPr/>
      </w:pPr>
      <w:r w:rsidRPr="00000000" w:rsidDel="00000000" w:rsidR="00000000">
        <w:rPr>
          <w:rtl w:val="0"/>
        </w:rPr>
      </w:r>
    </w:p>
    <w:p w:rsidRPr="00000000" w:rsidR="00000000" w:rsidDel="00000000" w:rsidP="00000000" w:rsidRDefault="00000000" w14:paraId="0000000E">
      <w:pPr>
        <w:spacing w:line="240" w:lineRule="auto"/>
        <w:ind w:left="0" w:firstLine="0"/>
        <w:rPr/>
      </w:pPr>
      <w:r w:rsidRPr="00000000" w:rsidDel="00000000" w:rsidR="00000000">
        <w:rPr>
          <w:rtl w:val="0"/>
        </w:rPr>
      </w:r>
    </w:p>
    <w:p w:rsidRPr="00000000" w:rsidR="00000000" w:rsidDel="00000000" w:rsidP="00000000" w:rsidRDefault="00000000" w14:paraId="0000000F">
      <w:pPr>
        <w:spacing w:line="240" w:lineRule="auto"/>
        <w:ind w:left="0" w:firstLine="0"/>
        <w:rPr/>
      </w:pPr>
      <w:r w:rsidRPr="00000000" w:rsidDel="00000000" w:rsidR="00000000">
        <w:rPr>
          <w:rtl w:val="0"/>
        </w:rPr>
      </w:r>
    </w:p>
    <w:p w:rsidRPr="00000000" w:rsidR="00000000" w:rsidDel="00000000" w:rsidP="00000000" w:rsidRDefault="00000000" w14:paraId="00000010">
      <w:pPr>
        <w:spacing w:line="240" w:lineRule="auto"/>
        <w:ind w:left="0" w:firstLine="0"/>
        <w:rPr/>
      </w:pPr>
      <w:r w:rsidRPr="00000000" w:rsidDel="00000000" w:rsidR="00000000">
        <w:rPr>
          <w:rtl w:val="0"/>
        </w:rPr>
      </w:r>
    </w:p>
    <w:p w:rsidRPr="00000000" w:rsidR="00000000" w:rsidDel="00000000" w:rsidP="00000000" w:rsidRDefault="00000000" w14:paraId="00000011">
      <w:pPr>
        <w:spacing w:line="240" w:lineRule="auto"/>
        <w:ind w:left="0" w:firstLine="0"/>
        <w:rPr/>
      </w:pPr>
      <w:r w:rsidRPr="00000000" w:rsidDel="00000000" w:rsidR="00000000">
        <w:rPr>
          <w:rtl w:val="0"/>
        </w:rPr>
      </w:r>
    </w:p>
    <w:p w:rsidRPr="00000000" w:rsidR="00000000" w:rsidDel="00000000" w:rsidP="00000000" w:rsidRDefault="00000000" w14:paraId="00000012">
      <w:pPr>
        <w:spacing w:line="240" w:lineRule="auto"/>
        <w:ind w:left="0" w:firstLine="0"/>
        <w:rPr/>
      </w:pPr>
      <w:r w:rsidRPr="00000000" w:rsidDel="00000000" w:rsidR="00000000">
        <w:rPr>
          <w:rtl w:val="0"/>
        </w:rPr>
      </w:r>
    </w:p>
    <w:p w:rsidRPr="00000000" w:rsidR="00000000" w:rsidDel="00000000" w:rsidP="00000000" w:rsidRDefault="00000000" w14:paraId="00000013">
      <w:pPr>
        <w:spacing w:line="240" w:lineRule="auto"/>
        <w:ind w:left="0" w:firstLine="0"/>
        <w:rPr/>
      </w:pPr>
      <w:r w:rsidRPr="00000000" w:rsidDel="00000000" w:rsidR="00000000">
        <w:rPr>
          <w:rtl w:val="0"/>
        </w:rPr>
      </w:r>
    </w:p>
    <w:p w:rsidRPr="00000000" w:rsidR="00000000" w:rsidDel="00000000" w:rsidP="00000000" w:rsidRDefault="00000000" w14:paraId="00000014">
      <w:pPr>
        <w:spacing w:after="200" w:line="276" w:lineRule="auto"/>
        <w:ind w:left="0" w:hanging="360"/>
        <w:rPr>
          <w:b w:val="1"/>
          <w:bCs w:val="1"/>
          <w:sz w:val="24"/>
          <w:szCs w:val="24"/>
        </w:rPr>
      </w:pPr>
      <w:r w:rsidRPr="00000000" w:rsidDel="00000000" w:rsidR="00000000">
        <w:rPr>
          <w:b w:val="1"/>
          <w:bCs w:val="1"/>
          <w:sz w:val="24"/>
          <w:szCs w:val="24"/>
          <w:rtl w:val="0"/>
        </w:rPr>
        <w:t xml:space="preserve">Document Version Control</w:t>
      </w:r>
    </w:p>
    <w:tbl>
      <w:tblPr>
        <w:tblStyle w:val="Table2"/>
        <w:tblW w:w="10680.0" w:type="dxa"/>
        <w:jc w:val="left"/>
        <w:tblInd w:w="-72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530"/>
        <w:gridCol w:w="9150"/>
        <w:tblGridChange w:id="0">
          <w:tblGrid>
            <w:gridCol w:w="1530"/>
            <w:gridCol w:w="9150"/>
          </w:tblGrid>
        </w:tblGridChange>
      </w:tblGrid>
      <w:tr>
        <w:trPr>
          <w:cantSplit w:val="0"/>
          <w:tblHeader w:val="0"/>
        </w:trPr>
        <w:tc>
          <w:tcPr>
            <w:shd w:val="clear" w:fill="d9d9d9"/>
            <w:tcMar>
              <w:top w:w="72.0" w:type="dxa"/>
              <w:left w:w="72.0" w:type="dxa"/>
              <w:bottom w:w="72.0" w:type="dxa"/>
              <w:right w:w="72.0" w:type="dxa"/>
            </w:tcMar>
            <w:vAlign w:val="center"/>
          </w:tcPr>
          <w:p w:rsidRPr="00000000" w:rsidR="00000000" w:rsidDel="00000000" w:rsidP="00000000" w:rsidRDefault="00000000" w14:paraId="00000015">
            <w:pPr>
              <w:spacing w:line="276" w:lineRule="auto"/>
              <w:ind w:left="0" w:firstLine="0"/>
              <w:jc w:val="left"/>
              <w:rPr>
                <w:b w:val="1"/>
                <w:bCs w:val="1"/>
                <w:sz w:val="20"/>
                <w:szCs w:val="20"/>
              </w:rPr>
            </w:pPr>
            <w:r w:rsidRPr="00000000" w:rsidDel="00000000" w:rsidR="00000000">
              <w:rPr>
                <w:b w:val="1"/>
                <w:bCs w:val="1"/>
                <w:sz w:val="20"/>
                <w:szCs w:val="20"/>
                <w:rtl w:val="0"/>
              </w:rPr>
              <w:t xml:space="preserve">Version:</w:t>
            </w:r>
          </w:p>
        </w:tc>
        <w:tc>
          <w:tcPr>
            <w:tcMar>
              <w:top w:w="72.0" w:type="dxa"/>
              <w:left w:w="72.0" w:type="dxa"/>
              <w:bottom w:w="72.0" w:type="dxa"/>
              <w:right w:w="72.0" w:type="dxa"/>
            </w:tcMar>
            <w:vAlign w:val="center"/>
          </w:tcPr>
          <w:p w:rsidRPr="00000000" w:rsidR="00000000" w:rsidDel="00000000" w:rsidP="00000000" w:rsidRDefault="00000000" w14:paraId="00000016">
            <w:pPr>
              <w:spacing w:line="276" w:lineRule="auto"/>
              <w:ind w:left="0" w:firstLine="0"/>
              <w:jc w:val="left"/>
              <w:rPr>
                <w:sz w:val="20"/>
                <w:szCs w:val="20"/>
              </w:rPr>
            </w:pPr>
            <w:r w:rsidRPr="00000000" w:rsidDel="00000000" w:rsidR="00000000">
              <w:rPr>
                <w:sz w:val="20"/>
                <w:szCs w:val="20"/>
                <w:rtl w:val="0"/>
              </w:rPr>
              <w:t xml:space="preserve">3.3</w:t>
            </w:r>
          </w:p>
        </w:tc>
      </w:tr>
      <w:tr>
        <w:trPr>
          <w:cantSplit w:val="0"/>
          <w:tblHeader w:val="0"/>
        </w:trPr>
        <w:tc>
          <w:tcPr>
            <w:shd w:val="clear" w:fill="d9d9d9"/>
            <w:tcMar>
              <w:top w:w="72.0" w:type="dxa"/>
              <w:left w:w="72.0" w:type="dxa"/>
              <w:bottom w:w="72.0" w:type="dxa"/>
              <w:right w:w="72.0" w:type="dxa"/>
            </w:tcMar>
            <w:vAlign w:val="center"/>
          </w:tcPr>
          <w:p w:rsidRPr="00000000" w:rsidR="00000000" w:rsidDel="00000000" w:rsidP="00000000" w:rsidRDefault="00000000" w14:paraId="00000017">
            <w:pPr>
              <w:spacing w:line="276" w:lineRule="auto"/>
              <w:ind w:left="0" w:firstLine="0"/>
              <w:jc w:val="left"/>
              <w:rPr>
                <w:b w:val="1"/>
                <w:bCs w:val="1"/>
                <w:sz w:val="20"/>
                <w:szCs w:val="20"/>
              </w:rPr>
            </w:pPr>
            <w:r w:rsidRPr="00000000" w:rsidDel="00000000" w:rsidR="00000000">
              <w:rPr>
                <w:b w:val="1"/>
                <w:bCs w:val="1"/>
                <w:sz w:val="20"/>
                <w:szCs w:val="20"/>
                <w:rtl w:val="0"/>
              </w:rPr>
              <w:t xml:space="preserve">Date of Issue:</w:t>
            </w:r>
          </w:p>
        </w:tc>
        <w:tc>
          <w:tcPr>
            <w:tcMar>
              <w:top w:w="72.0" w:type="dxa"/>
              <w:left w:w="72.0" w:type="dxa"/>
              <w:bottom w:w="72.0" w:type="dxa"/>
              <w:right w:w="72.0" w:type="dxa"/>
            </w:tcMar>
            <w:vAlign w:val="center"/>
          </w:tcPr>
          <w:p w:rsidRPr="00000000" w:rsidR="00000000" w:rsidDel="00000000" w:rsidP="00000000" w:rsidRDefault="00000000" w14:paraId="00000018">
            <w:pPr>
              <w:spacing w:line="276" w:lineRule="auto"/>
              <w:ind w:left="0" w:firstLine="0"/>
              <w:jc w:val="left"/>
              <w:rPr>
                <w:sz w:val="20"/>
                <w:szCs w:val="20"/>
              </w:rPr>
            </w:pPr>
            <w:r w:rsidRPr="00000000" w:rsidDel="00000000" w:rsidR="00000000">
              <w:rPr>
                <w:sz w:val="20"/>
                <w:szCs w:val="20"/>
                <w:rtl w:val="0"/>
              </w:rPr>
              <w:t xml:space="preserve">0</w:t>
            </w:r>
            <w:r w:rsidRPr="00000000" w:rsidDel="00000000" w:rsidR="00000000">
              <w:rPr>
                <w:sz w:val="20"/>
                <w:szCs w:val="20"/>
                <w:rtl w:val="0"/>
              </w:rPr>
              <w:t xml:space="preserve">5</w:t>
            </w:r>
            <w:r w:rsidRPr="00000000" w:rsidDel="00000000" w:rsidR="00000000">
              <w:rPr>
                <w:sz w:val="20"/>
                <w:szCs w:val="20"/>
                <w:rtl w:val="0"/>
              </w:rPr>
              <w:t xml:space="preserve"> January 2026 </w:t>
            </w:r>
          </w:p>
        </w:tc>
      </w:tr>
      <w:tr>
        <w:trPr>
          <w:cantSplit w:val="0"/>
          <w:tblHeader w:val="0"/>
        </w:trPr>
        <w:tc>
          <w:tcPr>
            <w:shd w:val="clear" w:fill="d9d9d9"/>
            <w:tcMar>
              <w:top w:w="72.0" w:type="dxa"/>
              <w:left w:w="72.0" w:type="dxa"/>
              <w:bottom w:w="72.0" w:type="dxa"/>
              <w:right w:w="72.0" w:type="dxa"/>
            </w:tcMar>
            <w:vAlign w:val="center"/>
          </w:tcPr>
          <w:p w:rsidRPr="00000000" w:rsidR="00000000" w:rsidDel="00000000" w:rsidP="00000000" w:rsidRDefault="00000000" w14:paraId="00000019">
            <w:pPr>
              <w:spacing w:line="276" w:lineRule="auto"/>
              <w:ind w:left="0" w:firstLine="0"/>
              <w:jc w:val="left"/>
              <w:rPr>
                <w:b w:val="1"/>
                <w:bCs w:val="1"/>
                <w:sz w:val="20"/>
                <w:szCs w:val="20"/>
              </w:rPr>
            </w:pPr>
            <w:r w:rsidRPr="00000000" w:rsidDel="00000000" w:rsidR="00000000">
              <w:rPr>
                <w:b w:val="1"/>
                <w:bCs w:val="1"/>
                <w:sz w:val="20"/>
                <w:szCs w:val="20"/>
                <w:rtl w:val="0"/>
              </w:rPr>
              <w:t xml:space="preserve">Document Owner:</w:t>
            </w:r>
          </w:p>
        </w:tc>
        <w:tc>
          <w:tcPr>
            <w:tcMar>
              <w:top w:w="72.0" w:type="dxa"/>
              <w:left w:w="72.0" w:type="dxa"/>
              <w:bottom w:w="72.0" w:type="dxa"/>
              <w:right w:w="72.0" w:type="dxa"/>
            </w:tcMar>
            <w:vAlign w:val="center"/>
          </w:tcPr>
          <w:p w:rsidRPr="00000000" w:rsidR="00000000" w:rsidDel="00000000" w:rsidP="00000000" w:rsidRDefault="00000000" w14:paraId="0000001A">
            <w:pPr>
              <w:spacing w:before="0" w:after="40" w:line="276" w:lineRule="auto"/>
              <w:ind w:left="0" w:firstLine="0"/>
              <w:jc w:val="left"/>
              <w:rPr>
                <w:sz w:val="20"/>
                <w:szCs w:val="20"/>
              </w:rPr>
            </w:pPr>
            <w:r w:rsidRPr="00000000" w:rsidDel="00000000" w:rsidR="00000000">
              <w:rPr>
                <w:b w:val="1"/>
                <w:bCs w:val="1"/>
                <w:sz w:val="20"/>
                <w:szCs w:val="20"/>
                <w:rtl w:val="0"/>
              </w:rPr>
              <w:t xml:space="preserve">Noah Perlman</w:t>
            </w:r>
            <w:r w:rsidRPr="00000000" w:rsidDel="00000000" w:rsidR="00000000">
              <w:rPr>
                <w:sz w:val="20"/>
                <w:szCs w:val="20"/>
                <w:rtl w:val="0"/>
              </w:rPr>
              <w:t xml:space="preserve">, Chief Compliance Officer</w:t>
            </w:r>
          </w:p>
          <w:p w:rsidRPr="00000000" w:rsidR="00000000" w:rsidDel="00000000" w:rsidP="00000000" w:rsidRDefault="00000000" w14:paraId="0000001B">
            <w:pPr>
              <w:spacing w:before="40" w:after="0" w:line="276" w:lineRule="auto"/>
              <w:ind w:left="0" w:firstLine="0"/>
              <w:jc w:val="left"/>
              <w:rPr>
                <w:sz w:val="20"/>
                <w:szCs w:val="20"/>
              </w:rPr>
            </w:pPr>
            <w:r w:rsidRPr="00000000" w:rsidDel="00000000" w:rsidR="00000000">
              <w:rPr>
                <w:b w:val="1"/>
                <w:bCs w:val="1"/>
                <w:sz w:val="20"/>
                <w:szCs w:val="20"/>
                <w:rtl w:val="0"/>
              </w:rPr>
              <w:t xml:space="preserve">Wilson Cheung</w:t>
            </w:r>
            <w:r w:rsidRPr="00000000" w:rsidDel="00000000" w:rsidR="00000000">
              <w:rPr>
                <w:sz w:val="20"/>
                <w:szCs w:val="20"/>
                <w:rtl w:val="0"/>
              </w:rPr>
              <w:t xml:space="preserve">, MLRO/CO of ADGM (Nest Exchange Limited &amp; Nest Clearing and Custody Limited)</w:t>
            </w:r>
          </w:p>
          <w:p w:rsidRPr="00000000" w:rsidR="00000000" w:rsidDel="00000000" w:rsidP="00000000" w:rsidRDefault="00000000" w14:paraId="0000001C">
            <w:pPr>
              <w:spacing w:before="40" w:after="0" w:line="276" w:lineRule="auto"/>
              <w:ind w:left="0" w:firstLine="0"/>
              <w:jc w:val="left"/>
              <w:rPr>
                <w:sz w:val="20"/>
                <w:szCs w:val="20"/>
              </w:rPr>
            </w:pPr>
            <w:r w:rsidRPr="00000000" w:rsidDel="00000000" w:rsidR="00000000">
              <w:rPr>
                <w:b w:val="1"/>
                <w:bCs w:val="1"/>
                <w:sz w:val="20"/>
                <w:szCs w:val="20"/>
                <w:rtl w:val="0"/>
              </w:rPr>
              <w:t xml:space="preserve">David Harrington </w:t>
            </w:r>
            <w:r w:rsidRPr="00000000" w:rsidDel="00000000" w:rsidR="00000000">
              <w:rPr>
                <w:sz w:val="20"/>
                <w:szCs w:val="20"/>
                <w:rtl w:val="0"/>
              </w:rPr>
              <w:t xml:space="preserve">, MLRO/CO of ADGM (Nest Trading Limited)</w:t>
            </w:r>
          </w:p>
        </w:tc>
      </w:tr>
      <w:tr>
        <w:trPr>
          <w:cantSplit w:val="0"/>
          <w:tblHeader w:val="0"/>
        </w:trPr>
        <w:tc>
          <w:tcPr>
            <w:shd w:val="clear" w:fill="d9d9d9"/>
            <w:tcMar>
              <w:top w:w="72.0" w:type="dxa"/>
              <w:left w:w="72.0" w:type="dxa"/>
              <w:bottom w:w="72.0" w:type="dxa"/>
              <w:right w:w="72.0" w:type="dxa"/>
            </w:tcMar>
            <w:vAlign w:val="center"/>
          </w:tcPr>
          <w:p w:rsidRPr="00000000" w:rsidR="00000000" w:rsidDel="00000000" w:rsidP="00000000" w:rsidRDefault="00000000" w14:paraId="0000001D">
            <w:pPr>
              <w:spacing w:line="276" w:lineRule="auto"/>
              <w:ind w:left="0" w:firstLine="0"/>
              <w:jc w:val="left"/>
              <w:rPr>
                <w:b w:val="1"/>
                <w:bCs w:val="1"/>
                <w:sz w:val="20"/>
                <w:szCs w:val="20"/>
              </w:rPr>
            </w:pPr>
            <w:r w:rsidRPr="00000000" w:rsidDel="00000000" w:rsidR="00000000">
              <w:rPr>
                <w:b w:val="1"/>
                <w:bCs w:val="1"/>
                <w:sz w:val="20"/>
                <w:szCs w:val="20"/>
                <w:rtl w:val="0"/>
              </w:rPr>
              <w:t xml:space="preserve">Next Review Date:</w:t>
            </w:r>
          </w:p>
        </w:tc>
        <w:tc>
          <w:tcPr>
            <w:tcMar>
              <w:top w:w="72.0" w:type="dxa"/>
              <w:left w:w="72.0" w:type="dxa"/>
              <w:bottom w:w="72.0" w:type="dxa"/>
              <w:right w:w="72.0" w:type="dxa"/>
            </w:tcMar>
            <w:vAlign w:val="center"/>
          </w:tcPr>
          <w:p w:rsidRPr="00000000" w:rsidR="00000000" w:rsidDel="00000000" w:rsidP="00000000" w:rsidRDefault="00000000" w14:paraId="0000001E">
            <w:pPr>
              <w:spacing w:line="276" w:lineRule="auto"/>
              <w:ind w:left="0" w:firstLine="0"/>
              <w:jc w:val="left"/>
              <w:rPr>
                <w:sz w:val="20"/>
                <w:szCs w:val="20"/>
              </w:rPr>
            </w:pPr>
            <w:r w:rsidRPr="00000000" w:rsidDel="00000000" w:rsidR="00000000">
              <w:rPr>
                <w:sz w:val="20"/>
                <w:szCs w:val="20"/>
                <w:rtl w:val="0"/>
              </w:rPr>
              <w:t xml:space="preserve">05 January 2027</w:t>
            </w:r>
          </w:p>
        </w:tc>
      </w:tr>
    </w:tbl>
    <w:p w:rsidRPr="00000000" w:rsidR="00000000" w:rsidDel="00000000" w:rsidP="00000000" w:rsidRDefault="00000000" w14:paraId="0000001F">
      <w:pPr>
        <w:spacing w:after="200" w:line="276" w:lineRule="auto"/>
        <w:ind w:left="0" w:firstLine="0"/>
        <w:rPr>
          <w:b w:val="1"/>
          <w:bCs w:val="1"/>
          <w:sz w:val="20"/>
          <w:szCs w:val="20"/>
        </w:rPr>
      </w:pPr>
      <w:r w:rsidRPr="00000000" w:rsidDel="00000000" w:rsidR="00000000">
        <w:rPr>
          <w:rtl w:val="0"/>
        </w:rPr>
      </w:r>
    </w:p>
    <w:p w:rsidRPr="00000000" w:rsidR="00000000" w:rsidDel="00000000" w:rsidP="00000000" w:rsidRDefault="00000000" w14:paraId="00000020">
      <w:pPr>
        <w:widowControl w:val="0"/>
        <w:spacing w:line="240" w:lineRule="auto"/>
        <w:ind w:firstLine="709"/>
        <w:rPr/>
      </w:pPr>
      <w:r w:rsidRPr="00000000" w:rsidDel="00000000" w:rsidR="00000000">
        <w:rPr>
          <w:rtl w:val="0"/>
        </w:rPr>
      </w:r>
    </w:p>
    <w:p w:rsidRPr="00000000" w:rsidR="00000000" w:rsidDel="00000000" w:rsidP="00000000" w:rsidRDefault="00000000" w14:paraId="00000021">
      <w:pPr>
        <w:keepNext w:val="0"/>
        <w:keepLines w:val="0"/>
        <w:pageBreakBefore w:val="0"/>
        <w:widowControl w:val="1"/>
        <w:pBdr>
          <w:top w:val="nil" w:sz="0" w:space="0"/>
          <w:left w:val="nil" w:sz="0" w:space="0"/>
          <w:bottom w:val="nil" w:sz="0" w:space="0"/>
          <w:right w:val="nil" w:sz="0" w:space="0"/>
          <w:between w:val="nil" w:sz="0" w:space="0"/>
        </w:pBdr>
        <w:shd w:val="clear" w:fill="auto"/>
        <w:spacing w:before="120" w:after="120" w:line="360" w:lineRule="auto"/>
        <w:ind w:left="0" w:right="0" w:firstLine="0"/>
        <w:jc w:val="both"/>
        <w:rPr>
          <w:b w:val="1"/>
          <w:bCs w:val="1"/>
          <w:sz w:val="24"/>
          <w:szCs w:val="24"/>
        </w:rPr>
      </w:pPr>
      <w:r w:rsidRPr="00000000" w:rsidDel="00000000" w:rsidR="00000000">
        <w:rPr>
          <w:rtl w:val="0"/>
        </w:rPr>
      </w:r>
    </w:p>
    <w:p w:rsidRPr="00000000" w:rsidR="00000000" w:rsidDel="00000000" w:rsidP="00000000" w:rsidRDefault="00000000" w14:paraId="00000022">
      <w:pPr>
        <w:spacing w:after="200" w:line="276" w:lineRule="auto"/>
        <w:ind w:left="0" w:hanging="360"/>
        <w:rPr>
          <w:b w:val="1"/>
          <w:bCs w:val="1"/>
          <w:sz w:val="24"/>
          <w:szCs w:val="24"/>
        </w:rPr>
      </w:pPr>
      <w:r w:rsidRPr="00000000" w:rsidDel="00000000" w:rsidR="00000000">
        <w:br w:type="page"/>
      </w:r>
      <w:r w:rsidRPr="00000000" w:rsidDel="00000000" w:rsidR="00000000">
        <w:rPr>
          <w:rtl w:val="0"/>
        </w:rPr>
      </w:r>
    </w:p>
    <w:p w:rsidRPr="00000000" w:rsidR="00000000" w:rsidDel="00000000" w:rsidP="00000000" w:rsidRDefault="00000000" w14:paraId="00000023">
      <w:pPr>
        <w:spacing w:after="200" w:line="276" w:lineRule="auto"/>
        <w:ind w:left="0" w:hanging="360"/>
        <w:rPr>
          <w:b w:val="1"/>
          <w:bCs w:val="1"/>
          <w:sz w:val="24"/>
          <w:szCs w:val="24"/>
        </w:rPr>
      </w:pPr>
      <w:r w:rsidRPr="00000000" w:rsidDel="00000000" w:rsidR="00000000">
        <w:rPr>
          <w:b w:val="1"/>
          <w:bCs w:val="1"/>
          <w:sz w:val="24"/>
          <w:szCs w:val="24"/>
          <w:rtl w:val="0"/>
        </w:rPr>
        <w:t xml:space="preserve">Version History, Approval and Sign-Off</w:t>
      </w:r>
    </w:p>
    <w:sdt>
      <w:sdtPr>
        <w:lock w:val="contentLocked"/>
        <w:id w:val="-1332032392"/>
        <w:tag w:val="goog_rdk_0"/>
      </w:sdtPr>
      <w:sdtContent>
        <w:tbl>
          <w:tblPr>
            <w:tblStyle w:val="Table3"/>
            <w:tblW w:w="10905.0" w:type="dxa"/>
            <w:jc w:val="left"/>
            <w:tblInd w:w="-79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810"/>
            <w:gridCol w:w="6045"/>
            <w:gridCol w:w="2190"/>
            <w:gridCol w:w="1860"/>
            <w:tblGridChange w:id="0">
              <w:tblGrid>
                <w:gridCol w:w="810"/>
                <w:gridCol w:w="6045"/>
                <w:gridCol w:w="2190"/>
                <w:gridCol w:w="1860"/>
              </w:tblGrid>
            </w:tblGridChange>
          </w:tblGrid>
          <w:tr>
            <w:trPr>
              <w:cantSplit w:val="0"/>
              <w:trHeight w:val="600" w:hRule="atLeast"/>
              <w:tblHeader w:val="0"/>
            </w:trPr>
            <w:tc>
              <w:tcPr>
                <w:shd w:val="clear" w:fill="d9d9d9"/>
                <w:vAlign w:val="center"/>
              </w:tcPr>
              <w:p w:rsidRPr="00000000" w:rsidR="00000000" w:rsidDel="00000000" w:rsidP="00000000" w:rsidRDefault="00000000" w14:paraId="00000024">
                <w:pPr>
                  <w:ind w:left="0" w:firstLine="0"/>
                  <w:jc w:val="center"/>
                  <w:rPr>
                    <w:b w:val="1"/>
                    <w:bCs w:val="1"/>
                    <w:sz w:val="16"/>
                    <w:szCs w:val="16"/>
                  </w:rPr>
                </w:pPr>
                <w:r w:rsidRPr="00000000" w:rsidDel="00000000" w:rsidR="00000000">
                  <w:rPr>
                    <w:b w:val="1"/>
                    <w:bCs w:val="1"/>
                    <w:sz w:val="16"/>
                    <w:szCs w:val="16"/>
                    <w:rtl w:val="0"/>
                  </w:rPr>
                  <w:t xml:space="preserve">Version No</w:t>
                </w:r>
              </w:p>
            </w:tc>
            <w:tc>
              <w:tcPr>
                <w:shd w:val="clear" w:fill="d9d9d9"/>
                <w:tcMar>
                  <w:top w:w="100.0" w:type="dxa"/>
                  <w:left w:w="100.0" w:type="dxa"/>
                  <w:bottom w:w="100.0" w:type="dxa"/>
                  <w:right w:w="100.0" w:type="dxa"/>
                </w:tcMar>
                <w:vAlign w:val="center"/>
              </w:tcPr>
              <w:p w:rsidRPr="00000000" w:rsidR="00000000" w:rsidDel="00000000" w:rsidP="00000000" w:rsidRDefault="00000000" w14:paraId="00000025">
                <w:pPr>
                  <w:ind w:left="0" w:firstLine="0"/>
                  <w:jc w:val="center"/>
                  <w:rPr>
                    <w:b w:val="1"/>
                    <w:bCs w:val="1"/>
                    <w:sz w:val="18"/>
                    <w:szCs w:val="18"/>
                  </w:rPr>
                </w:pPr>
                <w:r w:rsidRPr="00000000" w:rsidDel="00000000" w:rsidR="00000000">
                  <w:rPr>
                    <w:b w:val="1"/>
                    <w:bCs w:val="1"/>
                    <w:sz w:val="18"/>
                    <w:szCs w:val="18"/>
                    <w:rtl w:val="0"/>
                  </w:rPr>
                  <w:t xml:space="preserve">Change Description</w:t>
                </w:r>
              </w:p>
            </w:tc>
            <w:tc>
              <w:tcPr>
                <w:shd w:val="clear" w:fill="d9d9d9"/>
                <w:vAlign w:val="center"/>
              </w:tcPr>
              <w:p w:rsidRPr="00000000" w:rsidR="00000000" w:rsidDel="00000000" w:rsidP="00000000" w:rsidRDefault="00000000" w14:paraId="00000026">
                <w:pPr>
                  <w:ind w:left="0" w:firstLine="0"/>
                  <w:jc w:val="center"/>
                  <w:rPr>
                    <w:b w:val="1"/>
                    <w:bCs w:val="1"/>
                    <w:sz w:val="18"/>
                    <w:szCs w:val="18"/>
                  </w:rPr>
                </w:pPr>
                <w:r w:rsidRPr="00000000" w:rsidDel="00000000" w:rsidR="00000000">
                  <w:rPr>
                    <w:b w:val="1"/>
                    <w:bCs w:val="1"/>
                    <w:sz w:val="18"/>
                    <w:szCs w:val="18"/>
                    <w:rtl w:val="0"/>
                  </w:rPr>
                  <w:t xml:space="preserve">Approval Authority </w:t>
                </w:r>
              </w:p>
              <w:p w:rsidRPr="00000000" w:rsidR="00000000" w:rsidDel="00000000" w:rsidP="00000000" w:rsidRDefault="00000000" w14:paraId="00000027">
                <w:pPr>
                  <w:ind w:left="0" w:firstLine="0"/>
                  <w:jc w:val="center"/>
                  <w:rPr>
                    <w:b w:val="1"/>
                    <w:bCs w:val="1"/>
                    <w:sz w:val="18"/>
                    <w:szCs w:val="18"/>
                  </w:rPr>
                </w:pPr>
                <w:r w:rsidRPr="00000000" w:rsidDel="00000000" w:rsidR="00000000">
                  <w:rPr>
                    <w:b w:val="1"/>
                    <w:bCs w:val="1"/>
                    <w:sz w:val="18"/>
                    <w:szCs w:val="18"/>
                    <w:rtl w:val="0"/>
                  </w:rPr>
                  <w:t xml:space="preserve">&amp; Department</w:t>
                </w:r>
              </w:p>
            </w:tc>
            <w:tc>
              <w:tcPr>
                <w:shd w:val="clear" w:fill="d9d9d9"/>
                <w:vAlign w:val="center"/>
              </w:tcPr>
              <w:p w:rsidRPr="00000000" w:rsidR="00000000" w:rsidDel="00000000" w:rsidP="00000000" w:rsidRDefault="00000000" w14:paraId="00000028">
                <w:pPr>
                  <w:ind w:left="0"/>
                  <w:jc w:val="center"/>
                  <w:rPr>
                    <w:b w:val="1"/>
                    <w:bCs w:val="1"/>
                    <w:sz w:val="18"/>
                    <w:szCs w:val="18"/>
                  </w:rPr>
                </w:pPr>
                <w:r w:rsidRPr="00000000" w:rsidDel="00000000" w:rsidR="00000000">
                  <w:rPr>
                    <w:b w:val="1"/>
                    <w:bCs w:val="1"/>
                    <w:sz w:val="18"/>
                    <w:szCs w:val="18"/>
                    <w:rtl w:val="0"/>
                  </w:rPr>
                  <w:t xml:space="preserve">Review &amp; </w:t>
                </w:r>
              </w:p>
              <w:p w:rsidRPr="00000000" w:rsidR="00000000" w:rsidDel="00000000" w:rsidP="00000000" w:rsidRDefault="00000000" w14:paraId="00000029">
                <w:pPr>
                  <w:ind w:left="0"/>
                  <w:jc w:val="center"/>
                  <w:rPr>
                    <w:b w:val="1"/>
                    <w:bCs w:val="1"/>
                    <w:sz w:val="18"/>
                    <w:szCs w:val="18"/>
                  </w:rPr>
                </w:pPr>
                <w:r w:rsidRPr="00000000" w:rsidDel="00000000" w:rsidR="00000000">
                  <w:rPr>
                    <w:b w:val="1"/>
                    <w:bCs w:val="1"/>
                    <w:sz w:val="18"/>
                    <w:szCs w:val="18"/>
                    <w:rtl w:val="0"/>
                  </w:rPr>
                  <w:t xml:space="preserve">Approval Date</w:t>
                </w:r>
              </w:p>
            </w:tc>
          </w:tr>
          <w:tr>
            <w:trPr>
              <w:cantSplit w:val="0"/>
              <w:trHeight w:val="870" w:hRule="atLeast"/>
              <w:tblHeader w:val="0"/>
            </w:trPr>
            <w:tc>
              <w:tcPr>
                <w:vMerge w:val="restart"/>
                <w:vAlign w:val="center"/>
              </w:tcPr>
              <w:p w:rsidRPr="00000000" w:rsidR="00000000" w:rsidDel="00000000" w:rsidP="00000000" w:rsidRDefault="00000000" w14:paraId="0000002A">
                <w:pPr>
                  <w:ind w:left="0" w:firstLine="0"/>
                  <w:jc w:val="center"/>
                  <w:rPr>
                    <w:b w:val="1"/>
                    <w:bCs w:val="1"/>
                    <w:sz w:val="20"/>
                    <w:szCs w:val="20"/>
                  </w:rPr>
                </w:pPr>
                <w:r w:rsidRPr="00000000" w:rsidDel="00000000" w:rsidR="00000000">
                  <w:rPr>
                    <w:b w:val="1"/>
                    <w:bCs w:val="1"/>
                    <w:sz w:val="20"/>
                    <w:szCs w:val="20"/>
                    <w:rtl w:val="0"/>
                  </w:rPr>
                  <w:t xml:space="preserve">3.3</w:t>
                </w:r>
              </w:p>
            </w:tc>
            <w:tc>
              <w:tcPr>
                <w:vMerge w:val="restart"/>
                <w:vAlign w:val="center"/>
              </w:tcPr>
              <w:p w:rsidRPr="00000000" w:rsidR="00000000" w:rsidDel="00000000" w:rsidP="00000000" w:rsidRDefault="00000000" w14:paraId="0000002B">
                <w:pPr>
                  <w:numPr>
                    <w:ilvl w:val="0"/>
                    <w:numId w:val="15"/>
                  </w:numPr>
                  <w:spacing w:before="40" w:after="40" w:lineRule="auto"/>
                  <w:ind w:left="270" w:hanging="270"/>
                  <w:jc w:val="left"/>
                  <w:rPr/>
                </w:pPr>
                <w:r w:rsidRPr="00000000" w:rsidDel="00000000" w:rsidR="00000000">
                  <w:rPr>
                    <w:sz w:val="18"/>
                    <w:szCs w:val="18"/>
                    <w:rtl w:val="0"/>
                  </w:rPr>
                  <w:t xml:space="preserve">Amended in line with ADGM FSRA requirements.</w:t>
                </w:r>
              </w:p>
              <w:p w:rsidRPr="00000000" w:rsidR="00000000" w:rsidDel="00000000" w:rsidP="00000000" w:rsidRDefault="00000000" w14:paraId="0000002C">
                <w:pPr>
                  <w:numPr>
                    <w:ilvl w:val="0"/>
                    <w:numId w:val="15"/>
                  </w:numPr>
                  <w:spacing w:before="40" w:after="40" w:lineRule="auto"/>
                  <w:ind w:left="270" w:hanging="270"/>
                  <w:jc w:val="left"/>
                  <w:rPr/>
                </w:pPr>
                <w:r w:rsidRPr="00000000" w:rsidDel="00000000" w:rsidR="00000000">
                  <w:rPr>
                    <w:sz w:val="18"/>
                    <w:szCs w:val="18"/>
                    <w:rtl w:val="0"/>
                  </w:rPr>
                  <w:t xml:space="preserve">Updated section 1.2 for legal and regulatory background after ADGM licensing.</w:t>
                </w:r>
              </w:p>
              <w:p w:rsidRPr="00000000" w:rsidR="00000000" w:rsidDel="00000000" w:rsidP="00000000" w:rsidRDefault="00000000" w14:paraId="0000002D">
                <w:pPr>
                  <w:numPr>
                    <w:ilvl w:val="0"/>
                    <w:numId w:val="15"/>
                  </w:numPr>
                  <w:spacing w:before="40" w:after="40" w:lineRule="auto"/>
                  <w:ind w:left="270" w:hanging="270"/>
                  <w:jc w:val="left"/>
                  <w:rPr>
                    <w:u w:val="none"/>
                  </w:rPr>
                </w:pPr>
                <w:r w:rsidRPr="00000000" w:rsidDel="00000000" w:rsidR="00000000">
                  <w:rPr>
                    <w:sz w:val="18"/>
                    <w:szCs w:val="18"/>
                    <w:rtl w:val="0"/>
                  </w:rPr>
                  <w:t xml:space="preserve">Updated section 6, Organization and People, to reflect recent changes within the Compliance teams.</w:t>
                </w:r>
                <w:r w:rsidRPr="00000000" w:rsidDel="00000000" w:rsidR="00000000">
                  <w:rPr>
                    <w:rtl w:val="0"/>
                  </w:rPr>
                </w:r>
              </w:p>
              <w:p w:rsidRPr="00000000" w:rsidR="00000000" w:rsidDel="00000000" w:rsidP="00000000" w:rsidRDefault="00000000" w14:paraId="0000002E">
                <w:pPr>
                  <w:numPr>
                    <w:ilvl w:val="0"/>
                    <w:numId w:val="15"/>
                  </w:numPr>
                  <w:spacing w:before="40" w:after="40" w:lineRule="auto"/>
                  <w:ind w:left="270" w:hanging="270"/>
                  <w:jc w:val="left"/>
                  <w:rPr>
                    <w:sz w:val="18"/>
                    <w:szCs w:val="18"/>
                    <w:u w:val="none"/>
                  </w:rPr>
                </w:pPr>
                <w:r w:rsidRPr="00000000" w:rsidDel="00000000" w:rsidR="00000000">
                  <w:rPr>
                    <w:sz w:val="18"/>
                    <w:szCs w:val="18"/>
                    <w:rtl w:val="0"/>
                  </w:rPr>
                  <w:t xml:space="preserve">Removed section 6.9, Global Enterprise Risk Committee, following the committee’s disbandment.</w:t>
                </w:r>
                <w:r w:rsidRPr="00000000" w:rsidDel="00000000" w:rsidR="00000000">
                  <w:rPr>
                    <w:rtl w:val="0"/>
                  </w:rPr>
                </w:r>
              </w:p>
              <w:p w:rsidRPr="00000000" w:rsidR="00000000" w:rsidDel="00000000" w:rsidP="00000000" w:rsidRDefault="00000000" w14:paraId="0000002F">
                <w:pPr>
                  <w:numPr>
                    <w:ilvl w:val="0"/>
                    <w:numId w:val="15"/>
                  </w:numPr>
                  <w:spacing w:before="40" w:after="40" w:lineRule="auto"/>
                  <w:ind w:left="270" w:hanging="270"/>
                  <w:jc w:val="left"/>
                  <w:rPr>
                    <w:sz w:val="18"/>
                    <w:szCs w:val="18"/>
                    <w:u w:val="none"/>
                  </w:rPr>
                </w:pPr>
                <w:r w:rsidRPr="00000000" w:rsidDel="00000000" w:rsidR="00000000">
                  <w:rPr>
                    <w:sz w:val="18"/>
                    <w:szCs w:val="18"/>
                    <w:rtl w:val="0"/>
                  </w:rPr>
                  <w:t xml:space="preserve">Updated section 11.3, Enhanced Due Diligence, to align with the current onboarding process.</w:t>
                </w:r>
              </w:p>
              <w:p w:rsidRPr="00000000" w:rsidR="00000000" w:rsidDel="00000000" w:rsidP="00000000" w:rsidRDefault="00000000" w14:paraId="00000030">
                <w:pPr>
                  <w:numPr>
                    <w:ilvl w:val="0"/>
                    <w:numId w:val="15"/>
                  </w:numPr>
                  <w:spacing w:before="40" w:after="40" w:lineRule="auto"/>
                  <w:ind w:left="270" w:hanging="270"/>
                  <w:jc w:val="left"/>
                  <w:rPr>
                    <w:sz w:val="18"/>
                    <w:szCs w:val="18"/>
                    <w:u w:val="none"/>
                  </w:rPr>
                </w:pPr>
                <w:r w:rsidRPr="00000000" w:rsidDel="00000000" w:rsidR="00000000">
                  <w:rPr>
                    <w:sz w:val="18"/>
                    <w:szCs w:val="18"/>
                    <w:rtl w:val="0"/>
                  </w:rPr>
                  <w:t xml:space="preserve">Revised to align with the ADGM Rulebook and EOCN Guidance on Targeted Financial Sanctions (TFS). Updated ‘Scope’ section 3, ‘Sanctions’ section 4.5, and the addition of a new section 19 on ‘Targeted Financial Sanctions’.</w:t>
                </w:r>
              </w:p>
              <w:p w:rsidRPr="00000000" w:rsidR="00000000" w:rsidDel="00000000" w:rsidP="00000000" w:rsidRDefault="00000000" w14:paraId="00000031">
                <w:pPr>
                  <w:numPr>
                    <w:ilvl w:val="0"/>
                    <w:numId w:val="15"/>
                  </w:numPr>
                  <w:spacing w:before="40" w:after="40" w:lineRule="auto"/>
                  <w:ind w:left="270" w:hanging="270"/>
                  <w:jc w:val="left"/>
                  <w:rPr>
                    <w:sz w:val="18"/>
                    <w:szCs w:val="18"/>
                    <w:u w:val="none"/>
                  </w:rPr>
                </w:pPr>
                <w:r w:rsidRPr="00000000" w:rsidDel="00000000" w:rsidR="00000000">
                  <w:rPr>
                    <w:sz w:val="18"/>
                    <w:szCs w:val="18"/>
                    <w:rtl w:val="0"/>
                  </w:rPr>
                  <w:t xml:space="preserve">Updated section 18 Travel Rule for ADGM FRSA’s requirement</w:t>
                </w:r>
              </w:p>
              <w:p w:rsidRPr="00000000" w:rsidR="00000000" w:rsidDel="00000000" w:rsidP="00000000" w:rsidRDefault="00000000" w14:paraId="00000032">
                <w:pPr>
                  <w:numPr>
                    <w:ilvl w:val="0"/>
                    <w:numId w:val="15"/>
                  </w:numPr>
                  <w:spacing w:before="40" w:after="40" w:lineRule="auto"/>
                  <w:ind w:left="270" w:hanging="270"/>
                  <w:jc w:val="left"/>
                  <w:rPr>
                    <w:sz w:val="18"/>
                    <w:szCs w:val="18"/>
                    <w:u w:val="none"/>
                  </w:rPr>
                </w:pPr>
                <w:r w:rsidRPr="00000000" w:rsidDel="00000000" w:rsidR="00000000">
                  <w:rPr>
                    <w:sz w:val="18"/>
                    <w:szCs w:val="18"/>
                    <w:rtl w:val="0"/>
                  </w:rPr>
                  <w:t xml:space="preserve">New insertion of section 19 for “Targeted Financial Sanctions” for ADGM FSRA/UAE’s requirements</w:t>
                </w:r>
              </w:p>
            </w:tc>
            <w:tc>
              <w:tcPr>
                <w:vAlign w:val="center"/>
              </w:tcPr>
              <w:p w:rsidRPr="00000000" w:rsidR="00000000" w:rsidDel="00000000" w:rsidP="00000000" w:rsidRDefault="00000000" w14:paraId="00000033">
                <w:pPr>
                  <w:widowControl w:val="0"/>
                  <w:ind w:left="0" w:firstLine="0"/>
                  <w:jc w:val="center"/>
                  <w:rPr>
                    <w:sz w:val="20"/>
                    <w:szCs w:val="20"/>
                  </w:rPr>
                </w:pPr>
                <w:r w:rsidRPr="00000000" w:rsidDel="00000000" w:rsidR="00000000">
                  <w:rPr>
                    <w:sz w:val="20"/>
                    <w:szCs w:val="20"/>
                    <w:rtl w:val="0"/>
                  </w:rPr>
                  <w:t xml:space="preserve">ADGM Board </w:t>
                </w:r>
              </w:p>
              <w:p w:rsidRPr="00000000" w:rsidR="00000000" w:rsidDel="00000000" w:rsidP="00000000" w:rsidRDefault="00000000" w14:paraId="00000034">
                <w:pPr>
                  <w:widowControl w:val="0"/>
                  <w:ind w:left="0" w:firstLine="0"/>
                  <w:jc w:val="center"/>
                  <w:rPr>
                    <w:color w:val="666666"/>
                    <w:sz w:val="20"/>
                    <w:szCs w:val="20"/>
                  </w:rPr>
                </w:pPr>
                <w:r w:rsidRPr="00000000" w:rsidDel="00000000" w:rsidR="00000000">
                  <w:rPr>
                    <w:sz w:val="20"/>
                    <w:szCs w:val="20"/>
                    <w:rtl w:val="0"/>
                  </w:rPr>
                  <w:t xml:space="preserve">of Directors</w:t>
                </w:r>
                <w:r w:rsidRPr="00000000" w:rsidDel="00000000" w:rsidR="00000000">
                  <w:rPr>
                    <w:rtl w:val="0"/>
                  </w:rPr>
                </w:r>
              </w:p>
            </w:tc>
            <w:tc>
              <w:tcPr>
                <w:shd w:val="clear" w:fill="ffff00"/>
                <w:vAlign w:val="center"/>
              </w:tcPr>
              <w:p w:rsidRPr="00000000" w:rsidR="00000000" w:rsidDel="00000000" w:rsidP="00000000" w:rsidRDefault="00000000" w14:paraId="00000035">
                <w:pPr>
                  <w:ind w:left="0"/>
                  <w:jc w:val="center"/>
                  <w:rPr>
                    <w:sz w:val="20"/>
                    <w:szCs w:val="20"/>
                  </w:rPr>
                </w:pPr>
                <w:r w:rsidRPr="00000000" w:rsidDel="00000000" w:rsidR="00000000">
                  <w:rPr>
                    <w:sz w:val="20"/>
                    <w:szCs w:val="20"/>
                    <w:rtl w:val="0"/>
                  </w:rPr>
                  <w:t xml:space="preserve">DD Month YYYY</w:t>
                </w:r>
              </w:p>
            </w:tc>
          </w:tr>
          <w:tr>
            <w:trPr>
              <w:cantSplit w:val="0"/>
              <w:trHeight w:val="1035" w:hRule="atLeast"/>
              <w:tblHeader w:val="0"/>
            </w:trPr>
            <w:tc>
              <w:tcPr>
                <w:vMerge w:val="continue"/>
                <w:vAlign w:val="center"/>
              </w:tcPr>
              <w:p w:rsidRPr="00000000" w:rsidR="00000000" w:rsidDel="00000000" w:rsidP="00000000" w:rsidRDefault="00000000" w14:paraId="00000036">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0"/>
                    <w:szCs w:val="20"/>
                  </w:rPr>
                </w:pPr>
                <w:r w:rsidRPr="00000000" w:rsidDel="00000000" w:rsidR="00000000">
                  <w:rPr>
                    <w:rtl w:val="0"/>
                  </w:rPr>
                </w:r>
              </w:p>
            </w:tc>
            <w:tc>
              <w:tcPr>
                <w:vMerge w:val="continue"/>
                <w:vAlign w:val="center"/>
              </w:tcPr>
              <w:p w:rsidRPr="00000000" w:rsidR="00000000" w:rsidDel="00000000" w:rsidP="00000000" w:rsidRDefault="00000000" w14:paraId="0000003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0"/>
                    <w:szCs w:val="20"/>
                  </w:rPr>
                </w:pPr>
                <w:r w:rsidRPr="00000000" w:rsidDel="00000000" w:rsidR="00000000">
                  <w:rPr>
                    <w:rtl w:val="0"/>
                  </w:rPr>
                </w:r>
              </w:p>
            </w:tc>
            <w:tc>
              <w:tcPr>
                <w:vAlign w:val="center"/>
              </w:tcPr>
              <w:p w:rsidRPr="00000000" w:rsidR="00000000" w:rsidDel="00000000" w:rsidP="00000000" w:rsidRDefault="00000000" w14:paraId="00000038">
                <w:pPr>
                  <w:widowControl w:val="0"/>
                  <w:ind w:left="0" w:firstLine="0"/>
                  <w:jc w:val="center"/>
                  <w:rPr>
                    <w:color w:val="666666"/>
                    <w:sz w:val="20"/>
                    <w:szCs w:val="20"/>
                  </w:rPr>
                </w:pPr>
                <w:r w:rsidRPr="00000000" w:rsidDel="00000000" w:rsidR="00000000">
                  <w:rPr>
                    <w:sz w:val="20"/>
                    <w:szCs w:val="20"/>
                    <w:rtl w:val="0"/>
                  </w:rPr>
                  <w:t xml:space="preserve">Binance Group’s Board of Directors</w:t>
                </w:r>
                <w:r w:rsidRPr="00000000" w:rsidDel="00000000" w:rsidR="00000000">
                  <w:rPr>
                    <w:rtl w:val="0"/>
                  </w:rPr>
                </w:r>
              </w:p>
            </w:tc>
            <w:tc>
              <w:tcPr>
                <w:shd w:val="clear" w:fill="ffff00"/>
                <w:vAlign w:val="center"/>
              </w:tcPr>
              <w:p w:rsidRPr="00000000" w:rsidR="00000000" w:rsidDel="00000000" w:rsidP="00000000" w:rsidRDefault="00000000" w14:paraId="00000039">
                <w:pPr>
                  <w:ind w:left="0"/>
                  <w:jc w:val="center"/>
                  <w:rPr>
                    <w:sz w:val="20"/>
                    <w:szCs w:val="20"/>
                  </w:rPr>
                </w:pPr>
                <w:r w:rsidRPr="00000000" w:rsidDel="00000000" w:rsidR="00000000">
                  <w:rPr>
                    <w:sz w:val="20"/>
                    <w:szCs w:val="20"/>
                    <w:rtl w:val="0"/>
                  </w:rPr>
                  <w:t xml:space="preserve">DD Month YYYY</w:t>
                </w:r>
              </w:p>
            </w:tc>
          </w:tr>
          <w:tr>
            <w:trPr>
              <w:cantSplit w:val="0"/>
              <w:trHeight w:val="1020" w:hRule="atLeast"/>
              <w:tblHeader w:val="0"/>
            </w:trPr>
            <w:tc>
              <w:tcPr>
                <w:vMerge w:val="continue"/>
                <w:vAlign w:val="center"/>
              </w:tcPr>
              <w:p w:rsidRPr="00000000" w:rsidR="00000000" w:rsidDel="00000000" w:rsidP="00000000" w:rsidRDefault="00000000" w14:paraId="0000003A">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0"/>
                    <w:szCs w:val="20"/>
                  </w:rPr>
                </w:pPr>
                <w:r w:rsidRPr="00000000" w:rsidDel="00000000" w:rsidR="00000000">
                  <w:rPr>
                    <w:rtl w:val="0"/>
                  </w:rPr>
                </w:r>
              </w:p>
            </w:tc>
            <w:tc>
              <w:tcPr>
                <w:vMerge w:val="continue"/>
                <w:vAlign w:val="center"/>
              </w:tcPr>
              <w:p w:rsidRPr="00000000" w:rsidR="00000000" w:rsidDel="00000000" w:rsidP="00000000" w:rsidRDefault="00000000" w14:paraId="0000003B">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0"/>
                    <w:szCs w:val="20"/>
                  </w:rPr>
                </w:pPr>
                <w:r w:rsidRPr="00000000" w:rsidDel="00000000" w:rsidR="00000000">
                  <w:rPr>
                    <w:rtl w:val="0"/>
                  </w:rPr>
                </w:r>
              </w:p>
            </w:tc>
            <w:tc>
              <w:tcPr>
                <w:vAlign w:val="center"/>
              </w:tcPr>
              <w:p w:rsidRPr="00000000" w:rsidR="00000000" w:rsidDel="00000000" w:rsidP="00000000" w:rsidRDefault="00000000" w14:paraId="0000003C">
                <w:pPr>
                  <w:spacing w:before="40" w:line="276" w:lineRule="auto"/>
                  <w:ind w:left="0"/>
                  <w:jc w:val="center"/>
                  <w:rPr>
                    <w:sz w:val="20"/>
                    <w:szCs w:val="20"/>
                  </w:rPr>
                </w:pPr>
                <w:r w:rsidRPr="00000000" w:rsidDel="00000000" w:rsidR="00000000">
                  <w:rPr>
                    <w:b w:val="1"/>
                    <w:bCs w:val="1"/>
                    <w:sz w:val="20"/>
                    <w:szCs w:val="20"/>
                    <w:rtl w:val="0"/>
                  </w:rPr>
                  <w:t xml:space="preserve">Wilson Cheung</w:t>
                </w:r>
                <w:r w:rsidRPr="00000000" w:rsidDel="00000000" w:rsidR="00000000">
                  <w:rPr>
                    <w:sz w:val="20"/>
                    <w:szCs w:val="20"/>
                    <w:rtl w:val="0"/>
                  </w:rPr>
                  <w:t xml:space="preserve">, MLRO/CO ADGM</w:t>
                </w:r>
              </w:p>
            </w:tc>
            <w:tc>
              <w:tcPr>
                <w:vAlign w:val="center"/>
              </w:tcPr>
              <w:p w:rsidRPr="00000000" w:rsidR="00000000" w:rsidDel="00000000" w:rsidP="00000000" w:rsidRDefault="00000000" w14:paraId="0000003D">
                <w:pPr>
                  <w:ind w:left="0"/>
                  <w:jc w:val="center"/>
                  <w:rPr>
                    <w:sz w:val="20"/>
                    <w:szCs w:val="20"/>
                  </w:rPr>
                </w:pPr>
                <w:r w:rsidRPr="00000000" w:rsidDel="00000000" w:rsidR="00000000">
                  <w:rPr>
                    <w:sz w:val="20"/>
                    <w:szCs w:val="20"/>
                    <w:rtl w:val="0"/>
                  </w:rPr>
                  <w:t xml:space="preserve">05 January 2026</w:t>
                </w:r>
              </w:p>
            </w:tc>
          </w:tr>
          <w:tr>
            <w:trPr>
              <w:cantSplit w:val="0"/>
              <w:trHeight w:val="692.841796875" w:hRule="atLeast"/>
              <w:tblHeader w:val="0"/>
            </w:trPr>
            <w:tc>
              <w:tcPr>
                <w:vMerge w:val="continue"/>
                <w:vAlign w:val="center"/>
              </w:tcPr>
              <w:p w:rsidRPr="00000000" w:rsidR="00000000" w:rsidDel="00000000" w:rsidP="00000000" w:rsidRDefault="00000000" w14:paraId="0000003E">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0"/>
                    <w:szCs w:val="20"/>
                  </w:rPr>
                </w:pPr>
                <w:r w:rsidRPr="00000000" w:rsidDel="00000000" w:rsidR="00000000">
                  <w:rPr>
                    <w:rtl w:val="0"/>
                  </w:rPr>
                </w:r>
              </w:p>
            </w:tc>
            <w:tc>
              <w:tcPr>
                <w:vMerge w:val="continue"/>
                <w:vAlign w:val="center"/>
              </w:tcPr>
              <w:p w:rsidRPr="00000000" w:rsidR="00000000" w:rsidDel="00000000" w:rsidP="00000000" w:rsidRDefault="00000000" w14:paraId="0000003F">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0"/>
                    <w:szCs w:val="20"/>
                  </w:rPr>
                </w:pPr>
                <w:r w:rsidRPr="00000000" w:rsidDel="00000000" w:rsidR="00000000">
                  <w:rPr>
                    <w:rtl w:val="0"/>
                  </w:rPr>
                </w:r>
              </w:p>
            </w:tc>
            <w:tc>
              <w:tcPr>
                <w:vAlign w:val="center"/>
              </w:tcPr>
              <w:p w:rsidRPr="00000000" w:rsidR="00000000" w:rsidDel="00000000" w:rsidP="00000000" w:rsidRDefault="00000000" w14:paraId="00000040">
                <w:pPr>
                  <w:spacing w:before="40" w:line="276" w:lineRule="auto"/>
                  <w:ind w:left="0"/>
                  <w:jc w:val="center"/>
                  <w:rPr>
                    <w:b w:val="1"/>
                    <w:bCs w:val="1"/>
                    <w:sz w:val="20"/>
                    <w:szCs w:val="20"/>
                  </w:rPr>
                </w:pPr>
                <w:r w:rsidRPr="00000000" w:rsidDel="00000000" w:rsidR="00000000">
                  <w:rPr>
                    <w:b w:val="1"/>
                    <w:bCs w:val="1"/>
                    <w:sz w:val="20"/>
                    <w:szCs w:val="20"/>
                    <w:rtl w:val="0"/>
                  </w:rPr>
                  <w:t xml:space="preserve">David Harrington</w:t>
                </w:r>
                <w:r w:rsidRPr="00000000" w:rsidDel="00000000" w:rsidR="00000000">
                  <w:rPr>
                    <w:sz w:val="20"/>
                    <w:szCs w:val="20"/>
                    <w:rtl w:val="0"/>
                  </w:rPr>
                  <w:t xml:space="preserve">, MLRO/CO ADGM</w:t>
                </w:r>
                <w:r w:rsidRPr="00000000" w:rsidDel="00000000" w:rsidR="00000000">
                  <w:rPr>
                    <w:rtl w:val="0"/>
                  </w:rPr>
                </w:r>
              </w:p>
            </w:tc>
            <w:tc>
              <w:tcPr>
                <w:vAlign w:val="center"/>
              </w:tcPr>
              <w:p w:rsidRPr="00000000" w:rsidR="00000000" w:rsidDel="00000000" w:rsidP="00000000" w:rsidRDefault="00000000" w14:paraId="00000041">
                <w:pPr>
                  <w:ind w:left="0"/>
                  <w:jc w:val="center"/>
                  <w:rPr>
                    <w:sz w:val="20"/>
                    <w:szCs w:val="20"/>
                  </w:rPr>
                </w:pPr>
                <w:r w:rsidRPr="00000000" w:rsidDel="00000000" w:rsidR="00000000">
                  <w:rPr>
                    <w:sz w:val="20"/>
                    <w:szCs w:val="20"/>
                    <w:rtl w:val="0"/>
                  </w:rPr>
                  <w:t xml:space="preserve">05 January 2026</w:t>
                </w:r>
              </w:p>
            </w:tc>
          </w:tr>
          <w:tr>
            <w:trPr>
              <w:cantSplit w:val="0"/>
              <w:trHeight w:val="2640" w:hRule="atLeast"/>
              <w:tblHeader w:val="0"/>
            </w:trPr>
            <w:tc>
              <w:tcPr>
                <w:vMerge w:val="restart"/>
                <w:vAlign w:val="center"/>
              </w:tcPr>
              <w:p w:rsidRPr="00000000" w:rsidR="00000000" w:rsidDel="00000000" w:rsidP="00000000" w:rsidRDefault="00000000" w14:paraId="00000042">
                <w:pPr>
                  <w:ind w:left="0" w:firstLine="0"/>
                  <w:jc w:val="center"/>
                  <w:rPr>
                    <w:b w:val="1"/>
                    <w:bCs w:val="1"/>
                    <w:sz w:val="20"/>
                    <w:szCs w:val="20"/>
                  </w:rPr>
                </w:pPr>
                <w:r w:rsidRPr="00000000" w:rsidDel="00000000" w:rsidR="00000000">
                  <w:rPr>
                    <w:b w:val="1"/>
                    <w:bCs w:val="1"/>
                    <w:sz w:val="20"/>
                    <w:szCs w:val="20"/>
                    <w:rtl w:val="0"/>
                  </w:rPr>
                  <w:t xml:space="preserve">3.2</w:t>
                </w:r>
              </w:p>
            </w:tc>
            <w:tc>
              <w:tcPr>
                <w:vMerge w:val="restart"/>
                <w:vAlign w:val="center"/>
              </w:tcPr>
              <w:p w:rsidRPr="00000000" w:rsidR="00000000" w:rsidDel="00000000" w:rsidP="00000000" w:rsidRDefault="00000000" w14:paraId="00000043">
                <w:pPr>
                  <w:numPr>
                    <w:ilvl w:val="0"/>
                    <w:numId w:val="1"/>
                  </w:numPr>
                  <w:spacing w:before="40" w:after="40" w:lineRule="auto"/>
                  <w:ind w:left="270" w:hanging="270"/>
                  <w:jc w:val="left"/>
                  <w:rPr>
                    <w:sz w:val="18"/>
                    <w:szCs w:val="18"/>
                  </w:rPr>
                </w:pPr>
                <w:r w:rsidRPr="00000000" w:rsidDel="00000000" w:rsidR="00000000">
                  <w:rPr>
                    <w:sz w:val="18"/>
                    <w:szCs w:val="18"/>
                    <w:rtl w:val="0"/>
                  </w:rPr>
                  <w:t xml:space="preserve">Revised to document annual policy review and approval required by the Binance Board, with interim amendments approved by the Global Chief Compliance Officer. </w:t>
                </w:r>
              </w:p>
              <w:p w:rsidRPr="00000000" w:rsidR="00000000" w:rsidDel="00000000" w:rsidP="00000000" w:rsidRDefault="00000000" w14:paraId="00000044">
                <w:pPr>
                  <w:numPr>
                    <w:ilvl w:val="0"/>
                    <w:numId w:val="1"/>
                  </w:numPr>
                  <w:spacing w:before="40" w:after="40" w:lineRule="auto"/>
                  <w:ind w:left="270" w:hanging="270"/>
                  <w:jc w:val="left"/>
                  <w:rPr>
                    <w:sz w:val="18"/>
                    <w:szCs w:val="18"/>
                  </w:rPr>
                </w:pPr>
                <w:r w:rsidRPr="00000000" w:rsidDel="00000000" w:rsidR="00000000">
                  <w:rPr>
                    <w:sz w:val="18"/>
                    <w:szCs w:val="18"/>
                    <w:rtl w:val="0"/>
                  </w:rPr>
                  <w:t xml:space="preserve">Introduced mandatory AML training programs with periodic refreshers and enhanced clarity on the definition of “Binance Group,” information sharing and data protection measures. Consolidated policies on client confidentiality and data sharing. </w:t>
                </w:r>
              </w:p>
              <w:p w:rsidRPr="00000000" w:rsidR="00000000" w:rsidDel="00000000" w:rsidP="00000000" w:rsidRDefault="00000000" w14:paraId="00000045">
                <w:pPr>
                  <w:numPr>
                    <w:ilvl w:val="0"/>
                    <w:numId w:val="1"/>
                  </w:numPr>
                  <w:spacing w:before="40" w:after="40" w:lineRule="auto"/>
                  <w:ind w:left="270" w:hanging="270"/>
                  <w:jc w:val="left"/>
                  <w:rPr>
                    <w:sz w:val="18"/>
                    <w:szCs w:val="18"/>
                  </w:rPr>
                </w:pPr>
                <w:r w:rsidRPr="00000000" w:rsidDel="00000000" w:rsidR="00000000">
                  <w:rPr>
                    <w:sz w:val="18"/>
                    <w:szCs w:val="18"/>
                    <w:rtl w:val="0"/>
                  </w:rPr>
                  <w:t xml:space="preserve">Broadened the definition of Politically Exposed Persons (“PEP”s) to include Senior Religious Officials. Clarified the Three Lines of Defence model. Enhanced the roles and responsibilities for the specific components of the Compliance Program. Introduced jurisdiction-based record retention. The Prohibited Customer section refers to the Global Sanctions Policy.</w:t>
                </w:r>
              </w:p>
              <w:p w:rsidRPr="00000000" w:rsidR="00000000" w:rsidDel="00000000" w:rsidP="00000000" w:rsidRDefault="00000000" w14:paraId="00000046">
                <w:pPr>
                  <w:numPr>
                    <w:ilvl w:val="0"/>
                    <w:numId w:val="1"/>
                  </w:numPr>
                  <w:spacing w:before="40" w:after="40" w:lineRule="auto"/>
                  <w:ind w:left="270" w:hanging="270"/>
                  <w:jc w:val="left"/>
                  <w:rPr>
                    <w:sz w:val="18"/>
                    <w:szCs w:val="18"/>
                  </w:rPr>
                </w:pPr>
                <w:r w:rsidRPr="00000000" w:rsidDel="00000000" w:rsidR="00000000">
                  <w:rPr>
                    <w:sz w:val="18"/>
                    <w:szCs w:val="18"/>
                    <w:rtl w:val="0"/>
                  </w:rPr>
                  <w:t xml:space="preserve">Reorganized compliance functions by separating the Compliance PMO, updated Customer Due Diligence (“CDD”) requirements focusing on account restrictions when CDD is incomplete, revised high-risk and PEP-related reporting structures to ensure mandatory escalation, as well as transitioning Unusual Activity Reporting from voluntary to mandatory Suspicious Activity Reporting. </w:t>
                </w:r>
              </w:p>
              <w:p w:rsidRPr="00000000" w:rsidR="00000000" w:rsidDel="00000000" w:rsidP="00000000" w:rsidRDefault="00000000" w14:paraId="00000047">
                <w:pPr>
                  <w:numPr>
                    <w:ilvl w:val="0"/>
                    <w:numId w:val="1"/>
                  </w:numPr>
                  <w:spacing w:before="40" w:after="40" w:lineRule="auto"/>
                  <w:ind w:left="270" w:hanging="270"/>
                  <w:jc w:val="left"/>
                  <w:rPr>
                    <w:sz w:val="18"/>
                    <w:szCs w:val="18"/>
                  </w:rPr>
                </w:pPr>
                <w:r w:rsidRPr="00000000" w:rsidDel="00000000" w:rsidR="00000000">
                  <w:rPr>
                    <w:sz w:val="18"/>
                    <w:szCs w:val="18"/>
                    <w:rtl w:val="0"/>
                  </w:rPr>
                  <w:t xml:space="preserve">Streamlined policy language to address regulatory developments and improve document navigation.</w:t>
                </w:r>
              </w:p>
            </w:tc>
            <w:tc>
              <w:tcPr>
                <w:vAlign w:val="center"/>
              </w:tcPr>
              <w:p w:rsidRPr="00000000" w:rsidR="00000000" w:rsidDel="00000000" w:rsidP="00000000" w:rsidRDefault="00000000" w14:paraId="00000048">
                <w:pPr>
                  <w:ind w:left="-75" w:right="-75" w:firstLine="0"/>
                  <w:jc w:val="center"/>
                  <w:rPr>
                    <w:sz w:val="20"/>
                    <w:szCs w:val="20"/>
                  </w:rPr>
                </w:pPr>
                <w:r w:rsidRPr="00000000" w:rsidDel="00000000" w:rsidR="00000000">
                  <w:rPr>
                    <w:sz w:val="20"/>
                    <w:szCs w:val="20"/>
                    <w:rtl w:val="0"/>
                  </w:rPr>
                  <w:t xml:space="preserve">Binance Board </w:t>
                </w:r>
              </w:p>
              <w:p w:rsidRPr="00000000" w:rsidR="00000000" w:rsidDel="00000000" w:rsidP="00000000" w:rsidRDefault="00000000" w14:paraId="00000049">
                <w:pPr>
                  <w:ind w:left="-75" w:right="-75" w:firstLine="0"/>
                  <w:jc w:val="center"/>
                  <w:rPr>
                    <w:sz w:val="20"/>
                    <w:szCs w:val="20"/>
                  </w:rPr>
                </w:pPr>
                <w:r w:rsidRPr="00000000" w:rsidDel="00000000" w:rsidR="00000000">
                  <w:rPr>
                    <w:sz w:val="20"/>
                    <w:szCs w:val="20"/>
                    <w:rtl w:val="0"/>
                  </w:rPr>
                  <w:t xml:space="preserve">of Directors</w:t>
                </w:r>
              </w:p>
            </w:tc>
            <w:tc>
              <w:tcPr>
                <w:vAlign w:val="center"/>
              </w:tcPr>
              <w:p w:rsidRPr="00000000" w:rsidR="00000000" w:rsidDel="00000000" w:rsidP="00000000" w:rsidRDefault="00000000" w14:paraId="0000004A">
                <w:pPr>
                  <w:ind w:left="-75" w:right="-75" w:firstLine="0"/>
                  <w:jc w:val="center"/>
                  <w:rPr>
                    <w:sz w:val="20"/>
                    <w:szCs w:val="20"/>
                  </w:rPr>
                </w:pPr>
                <w:r w:rsidRPr="00000000" w:rsidDel="00000000" w:rsidR="00000000">
                  <w:rPr>
                    <w:sz w:val="20"/>
                    <w:szCs w:val="20"/>
                    <w:rtl w:val="0"/>
                  </w:rPr>
                  <w:t xml:space="preserve">05 August 2025</w:t>
                </w:r>
              </w:p>
            </w:tc>
          </w:tr>
          <w:tr>
            <w:trPr>
              <w:cantSplit w:val="0"/>
              <w:trHeight w:val="400" w:hRule="atLeast"/>
              <w:tblHeader w:val="0"/>
            </w:trPr>
            <w:tc>
              <w:tcPr>
                <w:vMerge w:val="continue"/>
                <w:vAlign w:val="center"/>
              </w:tcPr>
              <w:p w:rsidRPr="00000000" w:rsidR="00000000" w:rsidDel="00000000" w:rsidP="00000000" w:rsidRDefault="00000000" w14:paraId="0000004B">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sz w:val="20"/>
                    <w:szCs w:val="20"/>
                  </w:rPr>
                </w:pPr>
                <w:r w:rsidRPr="00000000" w:rsidDel="00000000" w:rsidR="00000000">
                  <w:rPr>
                    <w:rtl w:val="0"/>
                  </w:rPr>
                </w:r>
              </w:p>
            </w:tc>
            <w:tc>
              <w:tcPr>
                <w:vMerge w:val="continue"/>
                <w:vAlign w:val="center"/>
              </w:tcPr>
              <w:p w:rsidRPr="00000000" w:rsidR="00000000" w:rsidDel="00000000" w:rsidP="00000000" w:rsidRDefault="00000000" w14:paraId="0000004C">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sz w:val="20"/>
                    <w:szCs w:val="20"/>
                  </w:rPr>
                </w:pPr>
                <w:r w:rsidRPr="00000000" w:rsidDel="00000000" w:rsidR="00000000">
                  <w:rPr>
                    <w:rtl w:val="0"/>
                  </w:rPr>
                </w:r>
              </w:p>
            </w:tc>
            <w:tc>
              <w:tcPr>
                <w:vAlign w:val="center"/>
              </w:tcPr>
              <w:p w:rsidRPr="00000000" w:rsidR="00000000" w:rsidDel="00000000" w:rsidP="00000000" w:rsidRDefault="00000000" w14:paraId="0000004D">
                <w:pPr>
                  <w:ind w:left="-75" w:right="-75" w:firstLine="0"/>
                  <w:jc w:val="center"/>
                  <w:rPr>
                    <w:sz w:val="20"/>
                    <w:szCs w:val="20"/>
                  </w:rPr>
                </w:pPr>
                <w:r w:rsidRPr="00000000" w:rsidDel="00000000" w:rsidR="00000000">
                  <w:rPr>
                    <w:b w:val="1"/>
                    <w:bCs w:val="1"/>
                    <w:sz w:val="20"/>
                    <w:szCs w:val="20"/>
                    <w:rtl w:val="0"/>
                  </w:rPr>
                  <w:t xml:space="preserve">Noah Perlman</w:t>
                </w:r>
                <w:r w:rsidRPr="00000000" w:rsidDel="00000000" w:rsidR="00000000">
                  <w:rPr>
                    <w:sz w:val="20"/>
                    <w:szCs w:val="20"/>
                    <w:rtl w:val="0"/>
                  </w:rPr>
                  <w:t xml:space="preserve">, </w:t>
                </w:r>
              </w:p>
              <w:p w:rsidRPr="00000000" w:rsidR="00000000" w:rsidDel="00000000" w:rsidP="00000000" w:rsidRDefault="00000000" w14:paraId="0000004E">
                <w:pPr>
                  <w:ind w:left="-75" w:right="-75" w:firstLine="0"/>
                  <w:jc w:val="center"/>
                  <w:rPr>
                    <w:sz w:val="20"/>
                    <w:szCs w:val="20"/>
                  </w:rPr>
                </w:pPr>
                <w:r w:rsidRPr="00000000" w:rsidDel="00000000" w:rsidR="00000000">
                  <w:rPr>
                    <w:sz w:val="20"/>
                    <w:szCs w:val="20"/>
                    <w:rtl w:val="0"/>
                  </w:rPr>
                  <w:t xml:space="preserve">Chief Compliance Officer</w:t>
                </w:r>
              </w:p>
            </w:tc>
            <w:tc>
              <w:tcPr>
                <w:vAlign w:val="center"/>
              </w:tcPr>
              <w:p w:rsidRPr="00000000" w:rsidR="00000000" w:rsidDel="00000000" w:rsidP="00000000" w:rsidRDefault="00000000" w14:paraId="0000004F">
                <w:pPr>
                  <w:ind w:left="-75" w:right="-75" w:firstLine="0"/>
                  <w:jc w:val="center"/>
                  <w:rPr>
                    <w:sz w:val="20"/>
                    <w:szCs w:val="20"/>
                  </w:rPr>
                </w:pPr>
                <w:r w:rsidRPr="00000000" w:rsidDel="00000000" w:rsidR="00000000">
                  <w:rPr>
                    <w:sz w:val="20"/>
                    <w:szCs w:val="20"/>
                    <w:rtl w:val="0"/>
                  </w:rPr>
                  <w:t xml:space="preserve">28 November 2024</w:t>
                </w:r>
              </w:p>
            </w:tc>
          </w:tr>
          <w:tr>
            <w:trPr>
              <w:cantSplit w:val="0"/>
              <w:trHeight w:val="270" w:hRule="atLeast"/>
              <w:tblHeader w:val="0"/>
            </w:trPr>
            <w:tc>
              <w:tcPr>
                <w:vAlign w:val="center"/>
              </w:tcPr>
              <w:p w:rsidRPr="00000000" w:rsidR="00000000" w:rsidDel="00000000" w:rsidP="00000000" w:rsidRDefault="00000000" w14:paraId="00000050">
                <w:pPr>
                  <w:ind w:left="0" w:firstLine="0"/>
                  <w:jc w:val="center"/>
                  <w:rPr>
                    <w:b w:val="1"/>
                    <w:bCs w:val="1"/>
                    <w:sz w:val="20"/>
                    <w:szCs w:val="20"/>
                  </w:rPr>
                </w:pPr>
                <w:r w:rsidRPr="00000000" w:rsidDel="00000000" w:rsidR="00000000">
                  <w:rPr>
                    <w:b w:val="1"/>
                    <w:bCs w:val="1"/>
                    <w:sz w:val="20"/>
                    <w:szCs w:val="20"/>
                    <w:rtl w:val="0"/>
                  </w:rPr>
                  <w:t xml:space="preserve">3.1</w:t>
                </w:r>
              </w:p>
            </w:tc>
            <w:tc>
              <w:tcPr>
                <w:vAlign w:val="center"/>
              </w:tcPr>
              <w:p w:rsidRPr="00000000" w:rsidR="00000000" w:rsidDel="00000000" w:rsidP="00000000" w:rsidRDefault="00000000" w14:paraId="00000051">
                <w:pPr>
                  <w:numPr>
                    <w:ilvl w:val="0"/>
                    <w:numId w:val="10"/>
                  </w:numPr>
                  <w:spacing w:before="40" w:after="40" w:lineRule="auto"/>
                  <w:ind w:left="270" w:hanging="270"/>
                  <w:jc w:val="left"/>
                  <w:rPr>
                    <w:sz w:val="18"/>
                    <w:szCs w:val="18"/>
                  </w:rPr>
                </w:pPr>
                <w:r w:rsidRPr="00000000" w:rsidDel="00000000" w:rsidR="00000000">
                  <w:rPr>
                    <w:sz w:val="18"/>
                    <w:szCs w:val="18"/>
                    <w:rtl w:val="0"/>
                  </w:rPr>
                  <w:t xml:space="preserve">The Global Money Laundering Reporting Officer (GMLRO) function was removed and replaced by Regional MLROs and the Global Compliance Department.</w:t>
                </w:r>
              </w:p>
              <w:p w:rsidRPr="00000000" w:rsidR="00000000" w:rsidDel="00000000" w:rsidP="00000000" w:rsidRDefault="00000000" w14:paraId="00000052">
                <w:pPr>
                  <w:numPr>
                    <w:ilvl w:val="0"/>
                    <w:numId w:val="10"/>
                  </w:numPr>
                  <w:spacing w:before="40" w:after="40" w:lineRule="auto"/>
                  <w:ind w:left="270" w:hanging="270"/>
                  <w:jc w:val="left"/>
                  <w:rPr>
                    <w:sz w:val="18"/>
                    <w:szCs w:val="18"/>
                  </w:rPr>
                </w:pPr>
                <w:r w:rsidRPr="00000000" w:rsidDel="00000000" w:rsidR="00000000">
                  <w:rPr>
                    <w:sz w:val="18"/>
                    <w:szCs w:val="18"/>
                    <w:rtl w:val="0"/>
                  </w:rPr>
                  <w:t xml:space="preserve">Binance’s Board of Directors and its Risk and Compliance committee now have explicit oversight responsibility for the Global Financial Crime Compliance Program.</w:t>
                </w:r>
              </w:p>
              <w:p w:rsidRPr="00000000" w:rsidR="00000000" w:rsidDel="00000000" w:rsidP="00000000" w:rsidRDefault="00000000" w14:paraId="00000053">
                <w:pPr>
                  <w:numPr>
                    <w:ilvl w:val="0"/>
                    <w:numId w:val="10"/>
                  </w:numPr>
                  <w:spacing w:before="40" w:after="40" w:lineRule="auto"/>
                  <w:ind w:left="270" w:hanging="270"/>
                  <w:jc w:val="left"/>
                  <w:rPr>
                    <w:sz w:val="18"/>
                    <w:szCs w:val="18"/>
                  </w:rPr>
                </w:pPr>
                <w:r w:rsidRPr="00000000" w:rsidDel="00000000" w:rsidR="00000000">
                  <w:rPr>
                    <w:sz w:val="18"/>
                    <w:szCs w:val="18"/>
                    <w:rtl w:val="0"/>
                  </w:rPr>
                  <w:t xml:space="preserve">A new section introduces the Global High Risk Client Committee (HRCC) with defined roles and responsibilities.</w:t>
                </w:r>
              </w:p>
              <w:p w:rsidRPr="00000000" w:rsidR="00000000" w:rsidDel="00000000" w:rsidP="00000000" w:rsidRDefault="00000000" w14:paraId="00000054">
                <w:pPr>
                  <w:numPr>
                    <w:ilvl w:val="0"/>
                    <w:numId w:val="10"/>
                  </w:numPr>
                  <w:spacing w:before="40" w:after="40" w:lineRule="auto"/>
                  <w:ind w:left="270" w:hanging="270"/>
                  <w:jc w:val="left"/>
                  <w:rPr>
                    <w:sz w:val="18"/>
                    <w:szCs w:val="18"/>
                  </w:rPr>
                </w:pPr>
                <w:r w:rsidRPr="00000000" w:rsidDel="00000000" w:rsidR="00000000">
                  <w:rPr>
                    <w:sz w:val="18"/>
                    <w:szCs w:val="18"/>
                    <w:rtl w:val="0"/>
                  </w:rPr>
                  <w:t xml:space="preserve">COO’s delegated authority shifted from GMLRO to Regional or Country CO/MLRO, and Global Audit Issue Management (GAIM) was added under Global Core Compliance.</w:t>
                </w:r>
              </w:p>
              <w:p w:rsidRPr="00000000" w:rsidR="00000000" w:rsidDel="00000000" w:rsidP="00000000" w:rsidRDefault="00000000" w14:paraId="00000055">
                <w:pPr>
                  <w:numPr>
                    <w:ilvl w:val="0"/>
                    <w:numId w:val="10"/>
                  </w:numPr>
                  <w:spacing w:before="40" w:after="40" w:lineRule="auto"/>
                  <w:ind w:left="270" w:hanging="270"/>
                  <w:jc w:val="left"/>
                  <w:rPr>
                    <w:sz w:val="18"/>
                    <w:szCs w:val="18"/>
                  </w:rPr>
                </w:pPr>
                <w:r w:rsidRPr="00000000" w:rsidDel="00000000" w:rsidR="00000000">
                  <w:rPr>
                    <w:sz w:val="18"/>
                    <w:szCs w:val="18"/>
                    <w:rtl w:val="0"/>
                  </w:rPr>
                  <w:t xml:space="preserve">Risk Appetite Statement updated, prohibited customers list revised, and record retention standardized to 5 years with regional exceptions.</w:t>
                </w:r>
              </w:p>
            </w:tc>
            <w:tc>
              <w:tcPr>
                <w:vAlign w:val="center"/>
              </w:tcPr>
              <w:p w:rsidRPr="00000000" w:rsidR="00000000" w:rsidDel="00000000" w:rsidP="00000000" w:rsidRDefault="00000000" w14:paraId="00000056">
                <w:pPr>
                  <w:ind w:left="-75" w:right="-75" w:firstLine="0"/>
                  <w:jc w:val="center"/>
                  <w:rPr>
                    <w:sz w:val="20"/>
                    <w:szCs w:val="20"/>
                  </w:rPr>
                </w:pPr>
                <w:r w:rsidRPr="00000000" w:rsidDel="00000000" w:rsidR="00000000">
                  <w:rPr>
                    <w:sz w:val="20"/>
                    <w:szCs w:val="20"/>
                    <w:rtl w:val="0"/>
                  </w:rPr>
                  <w:t xml:space="preserve">Binance Board of Directors</w:t>
                </w:r>
              </w:p>
            </w:tc>
            <w:tc>
              <w:tcPr>
                <w:vAlign w:val="center"/>
              </w:tcPr>
              <w:p w:rsidRPr="00000000" w:rsidR="00000000" w:rsidDel="00000000" w:rsidP="00000000" w:rsidRDefault="00000000" w14:paraId="00000057">
                <w:pPr>
                  <w:ind w:left="-75" w:right="-75" w:firstLine="0"/>
                  <w:jc w:val="center"/>
                  <w:rPr>
                    <w:sz w:val="20"/>
                    <w:szCs w:val="20"/>
                  </w:rPr>
                </w:pPr>
                <w:r w:rsidRPr="00000000" w:rsidDel="00000000" w:rsidR="00000000">
                  <w:rPr>
                    <w:sz w:val="20"/>
                    <w:szCs w:val="20"/>
                    <w:rtl w:val="0"/>
                  </w:rPr>
                  <w:t xml:space="preserve">31 July 2024</w:t>
                </w:r>
              </w:p>
            </w:tc>
          </w:tr>
          <w:tr>
            <w:trPr>
              <w:cantSplit w:val="0"/>
              <w:trHeight w:val="270" w:hRule="atLeast"/>
              <w:tblHeader w:val="0"/>
            </w:trPr>
            <w:tc>
              <w:tcPr>
                <w:vAlign w:val="center"/>
              </w:tcPr>
              <w:p w:rsidRPr="00000000" w:rsidR="00000000" w:rsidDel="00000000" w:rsidP="00000000" w:rsidRDefault="00000000" w14:paraId="00000058">
                <w:pPr>
                  <w:ind w:left="0" w:firstLine="0"/>
                  <w:jc w:val="center"/>
                  <w:rPr>
                    <w:b w:val="1"/>
                    <w:bCs w:val="1"/>
                    <w:sz w:val="20"/>
                    <w:szCs w:val="20"/>
                  </w:rPr>
                </w:pPr>
                <w:r w:rsidRPr="00000000" w:rsidDel="00000000" w:rsidR="00000000">
                  <w:rPr>
                    <w:b w:val="1"/>
                    <w:bCs w:val="1"/>
                    <w:sz w:val="20"/>
                    <w:szCs w:val="20"/>
                    <w:rtl w:val="0"/>
                  </w:rPr>
                  <w:t xml:space="preserve">3.0</w:t>
                </w:r>
              </w:p>
            </w:tc>
            <w:tc>
              <w:tcPr>
                <w:vAlign w:val="center"/>
              </w:tcPr>
              <w:p w:rsidRPr="00000000" w:rsidR="00000000" w:rsidDel="00000000" w:rsidP="00000000" w:rsidRDefault="00000000" w14:paraId="00000059">
                <w:pPr>
                  <w:numPr>
                    <w:ilvl w:val="0"/>
                    <w:numId w:val="12"/>
                  </w:numPr>
                  <w:spacing w:before="40" w:after="40" w:lineRule="auto"/>
                  <w:ind w:left="270" w:hanging="270"/>
                  <w:jc w:val="left"/>
                  <w:rPr>
                    <w:sz w:val="18"/>
                    <w:szCs w:val="18"/>
                  </w:rPr>
                </w:pPr>
                <w:r w:rsidRPr="00000000" w:rsidDel="00000000" w:rsidR="00000000">
                  <w:rPr>
                    <w:sz w:val="18"/>
                    <w:szCs w:val="18"/>
                    <w:rtl w:val="0"/>
                  </w:rPr>
                  <w:t xml:space="preserve">Strengthened governance and risk management with clear compliance roles, formal risk appetite and new product approval processes.</w:t>
                </w:r>
              </w:p>
              <w:p w:rsidRPr="00000000" w:rsidR="00000000" w:rsidDel="00000000" w:rsidP="00000000" w:rsidRDefault="00000000" w14:paraId="0000005A">
                <w:pPr>
                  <w:numPr>
                    <w:ilvl w:val="0"/>
                    <w:numId w:val="12"/>
                  </w:numPr>
                  <w:spacing w:before="40" w:after="40" w:lineRule="auto"/>
                  <w:ind w:left="270" w:hanging="270"/>
                  <w:jc w:val="left"/>
                  <w:rPr>
                    <w:sz w:val="18"/>
                    <w:szCs w:val="18"/>
                  </w:rPr>
                </w:pPr>
                <w:r w:rsidRPr="00000000" w:rsidDel="00000000" w:rsidR="00000000">
                  <w:rPr>
                    <w:sz w:val="18"/>
                    <w:szCs w:val="18"/>
                    <w:rtl w:val="0"/>
                  </w:rPr>
                  <w:t xml:space="preserve">Enhanced CDD, including stricter prohibited customer criteria, expanded PEP framework, and improved ongoing monitoring and escalation.</w:t>
                </w:r>
              </w:p>
              <w:p w:rsidRPr="00000000" w:rsidR="00000000" w:rsidDel="00000000" w:rsidP="00000000" w:rsidRDefault="00000000" w14:paraId="0000005B">
                <w:pPr>
                  <w:numPr>
                    <w:ilvl w:val="0"/>
                    <w:numId w:val="12"/>
                  </w:numPr>
                  <w:spacing w:before="40" w:after="40" w:lineRule="auto"/>
                  <w:ind w:left="270" w:hanging="270"/>
                  <w:jc w:val="left"/>
                  <w:rPr>
                    <w:sz w:val="18"/>
                    <w:szCs w:val="18"/>
                  </w:rPr>
                </w:pPr>
                <w:r w:rsidRPr="00000000" w:rsidDel="00000000" w:rsidR="00000000">
                  <w:rPr>
                    <w:sz w:val="18"/>
                    <w:szCs w:val="18"/>
                    <w:rtl w:val="0"/>
                  </w:rPr>
                  <w:t xml:space="preserve">Improved transaction screening, SAR, and formalized cooperation with law enforcement.</w:t>
                </w:r>
              </w:p>
              <w:p w:rsidRPr="00000000" w:rsidR="00000000" w:rsidDel="00000000" w:rsidP="00000000" w:rsidRDefault="00000000" w14:paraId="0000005C">
                <w:pPr>
                  <w:numPr>
                    <w:ilvl w:val="0"/>
                    <w:numId w:val="12"/>
                  </w:numPr>
                  <w:spacing w:before="40" w:after="40" w:lineRule="auto"/>
                  <w:ind w:left="270" w:hanging="270"/>
                  <w:jc w:val="left"/>
                  <w:rPr>
                    <w:sz w:val="18"/>
                    <w:szCs w:val="18"/>
                  </w:rPr>
                </w:pPr>
                <w:r w:rsidRPr="00000000" w:rsidDel="00000000" w:rsidR="00000000">
                  <w:rPr>
                    <w:sz w:val="18"/>
                    <w:szCs w:val="18"/>
                    <w:rtl w:val="0"/>
                  </w:rPr>
                  <w:t xml:space="preserve">Implemented Travel Rule compliance and risk-based customer exit/account closure policies.</w:t>
                </w:r>
              </w:p>
              <w:p w:rsidRPr="00000000" w:rsidR="00000000" w:rsidDel="00000000" w:rsidP="00000000" w:rsidRDefault="00000000" w14:paraId="0000005D">
                <w:pPr>
                  <w:numPr>
                    <w:ilvl w:val="0"/>
                    <w:numId w:val="12"/>
                  </w:numPr>
                  <w:spacing w:before="40" w:after="40" w:lineRule="auto"/>
                  <w:ind w:left="270" w:hanging="270"/>
                  <w:jc w:val="left"/>
                  <w:rPr>
                    <w:sz w:val="18"/>
                    <w:szCs w:val="18"/>
                  </w:rPr>
                </w:pPr>
                <w:r w:rsidRPr="00000000" w:rsidDel="00000000" w:rsidR="00000000">
                  <w:rPr>
                    <w:sz w:val="18"/>
                    <w:szCs w:val="18"/>
                    <w:rtl w:val="0"/>
                  </w:rPr>
                  <w:t xml:space="preserve">Expanded AML training, regulatory engagement, client confidentiality, and data sharing policies.</w:t>
                </w:r>
              </w:p>
              <w:p w:rsidRPr="00000000" w:rsidR="00000000" w:rsidDel="00000000" w:rsidP="00000000" w:rsidRDefault="00000000" w14:paraId="0000005E">
                <w:pPr>
                  <w:numPr>
                    <w:ilvl w:val="0"/>
                    <w:numId w:val="12"/>
                  </w:numPr>
                  <w:spacing w:before="40" w:after="40" w:lineRule="auto"/>
                  <w:ind w:left="270" w:hanging="270"/>
                  <w:jc w:val="left"/>
                  <w:rPr>
                    <w:sz w:val="18"/>
                    <w:szCs w:val="18"/>
                  </w:rPr>
                </w:pPr>
                <w:r w:rsidRPr="00000000" w:rsidDel="00000000" w:rsidR="00000000">
                  <w:rPr>
                    <w:sz w:val="18"/>
                    <w:szCs w:val="18"/>
                    <w:rtl w:val="0"/>
                  </w:rPr>
                  <w:t xml:space="preserve">Enhanced assurance through monitoring, audits, detailed policy management, extended record retention, and formal breach reporting.</w:t>
                </w:r>
              </w:p>
            </w:tc>
            <w:tc>
              <w:tcPr>
                <w:vAlign w:val="center"/>
              </w:tcPr>
              <w:p w:rsidRPr="00000000" w:rsidR="00000000" w:rsidDel="00000000" w:rsidP="00000000" w:rsidRDefault="00000000" w14:paraId="0000005F">
                <w:pPr>
                  <w:ind w:left="-75" w:right="-75" w:firstLine="0"/>
                  <w:jc w:val="center"/>
                  <w:rPr>
                    <w:sz w:val="20"/>
                    <w:szCs w:val="20"/>
                  </w:rPr>
                </w:pPr>
                <w:r w:rsidRPr="00000000" w:rsidDel="00000000" w:rsidR="00000000">
                  <w:rPr>
                    <w:b w:val="1"/>
                    <w:bCs w:val="1"/>
                    <w:sz w:val="20"/>
                    <w:szCs w:val="20"/>
                    <w:rtl w:val="0"/>
                  </w:rPr>
                  <w:t xml:space="preserve">Noah Perlman</w:t>
                </w:r>
                <w:r w:rsidRPr="00000000" w:rsidDel="00000000" w:rsidR="00000000">
                  <w:rPr>
                    <w:sz w:val="20"/>
                    <w:szCs w:val="20"/>
                    <w:rtl w:val="0"/>
                  </w:rPr>
                  <w:t xml:space="preserve">, </w:t>
                </w:r>
              </w:p>
              <w:p w:rsidRPr="00000000" w:rsidR="00000000" w:rsidDel="00000000" w:rsidP="00000000" w:rsidRDefault="00000000" w14:paraId="00000060">
                <w:pPr>
                  <w:ind w:left="-75" w:right="-75" w:firstLine="0"/>
                  <w:jc w:val="center"/>
                  <w:rPr>
                    <w:sz w:val="20"/>
                    <w:szCs w:val="20"/>
                  </w:rPr>
                </w:pPr>
                <w:r w:rsidRPr="00000000" w:rsidDel="00000000" w:rsidR="00000000">
                  <w:rPr>
                    <w:sz w:val="20"/>
                    <w:szCs w:val="20"/>
                    <w:rtl w:val="0"/>
                  </w:rPr>
                  <w:t xml:space="preserve">Chief Compliance Officer</w:t>
                </w:r>
              </w:p>
            </w:tc>
            <w:tc>
              <w:tcPr>
                <w:vAlign w:val="center"/>
              </w:tcPr>
              <w:p w:rsidRPr="00000000" w:rsidR="00000000" w:rsidDel="00000000" w:rsidP="00000000" w:rsidRDefault="00000000" w14:paraId="00000061">
                <w:pPr>
                  <w:ind w:left="-75" w:right="-75" w:firstLine="0"/>
                  <w:jc w:val="center"/>
                  <w:rPr>
                    <w:sz w:val="20"/>
                    <w:szCs w:val="20"/>
                  </w:rPr>
                </w:pPr>
                <w:r w:rsidRPr="00000000" w:rsidDel="00000000" w:rsidR="00000000">
                  <w:rPr>
                    <w:sz w:val="20"/>
                    <w:szCs w:val="20"/>
                    <w:rtl w:val="0"/>
                  </w:rPr>
                  <w:t xml:space="preserve">02 January 2024</w:t>
                </w:r>
              </w:p>
            </w:tc>
          </w:tr>
          <w:tr>
            <w:trPr>
              <w:cantSplit w:val="0"/>
              <w:trHeight w:val="270" w:hRule="atLeast"/>
              <w:tblHeader w:val="0"/>
            </w:trPr>
            <w:tc>
              <w:tcPr>
                <w:vAlign w:val="center"/>
              </w:tcPr>
              <w:p w:rsidRPr="00000000" w:rsidR="00000000" w:rsidDel="00000000" w:rsidP="00000000" w:rsidRDefault="00000000" w14:paraId="00000062">
                <w:pPr>
                  <w:ind w:left="0" w:firstLine="0"/>
                  <w:jc w:val="center"/>
                  <w:rPr>
                    <w:b w:val="1"/>
                    <w:bCs w:val="1"/>
                    <w:sz w:val="20"/>
                    <w:szCs w:val="20"/>
                  </w:rPr>
                </w:pPr>
                <w:r w:rsidRPr="00000000" w:rsidDel="00000000" w:rsidR="00000000">
                  <w:rPr>
                    <w:b w:val="1"/>
                    <w:bCs w:val="1"/>
                    <w:sz w:val="20"/>
                    <w:szCs w:val="20"/>
                    <w:rtl w:val="0"/>
                  </w:rPr>
                  <w:t xml:space="preserve">2.0</w:t>
                </w:r>
              </w:p>
            </w:tc>
            <w:tc>
              <w:tcPr>
                <w:vAlign w:val="center"/>
              </w:tcPr>
              <w:p w:rsidRPr="00000000" w:rsidR="00000000" w:rsidDel="00000000" w:rsidP="00000000" w:rsidRDefault="00000000" w14:paraId="00000063">
                <w:pPr>
                  <w:numPr>
                    <w:ilvl w:val="0"/>
                    <w:numId w:val="13"/>
                  </w:numPr>
                  <w:spacing w:before="40" w:after="40" w:lineRule="auto"/>
                  <w:ind w:left="270" w:hanging="270"/>
                  <w:jc w:val="left"/>
                  <w:rPr>
                    <w:sz w:val="18"/>
                    <w:szCs w:val="18"/>
                  </w:rPr>
                </w:pPr>
                <w:r w:rsidRPr="00000000" w:rsidDel="00000000" w:rsidR="00000000">
                  <w:rPr>
                    <w:sz w:val="18"/>
                    <w:szCs w:val="18"/>
                    <w:rtl w:val="0"/>
                  </w:rPr>
                  <w:t xml:space="preserve">Clearer roles and stronger senior management oversight.</w:t>
                </w:r>
              </w:p>
              <w:p w:rsidRPr="00000000" w:rsidR="00000000" w:rsidDel="00000000" w:rsidP="00000000" w:rsidRDefault="00000000" w14:paraId="00000064">
                <w:pPr>
                  <w:numPr>
                    <w:ilvl w:val="0"/>
                    <w:numId w:val="13"/>
                  </w:numPr>
                  <w:spacing w:before="40" w:after="40" w:lineRule="auto"/>
                  <w:ind w:left="270" w:hanging="270"/>
                  <w:jc w:val="left"/>
                  <w:rPr>
                    <w:sz w:val="18"/>
                    <w:szCs w:val="18"/>
                  </w:rPr>
                </w:pPr>
                <w:r w:rsidRPr="00000000" w:rsidDel="00000000" w:rsidR="00000000">
                  <w:rPr>
                    <w:sz w:val="18"/>
                    <w:szCs w:val="18"/>
                    <w:rtl w:val="0"/>
                  </w:rPr>
                  <w:t xml:space="preserve">Formalized EWRA introduced.</w:t>
                </w:r>
              </w:p>
              <w:p w:rsidRPr="00000000" w:rsidR="00000000" w:rsidDel="00000000" w:rsidP="00000000" w:rsidRDefault="00000000" w14:paraId="00000065">
                <w:pPr>
                  <w:numPr>
                    <w:ilvl w:val="0"/>
                    <w:numId w:val="13"/>
                  </w:numPr>
                  <w:spacing w:before="40" w:after="40" w:lineRule="auto"/>
                  <w:ind w:left="270" w:hanging="270"/>
                  <w:jc w:val="left"/>
                  <w:rPr>
                    <w:sz w:val="18"/>
                    <w:szCs w:val="18"/>
                  </w:rPr>
                </w:pPr>
                <w:r w:rsidRPr="00000000" w:rsidDel="00000000" w:rsidR="00000000">
                  <w:rPr>
                    <w:sz w:val="18"/>
                    <w:szCs w:val="18"/>
                    <w:rtl w:val="0"/>
                  </w:rPr>
                  <w:t xml:space="preserve">Stricter criteria and mandatory senior approval for high-risk and PEP customers.</w:t>
                </w:r>
              </w:p>
              <w:p w:rsidRPr="00000000" w:rsidR="00000000" w:rsidDel="00000000" w:rsidP="00000000" w:rsidRDefault="00000000" w14:paraId="00000066">
                <w:pPr>
                  <w:numPr>
                    <w:ilvl w:val="0"/>
                    <w:numId w:val="13"/>
                  </w:numPr>
                  <w:spacing w:before="40" w:after="40" w:lineRule="auto"/>
                  <w:ind w:left="270" w:hanging="270"/>
                  <w:jc w:val="left"/>
                  <w:rPr>
                    <w:sz w:val="18"/>
                    <w:szCs w:val="18"/>
                  </w:rPr>
                </w:pPr>
                <w:r w:rsidRPr="00000000" w:rsidDel="00000000" w:rsidR="00000000">
                  <w:rPr>
                    <w:sz w:val="18"/>
                    <w:szCs w:val="18"/>
                    <w:rtl w:val="0"/>
                  </w:rPr>
                  <w:t xml:space="preserve">Enhanced SAR with stronger confidentiality and record retention.</w:t>
                </w:r>
              </w:p>
              <w:p w:rsidRPr="00000000" w:rsidR="00000000" w:rsidDel="00000000" w:rsidP="00000000" w:rsidRDefault="00000000" w14:paraId="00000067">
                <w:pPr>
                  <w:numPr>
                    <w:ilvl w:val="0"/>
                    <w:numId w:val="13"/>
                  </w:numPr>
                  <w:spacing w:before="40" w:after="40" w:lineRule="auto"/>
                  <w:ind w:left="270" w:hanging="270"/>
                  <w:jc w:val="left"/>
                  <w:rPr>
                    <w:sz w:val="18"/>
                    <w:szCs w:val="18"/>
                  </w:rPr>
                </w:pPr>
                <w:r w:rsidRPr="00000000" w:rsidDel="00000000" w:rsidR="00000000">
                  <w:rPr>
                    <w:sz w:val="18"/>
                    <w:szCs w:val="18"/>
                    <w:rtl w:val="0"/>
                  </w:rPr>
                  <w:t xml:space="preserve">Expanded AML training and added an audit framework.</w:t>
                </w:r>
              </w:p>
            </w:tc>
            <w:tc>
              <w:tcPr>
                <w:vAlign w:val="center"/>
              </w:tcPr>
              <w:p w:rsidRPr="00000000" w:rsidR="00000000" w:rsidDel="00000000" w:rsidP="00000000" w:rsidRDefault="00000000" w14:paraId="00000068">
                <w:pPr>
                  <w:ind w:left="-75" w:right="-75" w:firstLine="0"/>
                  <w:jc w:val="center"/>
                  <w:rPr>
                    <w:b w:val="1"/>
                    <w:bCs w:val="1"/>
                    <w:sz w:val="20"/>
                    <w:szCs w:val="20"/>
                  </w:rPr>
                </w:pPr>
                <w:r w:rsidRPr="00000000" w:rsidDel="00000000" w:rsidR="00000000">
                  <w:rPr>
                    <w:b w:val="1"/>
                    <w:bCs w:val="1"/>
                    <w:sz w:val="20"/>
                    <w:szCs w:val="20"/>
                    <w:rtl w:val="0"/>
                  </w:rPr>
                  <w:t xml:space="preserve">Steve Christie</w:t>
                </w:r>
                <w:r w:rsidRPr="00000000" w:rsidDel="00000000" w:rsidR="00000000">
                  <w:rPr>
                    <w:sz w:val="20"/>
                    <w:szCs w:val="20"/>
                    <w:rtl w:val="0"/>
                  </w:rPr>
                  <w:t xml:space="preserve">,</w:t>
                </w:r>
                <w:r w:rsidRPr="00000000" w:rsidDel="00000000" w:rsidR="00000000">
                  <w:rPr>
                    <w:b w:val="1"/>
                    <w:bCs w:val="1"/>
                    <w:sz w:val="20"/>
                    <w:szCs w:val="20"/>
                    <w:rtl w:val="0"/>
                  </w:rPr>
                  <w:t xml:space="preserve"> </w:t>
                </w:r>
              </w:p>
              <w:p w:rsidRPr="00000000" w:rsidR="00000000" w:rsidDel="00000000" w:rsidP="00000000" w:rsidRDefault="00000000" w14:paraId="00000069">
                <w:pPr>
                  <w:ind w:left="-75" w:right="-75" w:firstLine="0"/>
                  <w:jc w:val="center"/>
                  <w:rPr>
                    <w:sz w:val="18"/>
                    <w:szCs w:val="18"/>
                  </w:rPr>
                </w:pPr>
                <w:r w:rsidRPr="00000000" w:rsidDel="00000000" w:rsidR="00000000">
                  <w:rPr>
                    <w:sz w:val="18"/>
                    <w:szCs w:val="18"/>
                    <w:rtl w:val="0"/>
                  </w:rPr>
                  <w:t xml:space="preserve">SVP Compliance, </w:t>
                </w:r>
              </w:p>
              <w:p w:rsidRPr="00000000" w:rsidR="00000000" w:rsidDel="00000000" w:rsidP="00000000" w:rsidRDefault="00000000" w14:paraId="0000006A">
                <w:pPr>
                  <w:ind w:left="-75" w:right="-75" w:firstLine="0"/>
                  <w:jc w:val="center"/>
                  <w:rPr>
                    <w:i w:val="1"/>
                    <w:iCs w:val="1"/>
                    <w:sz w:val="18"/>
                    <w:szCs w:val="18"/>
                  </w:rPr>
                </w:pPr>
                <w:r w:rsidRPr="00000000" w:rsidDel="00000000" w:rsidR="00000000">
                  <w:rPr>
                    <w:i w:val="1"/>
                    <w:iCs w:val="1"/>
                    <w:sz w:val="18"/>
                    <w:szCs w:val="18"/>
                    <w:rtl w:val="0"/>
                  </w:rPr>
                  <w:t xml:space="preserve">(Acting Interim Chief Compliance Officer, </w:t>
                </w:r>
              </w:p>
              <w:p w:rsidRPr="00000000" w:rsidR="00000000" w:rsidDel="00000000" w:rsidP="00000000" w:rsidRDefault="00000000" w14:paraId="0000006B">
                <w:pPr>
                  <w:ind w:left="-75" w:right="-75" w:firstLine="0"/>
                  <w:jc w:val="center"/>
                  <w:rPr>
                    <w:i w:val="1"/>
                    <w:iCs w:val="1"/>
                    <w:sz w:val="18"/>
                    <w:szCs w:val="18"/>
                  </w:rPr>
                </w:pPr>
                <w:r w:rsidRPr="00000000" w:rsidDel="00000000" w:rsidR="00000000">
                  <w:rPr>
                    <w:i w:val="1"/>
                    <w:iCs w:val="1"/>
                    <w:sz w:val="18"/>
                    <w:szCs w:val="18"/>
                    <w:rtl w:val="0"/>
                  </w:rPr>
                  <w:t xml:space="preserve">Global Compliance)</w:t>
                </w:r>
              </w:p>
            </w:tc>
            <w:tc>
              <w:tcPr>
                <w:vAlign w:val="center"/>
              </w:tcPr>
              <w:p w:rsidRPr="00000000" w:rsidR="00000000" w:rsidDel="00000000" w:rsidP="00000000" w:rsidRDefault="00000000" w14:paraId="0000006C">
                <w:pPr>
                  <w:ind w:left="-90" w:right="-120" w:firstLine="0"/>
                  <w:jc w:val="center"/>
                  <w:rPr>
                    <w:sz w:val="20"/>
                    <w:szCs w:val="20"/>
                  </w:rPr>
                </w:pPr>
                <w:r w:rsidRPr="00000000" w:rsidDel="00000000" w:rsidR="00000000">
                  <w:rPr>
                    <w:sz w:val="20"/>
                    <w:szCs w:val="20"/>
                    <w:rtl w:val="0"/>
                  </w:rPr>
                  <w:t xml:space="preserve">14 November 2022</w:t>
                </w:r>
              </w:p>
            </w:tc>
          </w:tr>
          <w:tr>
            <w:trPr>
              <w:cantSplit w:val="0"/>
              <w:trHeight w:val="270" w:hRule="atLeast"/>
              <w:tblHeader w:val="0"/>
            </w:trPr>
            <w:tc>
              <w:tcPr>
                <w:vAlign w:val="center"/>
              </w:tcPr>
              <w:p w:rsidRPr="00000000" w:rsidR="00000000" w:rsidDel="00000000" w:rsidP="00000000" w:rsidRDefault="00000000" w14:paraId="0000006D">
                <w:pPr>
                  <w:ind w:left="0" w:firstLine="0"/>
                  <w:jc w:val="center"/>
                  <w:rPr>
                    <w:b w:val="1"/>
                    <w:bCs w:val="1"/>
                    <w:sz w:val="20"/>
                    <w:szCs w:val="20"/>
                  </w:rPr>
                </w:pPr>
                <w:r w:rsidRPr="00000000" w:rsidDel="00000000" w:rsidR="00000000">
                  <w:rPr>
                    <w:b w:val="1"/>
                    <w:bCs w:val="1"/>
                    <w:sz w:val="20"/>
                    <w:szCs w:val="20"/>
                    <w:rtl w:val="0"/>
                  </w:rPr>
                  <w:t xml:space="preserve">1.0</w:t>
                </w:r>
              </w:p>
            </w:tc>
            <w:tc>
              <w:tcPr>
                <w:vAlign w:val="center"/>
              </w:tcPr>
              <w:p w:rsidRPr="00000000" w:rsidR="00000000" w:rsidDel="00000000" w:rsidP="00000000" w:rsidRDefault="00000000" w14:paraId="0000006E">
                <w:pPr>
                  <w:numPr>
                    <w:ilvl w:val="0"/>
                    <w:numId w:val="11"/>
                  </w:numPr>
                  <w:spacing w:before="40" w:after="40" w:lineRule="auto"/>
                  <w:ind w:left="270" w:hanging="270"/>
                  <w:jc w:val="left"/>
                  <w:rPr>
                    <w:sz w:val="18"/>
                    <w:szCs w:val="18"/>
                    <w:u w:val="none"/>
                  </w:rPr>
                </w:pPr>
                <w:r w:rsidRPr="00000000" w:rsidDel="00000000" w:rsidR="00000000">
                  <w:rPr>
                    <w:sz w:val="18"/>
                    <w:szCs w:val="18"/>
                    <w:rtl w:val="0"/>
                  </w:rPr>
                  <w:t xml:space="preserve">Initial policy implementation.</w:t>
                </w:r>
                <w:r w:rsidRPr="00000000" w:rsidDel="00000000" w:rsidR="00000000">
                  <w:rPr>
                    <w:rtl w:val="0"/>
                  </w:rPr>
                </w:r>
              </w:p>
            </w:tc>
            <w:tc>
              <w:tcPr>
                <w:vAlign w:val="center"/>
              </w:tcPr>
              <w:p w:rsidRPr="00000000" w:rsidR="00000000" w:rsidDel="00000000" w:rsidP="00000000" w:rsidRDefault="00000000" w14:paraId="0000006F">
                <w:pPr>
                  <w:ind w:left="-75" w:right="-75" w:firstLine="0"/>
                  <w:jc w:val="center"/>
                  <w:rPr>
                    <w:sz w:val="18"/>
                    <w:szCs w:val="18"/>
                  </w:rPr>
                </w:pPr>
                <w:r w:rsidRPr="00000000" w:rsidDel="00000000" w:rsidR="00000000">
                  <w:rPr>
                    <w:b w:val="1"/>
                    <w:bCs w:val="1"/>
                    <w:sz w:val="20"/>
                    <w:szCs w:val="20"/>
                    <w:rtl w:val="0"/>
                  </w:rPr>
                  <w:t xml:space="preserve">Ang Chuan Lim</w:t>
                </w:r>
                <w:r w:rsidRPr="00000000" w:rsidDel="00000000" w:rsidR="00000000">
                  <w:rPr>
                    <w:sz w:val="18"/>
                    <w:szCs w:val="18"/>
                    <w:rtl w:val="0"/>
                  </w:rPr>
                  <w:t xml:space="preserve">, </w:t>
                </w:r>
              </w:p>
              <w:p w:rsidRPr="00000000" w:rsidR="00000000" w:rsidDel="00000000" w:rsidP="00000000" w:rsidRDefault="00000000" w14:paraId="00000070">
                <w:pPr>
                  <w:ind w:left="-75" w:right="-75" w:firstLine="0"/>
                  <w:jc w:val="center"/>
                  <w:rPr>
                    <w:i w:val="1"/>
                    <w:iCs w:val="1"/>
                    <w:sz w:val="18"/>
                    <w:szCs w:val="18"/>
                  </w:rPr>
                </w:pPr>
                <w:r w:rsidRPr="00000000" w:rsidDel="00000000" w:rsidR="00000000">
                  <w:rPr>
                    <w:sz w:val="18"/>
                    <w:szCs w:val="18"/>
                    <w:rtl w:val="0"/>
                  </w:rPr>
                  <w:t xml:space="preserve">Global Head of Regulatory Compliance, </w:t>
                </w:r>
                <w:r w:rsidRPr="00000000" w:rsidDel="00000000" w:rsidR="00000000">
                  <w:rPr>
                    <w:i w:val="1"/>
                    <w:iCs w:val="1"/>
                    <w:sz w:val="18"/>
                    <w:szCs w:val="18"/>
                    <w:rtl w:val="0"/>
                  </w:rPr>
                  <w:t xml:space="preserve">(on behalf of the Office of the Chief Compliance Officer, Global Compliance)</w:t>
                </w:r>
              </w:p>
            </w:tc>
            <w:tc>
              <w:tcPr>
                <w:vAlign w:val="center"/>
              </w:tcPr>
              <w:p w:rsidRPr="00000000" w:rsidR="00000000" w:rsidDel="00000000" w:rsidP="00000000" w:rsidRDefault="00000000" w14:paraId="00000071">
                <w:pPr>
                  <w:ind w:left="-75" w:right="-75" w:firstLine="0"/>
                  <w:jc w:val="center"/>
                  <w:rPr>
                    <w:sz w:val="20"/>
                    <w:szCs w:val="20"/>
                  </w:rPr>
                </w:pPr>
                <w:r w:rsidRPr="00000000" w:rsidDel="00000000" w:rsidR="00000000">
                  <w:rPr>
                    <w:sz w:val="20"/>
                    <w:szCs w:val="20"/>
                    <w:rtl w:val="0"/>
                  </w:rPr>
                  <w:t xml:space="preserve">11 March 2022</w:t>
                </w:r>
              </w:p>
            </w:tc>
          </w:tr>
        </w:tbl>
      </w:sdtContent>
    </w:sdt>
    <w:p w:rsidRPr="00000000" w:rsidR="00000000" w:rsidDel="00000000" w:rsidP="00000000" w:rsidRDefault="00000000" w14:paraId="00000072">
      <w:pPr>
        <w:spacing w:after="200" w:line="276" w:lineRule="auto"/>
        <w:ind w:left="0" w:hanging="360"/>
        <w:rPr>
          <w:b w:val="1"/>
          <w:bCs w:val="1"/>
          <w:sz w:val="20"/>
          <w:szCs w:val="20"/>
        </w:rPr>
      </w:pPr>
      <w:r w:rsidRPr="00000000" w:rsidDel="00000000" w:rsidR="00000000">
        <w:rPr>
          <w:rtl w:val="0"/>
        </w:rPr>
      </w:r>
    </w:p>
    <w:p w:rsidRPr="00000000" w:rsidR="00000000" w:rsidDel="00000000" w:rsidP="00000000" w:rsidRDefault="00000000" w14:paraId="00000073">
      <w:pPr>
        <w:spacing w:after="200" w:line="276" w:lineRule="auto"/>
        <w:ind w:left="0" w:hanging="360"/>
        <w:rPr>
          <w:b w:val="1"/>
          <w:bCs w:val="1"/>
          <w:sz w:val="20"/>
          <w:szCs w:val="20"/>
        </w:rPr>
      </w:pPr>
      <w:r w:rsidRPr="00000000" w:rsidDel="00000000" w:rsidR="00000000">
        <w:rPr>
          <w:rtl w:val="0"/>
        </w:rPr>
      </w:r>
    </w:p>
    <w:p w:rsidRPr="00000000" w:rsidR="00000000" w:rsidDel="00000000" w:rsidP="00000000" w:rsidRDefault="00000000" w14:paraId="00000074">
      <w:pPr>
        <w:spacing w:after="200" w:line="276" w:lineRule="auto"/>
        <w:ind w:left="0" w:hanging="360"/>
        <w:rPr>
          <w:b w:val="1"/>
          <w:bCs w:val="1"/>
          <w:sz w:val="24"/>
          <w:szCs w:val="24"/>
        </w:rPr>
      </w:pPr>
      <w:r w:rsidRPr="00000000" w:rsidDel="00000000" w:rsidR="00000000">
        <w:rPr>
          <w:b w:val="1"/>
          <w:bCs w:val="1"/>
          <w:sz w:val="24"/>
          <w:szCs w:val="24"/>
          <w:rtl w:val="0"/>
        </w:rPr>
        <w:t xml:space="preserve">Retired Documents</w:t>
      </w:r>
    </w:p>
    <w:sdt>
      <w:sdtPr>
        <w:lock w:val="contentLocked"/>
        <w:id w:val="-731983570"/>
        <w:tag w:val="goog_rdk_1"/>
      </w:sdtPr>
      <w:sdtContent>
        <w:tbl>
          <w:tblPr>
            <w:tblStyle w:val="Table4"/>
            <w:tblW w:w="10845.0" w:type="dxa"/>
            <w:jc w:val="left"/>
            <w:tblInd w:w="-74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245"/>
            <w:gridCol w:w="7320"/>
            <w:gridCol w:w="2280"/>
            <w:tblGridChange w:id="0">
              <w:tblGrid>
                <w:gridCol w:w="1245"/>
                <w:gridCol w:w="7320"/>
                <w:gridCol w:w="2280"/>
              </w:tblGrid>
            </w:tblGridChange>
          </w:tblGrid>
          <w:tr>
            <w:trPr>
              <w:cantSplit w:val="0"/>
              <w:tblHeader w:val="0"/>
            </w:trPr>
            <w:tc>
              <w:tcPr>
                <w:shd w:val="clear" w:fill="d9d9d9"/>
                <w:vAlign w:val="center"/>
              </w:tcPr>
              <w:p w:rsidRPr="00000000" w:rsidR="00000000" w:rsidDel="00000000" w:rsidP="00000000" w:rsidRDefault="00000000" w14:paraId="00000075">
                <w:pPr>
                  <w:ind w:left="0" w:firstLine="0"/>
                  <w:rPr>
                    <w:b w:val="1"/>
                    <w:bCs w:val="1"/>
                    <w:sz w:val="18"/>
                    <w:szCs w:val="18"/>
                  </w:rPr>
                </w:pPr>
                <w:r w:rsidRPr="00000000" w:rsidDel="00000000" w:rsidR="00000000">
                  <w:rPr>
                    <w:b w:val="1"/>
                    <w:bCs w:val="1"/>
                    <w:sz w:val="18"/>
                    <w:szCs w:val="18"/>
                    <w:rtl w:val="0"/>
                  </w:rPr>
                  <w:t xml:space="preserve">Version No:</w:t>
                </w:r>
              </w:p>
            </w:tc>
            <w:tc>
              <w:tcPr>
                <w:shd w:val="clear" w:fill="d9d9d9"/>
                <w:tcMar>
                  <w:top w:w="100.0" w:type="dxa"/>
                  <w:left w:w="100.0" w:type="dxa"/>
                  <w:bottom w:w="100.0" w:type="dxa"/>
                  <w:right w:w="100.0" w:type="dxa"/>
                </w:tcMar>
                <w:vAlign w:val="center"/>
              </w:tcPr>
              <w:p w:rsidRPr="00000000" w:rsidR="00000000" w:rsidDel="00000000" w:rsidP="00000000" w:rsidRDefault="00000000" w14:paraId="00000076">
                <w:pPr>
                  <w:ind w:left="0" w:firstLine="0"/>
                  <w:rPr>
                    <w:b w:val="1"/>
                    <w:bCs w:val="1"/>
                    <w:sz w:val="18"/>
                    <w:szCs w:val="18"/>
                  </w:rPr>
                </w:pPr>
                <w:r w:rsidRPr="00000000" w:rsidDel="00000000" w:rsidR="00000000">
                  <w:rPr>
                    <w:b w:val="1"/>
                    <w:bCs w:val="1"/>
                    <w:sz w:val="18"/>
                    <w:szCs w:val="18"/>
                    <w:rtl w:val="0"/>
                  </w:rPr>
                  <w:t xml:space="preserve">Name of the Document</w:t>
                </w:r>
              </w:p>
            </w:tc>
            <w:tc>
              <w:tcPr>
                <w:shd w:val="clear" w:fill="d9d9d9"/>
                <w:vAlign w:val="center"/>
              </w:tcPr>
              <w:p w:rsidRPr="00000000" w:rsidR="00000000" w:rsidDel="00000000" w:rsidP="00000000" w:rsidRDefault="00000000" w14:paraId="00000077">
                <w:pPr>
                  <w:ind w:left="0" w:firstLine="0"/>
                  <w:jc w:val="center"/>
                  <w:rPr>
                    <w:b w:val="1"/>
                    <w:bCs w:val="1"/>
                    <w:sz w:val="18"/>
                    <w:szCs w:val="18"/>
                  </w:rPr>
                </w:pPr>
                <w:r w:rsidRPr="00000000" w:rsidDel="00000000" w:rsidR="00000000">
                  <w:rPr>
                    <w:b w:val="1"/>
                    <w:bCs w:val="1"/>
                    <w:sz w:val="18"/>
                    <w:szCs w:val="18"/>
                    <w:rtl w:val="0"/>
                  </w:rPr>
                  <w:t xml:space="preserve">Date Issued:</w:t>
                </w:r>
              </w:p>
            </w:tc>
          </w:tr>
          <w:tr>
            <w:trPr>
              <w:cantSplit w:val="0"/>
              <w:trHeight w:val="390" w:hRule="atLeast"/>
              <w:tblHeader w:val="0"/>
            </w:trPr>
            <w:tc>
              <w:tcPr>
                <w:vAlign w:val="center"/>
              </w:tcPr>
              <w:p w:rsidRPr="00000000" w:rsidR="00000000" w:rsidDel="00000000" w:rsidP="00000000" w:rsidRDefault="00000000" w14:paraId="00000078">
                <w:pPr>
                  <w:ind w:left="0" w:firstLine="0"/>
                  <w:jc w:val="center"/>
                  <w:rPr>
                    <w:b w:val="1"/>
                    <w:bCs w:val="1"/>
                    <w:sz w:val="20"/>
                    <w:szCs w:val="20"/>
                  </w:rPr>
                </w:pPr>
                <w:r w:rsidRPr="00000000" w:rsidDel="00000000" w:rsidR="00000000">
                  <w:rPr>
                    <w:b w:val="1"/>
                    <w:bCs w:val="1"/>
                    <w:sz w:val="20"/>
                    <w:szCs w:val="20"/>
                    <w:rtl w:val="0"/>
                  </w:rPr>
                  <w:t xml:space="preserve">3.2</w:t>
                </w:r>
              </w:p>
            </w:tc>
            <w:tc>
              <w:tcPr>
                <w:vAlign w:val="center"/>
              </w:tcPr>
              <w:p w:rsidRPr="00000000" w:rsidR="00000000" w:rsidDel="00000000" w:rsidP="00000000" w:rsidRDefault="00000000" w14:paraId="00000079">
                <w:pPr>
                  <w:ind w:left="0" w:firstLine="0"/>
                  <w:jc w:val="left"/>
                  <w:rPr>
                    <w:sz w:val="20"/>
                    <w:szCs w:val="20"/>
                  </w:rPr>
                </w:pPr>
                <w:r w:rsidRPr="00000000" w:rsidDel="00000000" w:rsidR="00000000">
                  <w:rPr>
                    <w:sz w:val="20"/>
                    <w:szCs w:val="20"/>
                    <w:rtl w:val="0"/>
                  </w:rPr>
                  <w:t xml:space="preserve">Global Anti-Money Laundering and Countering Terrorism Financing Policy</w:t>
                </w:r>
              </w:p>
            </w:tc>
            <w:tc>
              <w:tcPr>
                <w:vAlign w:val="center"/>
              </w:tcPr>
              <w:p w:rsidRPr="00000000" w:rsidR="00000000" w:rsidDel="00000000" w:rsidP="00000000" w:rsidRDefault="00000000" w14:paraId="0000007A">
                <w:pPr>
                  <w:ind w:left="-75" w:right="-75" w:firstLine="0"/>
                  <w:jc w:val="center"/>
                  <w:rPr>
                    <w:sz w:val="20"/>
                    <w:szCs w:val="20"/>
                  </w:rPr>
                </w:pPr>
                <w:r w:rsidRPr="00000000" w:rsidDel="00000000" w:rsidR="00000000">
                  <w:rPr>
                    <w:sz w:val="20"/>
                    <w:szCs w:val="20"/>
                    <w:rtl w:val="0"/>
                  </w:rPr>
                  <w:t xml:space="preserve">05 December 2024</w:t>
                </w:r>
              </w:p>
            </w:tc>
          </w:tr>
          <w:tr>
            <w:trPr>
              <w:cantSplit w:val="0"/>
              <w:trHeight w:val="390" w:hRule="atLeast"/>
              <w:tblHeader w:val="0"/>
            </w:trPr>
            <w:tc>
              <w:tcPr>
                <w:vAlign w:val="center"/>
              </w:tcPr>
              <w:p w:rsidRPr="00000000" w:rsidR="00000000" w:rsidDel="00000000" w:rsidP="00000000" w:rsidRDefault="00000000" w14:paraId="0000007B">
                <w:pPr>
                  <w:ind w:left="0" w:firstLine="0"/>
                  <w:jc w:val="center"/>
                  <w:rPr>
                    <w:b w:val="1"/>
                    <w:bCs w:val="1"/>
                    <w:sz w:val="20"/>
                    <w:szCs w:val="20"/>
                  </w:rPr>
                </w:pPr>
                <w:r w:rsidRPr="00000000" w:rsidDel="00000000" w:rsidR="00000000">
                  <w:rPr>
                    <w:b w:val="1"/>
                    <w:bCs w:val="1"/>
                    <w:sz w:val="20"/>
                    <w:szCs w:val="20"/>
                    <w:rtl w:val="0"/>
                  </w:rPr>
                  <w:t xml:space="preserve">3.1</w:t>
                </w:r>
              </w:p>
            </w:tc>
            <w:tc>
              <w:tcPr>
                <w:vAlign w:val="center"/>
              </w:tcPr>
              <w:p w:rsidRPr="00000000" w:rsidR="00000000" w:rsidDel="00000000" w:rsidP="00000000" w:rsidRDefault="00000000" w14:paraId="0000007C">
                <w:pPr>
                  <w:ind w:left="0" w:firstLine="0"/>
                  <w:jc w:val="left"/>
                  <w:rPr>
                    <w:sz w:val="20"/>
                    <w:szCs w:val="20"/>
                  </w:rPr>
                </w:pPr>
                <w:r w:rsidRPr="00000000" w:rsidDel="00000000" w:rsidR="00000000">
                  <w:rPr>
                    <w:sz w:val="20"/>
                    <w:szCs w:val="20"/>
                    <w:rtl w:val="0"/>
                  </w:rPr>
                  <w:t xml:space="preserve">Global Anti-Money Laundering and Countering Terrorism Financing Policy</w:t>
                </w:r>
              </w:p>
            </w:tc>
            <w:tc>
              <w:tcPr>
                <w:vAlign w:val="center"/>
              </w:tcPr>
              <w:p w:rsidRPr="00000000" w:rsidR="00000000" w:rsidDel="00000000" w:rsidP="00000000" w:rsidRDefault="00000000" w14:paraId="0000007D">
                <w:pPr>
                  <w:ind w:left="-75" w:right="-75" w:firstLine="0"/>
                  <w:jc w:val="center"/>
                  <w:rPr>
                    <w:sz w:val="20"/>
                    <w:szCs w:val="20"/>
                  </w:rPr>
                </w:pPr>
                <w:r w:rsidRPr="00000000" w:rsidDel="00000000" w:rsidR="00000000">
                  <w:rPr>
                    <w:sz w:val="20"/>
                    <w:szCs w:val="20"/>
                    <w:rtl w:val="0"/>
                  </w:rPr>
                  <w:t xml:space="preserve">31 July 2024</w:t>
                </w:r>
              </w:p>
            </w:tc>
          </w:tr>
          <w:tr>
            <w:trPr>
              <w:cantSplit w:val="0"/>
              <w:trHeight w:val="390" w:hRule="atLeast"/>
              <w:tblHeader w:val="0"/>
            </w:trPr>
            <w:tc>
              <w:tcPr>
                <w:vAlign w:val="center"/>
              </w:tcPr>
              <w:p w:rsidRPr="00000000" w:rsidR="00000000" w:rsidDel="00000000" w:rsidP="00000000" w:rsidRDefault="00000000" w14:paraId="0000007E">
                <w:pPr>
                  <w:ind w:left="0" w:firstLine="0"/>
                  <w:jc w:val="center"/>
                  <w:rPr>
                    <w:b w:val="1"/>
                    <w:bCs w:val="1"/>
                    <w:sz w:val="20"/>
                    <w:szCs w:val="20"/>
                  </w:rPr>
                </w:pPr>
                <w:r w:rsidRPr="00000000" w:rsidDel="00000000" w:rsidR="00000000">
                  <w:rPr>
                    <w:b w:val="1"/>
                    <w:bCs w:val="1"/>
                    <w:sz w:val="20"/>
                    <w:szCs w:val="20"/>
                    <w:rtl w:val="0"/>
                  </w:rPr>
                  <w:t xml:space="preserve">3.0</w:t>
                </w:r>
              </w:p>
            </w:tc>
            <w:tc>
              <w:tcPr>
                <w:vAlign w:val="center"/>
              </w:tcPr>
              <w:p w:rsidRPr="00000000" w:rsidR="00000000" w:rsidDel="00000000" w:rsidP="00000000" w:rsidRDefault="00000000" w14:paraId="0000007F">
                <w:pPr>
                  <w:ind w:left="0" w:firstLine="0"/>
                  <w:jc w:val="left"/>
                  <w:rPr>
                    <w:sz w:val="20"/>
                    <w:szCs w:val="20"/>
                  </w:rPr>
                </w:pPr>
                <w:r w:rsidRPr="00000000" w:rsidDel="00000000" w:rsidR="00000000">
                  <w:rPr>
                    <w:sz w:val="20"/>
                    <w:szCs w:val="20"/>
                    <w:rtl w:val="0"/>
                  </w:rPr>
                  <w:t xml:space="preserve">Global Anti-Money Laundering and Countering Terrorism Financing Policy</w:t>
                </w:r>
              </w:p>
            </w:tc>
            <w:tc>
              <w:tcPr>
                <w:vAlign w:val="center"/>
              </w:tcPr>
              <w:p w:rsidRPr="00000000" w:rsidR="00000000" w:rsidDel="00000000" w:rsidP="00000000" w:rsidRDefault="00000000" w14:paraId="00000080">
                <w:pPr>
                  <w:ind w:left="-75" w:right="-75" w:firstLine="0"/>
                  <w:jc w:val="center"/>
                  <w:rPr>
                    <w:sz w:val="20"/>
                    <w:szCs w:val="20"/>
                  </w:rPr>
                </w:pPr>
                <w:r w:rsidRPr="00000000" w:rsidDel="00000000" w:rsidR="00000000">
                  <w:rPr>
                    <w:sz w:val="20"/>
                    <w:szCs w:val="20"/>
                    <w:rtl w:val="0"/>
                  </w:rPr>
                  <w:t xml:space="preserve">02 January 2024</w:t>
                </w:r>
              </w:p>
            </w:tc>
          </w:tr>
          <w:tr>
            <w:trPr>
              <w:cantSplit w:val="0"/>
              <w:trHeight w:val="390" w:hRule="atLeast"/>
              <w:tblHeader w:val="0"/>
            </w:trPr>
            <w:tc>
              <w:tcPr>
                <w:vAlign w:val="center"/>
              </w:tcPr>
              <w:p w:rsidRPr="00000000" w:rsidR="00000000" w:rsidDel="00000000" w:rsidP="00000000" w:rsidRDefault="00000000" w14:paraId="00000081">
                <w:pPr>
                  <w:ind w:left="0" w:firstLine="0"/>
                  <w:jc w:val="center"/>
                  <w:rPr>
                    <w:b w:val="1"/>
                    <w:bCs w:val="1"/>
                    <w:sz w:val="20"/>
                    <w:szCs w:val="20"/>
                  </w:rPr>
                </w:pPr>
                <w:r w:rsidRPr="00000000" w:rsidDel="00000000" w:rsidR="00000000">
                  <w:rPr>
                    <w:b w:val="1"/>
                    <w:bCs w:val="1"/>
                    <w:sz w:val="20"/>
                    <w:szCs w:val="20"/>
                    <w:rtl w:val="0"/>
                  </w:rPr>
                  <w:t xml:space="preserve">2.0</w:t>
                </w:r>
              </w:p>
            </w:tc>
            <w:tc>
              <w:tcPr>
                <w:vAlign w:val="center"/>
              </w:tcPr>
              <w:p w:rsidRPr="00000000" w:rsidR="00000000" w:rsidDel="00000000" w:rsidP="00000000" w:rsidRDefault="00000000" w14:paraId="00000082">
                <w:pPr>
                  <w:ind w:left="0" w:firstLine="0"/>
                  <w:jc w:val="left"/>
                  <w:rPr>
                    <w:sz w:val="20"/>
                    <w:szCs w:val="20"/>
                  </w:rPr>
                </w:pPr>
                <w:r w:rsidRPr="00000000" w:rsidDel="00000000" w:rsidR="00000000">
                  <w:rPr>
                    <w:sz w:val="20"/>
                    <w:szCs w:val="20"/>
                    <w:rtl w:val="0"/>
                  </w:rPr>
                  <w:t xml:space="preserve">Global Anti-Money Laundering and Countering Terrorism Financing Policy</w:t>
                </w:r>
              </w:p>
            </w:tc>
            <w:tc>
              <w:tcPr>
                <w:vAlign w:val="center"/>
              </w:tcPr>
              <w:p w:rsidRPr="00000000" w:rsidR="00000000" w:rsidDel="00000000" w:rsidP="00000000" w:rsidRDefault="00000000" w14:paraId="00000083">
                <w:pPr>
                  <w:ind w:left="-75" w:right="-75" w:firstLine="0"/>
                  <w:jc w:val="center"/>
                  <w:rPr>
                    <w:sz w:val="20"/>
                    <w:szCs w:val="20"/>
                  </w:rPr>
                </w:pPr>
                <w:r w:rsidRPr="00000000" w:rsidDel="00000000" w:rsidR="00000000">
                  <w:rPr>
                    <w:sz w:val="20"/>
                    <w:szCs w:val="20"/>
                    <w:rtl w:val="0"/>
                  </w:rPr>
                  <w:t xml:space="preserve">14 November 2022</w:t>
                </w:r>
              </w:p>
            </w:tc>
          </w:tr>
          <w:tr>
            <w:trPr>
              <w:cantSplit w:val="0"/>
              <w:trHeight w:val="390" w:hRule="atLeast"/>
              <w:tblHeader w:val="0"/>
            </w:trPr>
            <w:tc>
              <w:tcPr>
                <w:vAlign w:val="center"/>
              </w:tcPr>
              <w:p w:rsidRPr="00000000" w:rsidR="00000000" w:rsidDel="00000000" w:rsidP="00000000" w:rsidRDefault="00000000" w14:paraId="00000084">
                <w:pPr>
                  <w:ind w:left="0" w:firstLine="0"/>
                  <w:jc w:val="center"/>
                  <w:rPr>
                    <w:b w:val="1"/>
                    <w:bCs w:val="1"/>
                    <w:sz w:val="20"/>
                    <w:szCs w:val="20"/>
                  </w:rPr>
                </w:pPr>
                <w:r w:rsidRPr="00000000" w:rsidDel="00000000" w:rsidR="00000000">
                  <w:rPr>
                    <w:b w:val="1"/>
                    <w:bCs w:val="1"/>
                    <w:sz w:val="20"/>
                    <w:szCs w:val="20"/>
                    <w:rtl w:val="0"/>
                  </w:rPr>
                  <w:t xml:space="preserve">1.0</w:t>
                </w:r>
              </w:p>
            </w:tc>
            <w:tc>
              <w:tcPr>
                <w:vAlign w:val="center"/>
              </w:tcPr>
              <w:p w:rsidRPr="00000000" w:rsidR="00000000" w:rsidDel="00000000" w:rsidP="00000000" w:rsidRDefault="00000000" w14:paraId="00000085">
                <w:pPr>
                  <w:ind w:left="0" w:firstLine="0"/>
                  <w:jc w:val="left"/>
                  <w:rPr>
                    <w:sz w:val="20"/>
                    <w:szCs w:val="20"/>
                  </w:rPr>
                </w:pPr>
                <w:r w:rsidRPr="00000000" w:rsidDel="00000000" w:rsidR="00000000">
                  <w:rPr>
                    <w:sz w:val="20"/>
                    <w:szCs w:val="20"/>
                    <w:rtl w:val="0"/>
                  </w:rPr>
                  <w:t xml:space="preserve">Global Anti-Money Laundering and Countering Terrorism Financing Policy</w:t>
                </w:r>
              </w:p>
            </w:tc>
            <w:tc>
              <w:tcPr>
                <w:vAlign w:val="center"/>
              </w:tcPr>
              <w:p w:rsidRPr="00000000" w:rsidR="00000000" w:rsidDel="00000000" w:rsidP="00000000" w:rsidRDefault="00000000" w14:paraId="00000086">
                <w:pPr>
                  <w:ind w:left="-75" w:right="-75" w:firstLine="0"/>
                  <w:jc w:val="center"/>
                  <w:rPr>
                    <w:sz w:val="20"/>
                    <w:szCs w:val="20"/>
                  </w:rPr>
                </w:pPr>
                <w:r w:rsidRPr="00000000" w:rsidDel="00000000" w:rsidR="00000000">
                  <w:rPr>
                    <w:sz w:val="20"/>
                    <w:szCs w:val="20"/>
                    <w:rtl w:val="0"/>
                  </w:rPr>
                  <w:t xml:space="preserve">11 March 2022</w:t>
                </w:r>
              </w:p>
            </w:tc>
          </w:tr>
          <w:tr>
            <w:trPr>
              <w:cantSplit w:val="0"/>
              <w:trHeight w:val="390" w:hRule="atLeast"/>
              <w:tblHeader w:val="0"/>
            </w:trPr>
            <w:tc>
              <w:tcPr>
                <w:vAlign w:val="center"/>
              </w:tcPr>
              <w:p w:rsidRPr="00000000" w:rsidR="00000000" w:rsidDel="00000000" w:rsidP="00000000" w:rsidRDefault="00000000" w14:paraId="00000087">
                <w:pPr>
                  <w:ind w:left="0" w:firstLine="0"/>
                  <w:jc w:val="center"/>
                  <w:rPr>
                    <w:b w:val="1"/>
                    <w:bCs w:val="1"/>
                    <w:sz w:val="20"/>
                    <w:szCs w:val="20"/>
                  </w:rPr>
                </w:pPr>
                <w:r w:rsidRPr="00000000" w:rsidDel="00000000" w:rsidR="00000000">
                  <w:rPr>
                    <w:b w:val="1"/>
                    <w:bCs w:val="1"/>
                    <w:sz w:val="20"/>
                    <w:szCs w:val="20"/>
                    <w:rtl w:val="0"/>
                  </w:rPr>
                  <w:t xml:space="preserve">3.0</w:t>
                </w:r>
              </w:p>
            </w:tc>
            <w:tc>
              <w:tcPr>
                <w:vAlign w:val="center"/>
              </w:tcPr>
              <w:p w:rsidRPr="00000000" w:rsidR="00000000" w:rsidDel="00000000" w:rsidP="00000000" w:rsidRDefault="00000000" w14:paraId="00000088">
                <w:pPr>
                  <w:ind w:left="0" w:firstLine="0"/>
                  <w:jc w:val="left"/>
                  <w:rPr>
                    <w:sz w:val="20"/>
                    <w:szCs w:val="20"/>
                  </w:rPr>
                </w:pPr>
                <w:r w:rsidRPr="00000000" w:rsidDel="00000000" w:rsidR="00000000">
                  <w:rPr>
                    <w:sz w:val="20"/>
                    <w:szCs w:val="20"/>
                    <w:rtl w:val="0"/>
                  </w:rPr>
                  <w:t xml:space="preserve">Binance.com Compliance Policy</w:t>
                </w:r>
              </w:p>
            </w:tc>
            <w:tc>
              <w:tcPr>
                <w:vAlign w:val="center"/>
              </w:tcPr>
              <w:p w:rsidRPr="00000000" w:rsidR="00000000" w:rsidDel="00000000" w:rsidP="00000000" w:rsidRDefault="00000000" w14:paraId="00000089">
                <w:pPr>
                  <w:ind w:left="-75" w:right="-75" w:firstLine="0"/>
                  <w:jc w:val="center"/>
                  <w:rPr>
                    <w:sz w:val="20"/>
                    <w:szCs w:val="20"/>
                  </w:rPr>
                </w:pPr>
                <w:r w:rsidRPr="00000000" w:rsidDel="00000000" w:rsidR="00000000">
                  <w:rPr>
                    <w:sz w:val="20"/>
                    <w:szCs w:val="20"/>
                    <w:rtl w:val="0"/>
                  </w:rPr>
                  <w:t xml:space="preserve">20 November 2019</w:t>
                </w:r>
              </w:p>
            </w:tc>
          </w:tr>
        </w:tbl>
      </w:sdtContent>
    </w:sdt>
    <w:p w:rsidRPr="00000000" w:rsidR="00000000" w:rsidDel="00000000" w:rsidP="00000000" w:rsidRDefault="00000000" w14:paraId="0000008A">
      <w:pPr>
        <w:spacing w:line="276" w:lineRule="auto"/>
        <w:ind w:left="0" w:firstLine="0"/>
        <w:rPr/>
        <w:sectPr>
          <w:footerReference w:type="default" r:id="rId9"/>
          <w:footerReference w:type="first" r:id="rId10"/>
          <w:pgSz w:w="11909" w:h="16834" w:orient="portrait"/>
          <w:pgMar w:top="1440" w:right="1440" w:bottom="1440" w:left="1440" w:header="288" w:footer="431.99999999999994"/>
          <w:pgNumType w:start="1"/>
        </w:sectPr>
      </w:pPr>
      <w:r w:rsidRPr="00000000" w:rsidDel="00000000" w:rsidR="00000000">
        <w:rPr>
          <w:rtl w:val="0"/>
        </w:rPr>
      </w:r>
    </w:p>
    <w:p w:rsidRPr="00000000" w:rsidR="00000000" w:rsidDel="00000000" w:rsidP="00000000" w:rsidRDefault="00000000" w14:paraId="0000008B">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i w:val="0"/>
          <w:iCs w:val="0"/>
          <w:smallCaps w:val="0"/>
          <w:strike w:val="0"/>
          <w:color w:val="000000"/>
          <w:u w:val="single"/>
          <w:shd w:val="clear" w:fill="auto"/>
          <w:vertAlign w:val="baseline"/>
        </w:rPr>
      </w:pPr>
      <w:r w:rsidRPr="00000000" w:rsidDel="00000000" w:rsidR="00000000">
        <w:rPr>
          <w:b w:val="1"/>
          <w:bCs w:val="1"/>
          <w:sz w:val="28"/>
          <w:szCs w:val="28"/>
          <w:u w:val="single"/>
          <w:rtl w:val="0"/>
        </w:rPr>
        <w:t xml:space="preserve">TABLE OF CONTENTS</w:t>
      </w:r>
      <w:r w:rsidRPr="00000000" w:rsidDel="00000000" w:rsidR="00000000">
        <w:rPr>
          <w:rtl w:val="0"/>
        </w:rPr>
      </w:r>
    </w:p>
    <w:sdt>
      <w:sdtPr>
        <w:id w:val="600985970"/>
        <w:docPartObj>
          <w:docPartGallery w:val="Table of Contents"/>
          <w:docPartUnique w:val="1"/>
        </w:docPartObj>
      </w:sdtPr>
      <w:sdtContent>
        <w:p w:rsidRPr="00000000" w:rsidR="00000000" w:rsidDel="00000000" w:rsidP="00000000" w:rsidRDefault="00000000" w14:paraId="0000008C">
          <w:pPr>
            <w:widowControl w:val="0"/>
            <w:tabs>
              <w:tab w:val="right" w:leader="none" w:pos="12000"/>
            </w:tabs>
            <w:spacing w:before="60" w:line="240" w:lineRule="auto"/>
            <w:ind w:left="0"/>
            <w:jc w:val="left"/>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fldChar w:fldCharType="begin"/>
            <w:instrText xml:space="preserve"> TOC \h \u \z \t "Heading 1,1,Heading 2,2,Heading 6,6,"</w:instrText>
            <w:fldChar w:fldCharType="separate"/>
          </w:r>
          <w:hyperlink w:anchor="_heading=h.92gcr6isdx4d">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 INTRODUCTION</w:t>
              <w:tab/>
              <w:t xml:space="preserve">7</w:t>
            </w:r>
          </w:hyperlink>
          <w:r w:rsidRPr="00000000" w:rsidDel="00000000" w:rsidR="00000000">
            <w:rPr>
              <w:rtl w:val="0"/>
            </w:rPr>
          </w:r>
        </w:p>
        <w:p w:rsidRPr="00000000" w:rsidR="00000000" w:rsidDel="00000000" w:rsidP="00000000" w:rsidRDefault="00000000" w14:paraId="0000008D">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150vmvy74zq0">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1.1 Overview</w:t>
              <w:tab/>
              <w:t xml:space="preserve">7</w:t>
            </w:r>
          </w:hyperlink>
          <w:r w:rsidRPr="00000000" w:rsidDel="00000000" w:rsidR="00000000">
            <w:rPr>
              <w:rtl w:val="0"/>
            </w:rPr>
          </w:r>
        </w:p>
        <w:p w:rsidRPr="00000000" w:rsidR="00000000" w:rsidDel="00000000" w:rsidP="00000000" w:rsidRDefault="00000000" w14:paraId="0000008E">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wobqpt36ps7m">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1.2 Legal and Regulatory Background</w:t>
              <w:tab/>
              <w:t xml:space="preserve">7</w:t>
            </w:r>
          </w:hyperlink>
          <w:r w:rsidRPr="00000000" w:rsidDel="00000000" w:rsidR="00000000">
            <w:rPr>
              <w:rtl w:val="0"/>
            </w:rPr>
          </w:r>
        </w:p>
        <w:p w:rsidRPr="00000000" w:rsidR="00000000" w:rsidDel="00000000" w:rsidP="00000000" w:rsidRDefault="00000000" w14:paraId="0000008F">
          <w:pPr>
            <w:widowControl w:val="0"/>
            <w:tabs>
              <w:tab w:val="right" w:leader="none" w:pos="12000"/>
            </w:tabs>
            <w:spacing w:before="60" w:line="240" w:lineRule="auto"/>
            <w:ind w:left="0"/>
            <w:jc w:val="left"/>
            <w:rPr>
              <w:rFonts w:ascii="Arial" w:hAnsi="Arial" w:eastAsia="Arial" w:cs="Arial"/>
              <w:b w:val="1"/>
              <w:bCs w:val="1"/>
              <w:i w:val="0"/>
              <w:iCs w:val="0"/>
              <w:smallCaps w:val="0"/>
              <w:strike w:val="0"/>
              <w:color w:val="000000"/>
              <w:sz w:val="22"/>
              <w:szCs w:val="22"/>
              <w:u w:val="none"/>
              <w:shd w:val="clear" w:fill="auto"/>
              <w:vertAlign w:val="baseline"/>
            </w:rPr>
          </w:pPr>
          <w:hyperlink w:anchor="_heading=h.dymmji6ywx3m">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2 PURPOSE</w:t>
              <w:tab/>
              <w:t xml:space="preserve">8</w:t>
            </w:r>
          </w:hyperlink>
          <w:r w:rsidRPr="00000000" w:rsidDel="00000000" w:rsidR="00000000">
            <w:rPr>
              <w:rtl w:val="0"/>
            </w:rPr>
          </w:r>
        </w:p>
        <w:p w:rsidRPr="00000000" w:rsidR="00000000" w:rsidDel="00000000" w:rsidP="00000000" w:rsidRDefault="00000000" w14:paraId="00000090">
          <w:pPr>
            <w:widowControl w:val="0"/>
            <w:tabs>
              <w:tab w:val="right" w:leader="none" w:pos="12000"/>
            </w:tabs>
            <w:spacing w:before="60" w:line="240" w:lineRule="auto"/>
            <w:ind w:left="0"/>
            <w:jc w:val="left"/>
            <w:rPr>
              <w:rFonts w:ascii="Arial" w:hAnsi="Arial" w:eastAsia="Arial" w:cs="Arial"/>
              <w:b w:val="1"/>
              <w:bCs w:val="1"/>
              <w:i w:val="0"/>
              <w:iCs w:val="0"/>
              <w:smallCaps w:val="0"/>
              <w:strike w:val="0"/>
              <w:color w:val="000000"/>
              <w:sz w:val="22"/>
              <w:szCs w:val="22"/>
              <w:u w:val="none"/>
              <w:shd w:val="clear" w:fill="auto"/>
              <w:vertAlign w:val="baseline"/>
            </w:rPr>
          </w:pPr>
          <w:hyperlink w:anchor="_heading=h.9vzjmkok7kta">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3 SCOPE</w:t>
              <w:tab/>
              <w:t xml:space="preserve">9</w:t>
            </w:r>
          </w:hyperlink>
          <w:r w:rsidRPr="00000000" w:rsidDel="00000000" w:rsidR="00000000">
            <w:rPr>
              <w:rtl w:val="0"/>
            </w:rPr>
          </w:r>
        </w:p>
        <w:p w:rsidRPr="00000000" w:rsidR="00000000" w:rsidDel="00000000" w:rsidP="00000000" w:rsidRDefault="00000000" w14:paraId="00000091">
          <w:pPr>
            <w:widowControl w:val="0"/>
            <w:tabs>
              <w:tab w:val="right" w:leader="none" w:pos="12000"/>
            </w:tabs>
            <w:spacing w:before="60" w:line="240" w:lineRule="auto"/>
            <w:ind w:left="0"/>
            <w:jc w:val="left"/>
            <w:rPr>
              <w:rFonts w:ascii="Arial" w:hAnsi="Arial" w:eastAsia="Arial" w:cs="Arial"/>
              <w:b w:val="1"/>
              <w:bCs w:val="1"/>
              <w:i w:val="0"/>
              <w:iCs w:val="0"/>
              <w:smallCaps w:val="0"/>
              <w:strike w:val="0"/>
              <w:color w:val="000000"/>
              <w:sz w:val="22"/>
              <w:szCs w:val="22"/>
              <w:u w:val="none"/>
              <w:shd w:val="clear" w:fill="auto"/>
              <w:vertAlign w:val="baseline"/>
            </w:rPr>
          </w:pPr>
          <w:hyperlink w:anchor="_heading=h.9e11o8wer7o0">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4 KEY CONCEPTS</w:t>
              <w:tab/>
              <w:t xml:space="preserve">9</w:t>
            </w:r>
          </w:hyperlink>
          <w:r w:rsidRPr="00000000" w:rsidDel="00000000" w:rsidR="00000000">
            <w:rPr>
              <w:rtl w:val="0"/>
            </w:rPr>
          </w:r>
        </w:p>
        <w:p w:rsidRPr="00000000" w:rsidR="00000000" w:rsidDel="00000000" w:rsidP="00000000" w:rsidRDefault="00000000" w14:paraId="00000092">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lsbm0z3gevqh">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4.1 The Vulnerabilities of Digital Assets</w:t>
              <w:tab/>
              <w:t xml:space="preserve">9</w:t>
            </w:r>
          </w:hyperlink>
          <w:r w:rsidRPr="00000000" w:rsidDel="00000000" w:rsidR="00000000">
            <w:rPr>
              <w:rtl w:val="0"/>
            </w:rPr>
          </w:r>
        </w:p>
        <w:p w:rsidRPr="00000000" w:rsidR="00000000" w:rsidDel="00000000" w:rsidP="00000000" w:rsidRDefault="00000000" w14:paraId="00000093">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ymcg4m9czefn">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4.2 Money Laundering, Terrorist and Proliferation Financing and Sanctions</w:t>
              <w:tab/>
              <w:t xml:space="preserve">10</w:t>
            </w:r>
          </w:hyperlink>
          <w:r w:rsidRPr="00000000" w:rsidDel="00000000" w:rsidR="00000000">
            <w:rPr>
              <w:rtl w:val="0"/>
            </w:rPr>
          </w:r>
        </w:p>
        <w:p w:rsidRPr="00000000" w:rsidR="00000000" w:rsidDel="00000000" w:rsidP="00000000" w:rsidRDefault="00000000" w14:paraId="00000094">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bzu3012y5eq3">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4.3 Terrorist Financing</w:t>
              <w:tab/>
              <w:t xml:space="preserve">10</w:t>
            </w:r>
          </w:hyperlink>
          <w:r w:rsidRPr="00000000" w:rsidDel="00000000" w:rsidR="00000000">
            <w:rPr>
              <w:rtl w:val="0"/>
            </w:rPr>
          </w:r>
        </w:p>
        <w:p w:rsidRPr="00000000" w:rsidR="00000000" w:rsidDel="00000000" w:rsidP="00000000" w:rsidRDefault="00000000" w14:paraId="00000095">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l7hc6s7cc2io">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4.4 Proliferation Financing</w:t>
              <w:tab/>
              <w:t xml:space="preserve">11</w:t>
            </w:r>
          </w:hyperlink>
          <w:r w:rsidRPr="00000000" w:rsidDel="00000000" w:rsidR="00000000">
            <w:rPr>
              <w:rtl w:val="0"/>
            </w:rPr>
          </w:r>
        </w:p>
        <w:p w:rsidRPr="00000000" w:rsidR="00000000" w:rsidDel="00000000" w:rsidP="00000000" w:rsidRDefault="00000000" w14:paraId="00000096">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98blwq5tkpln">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4.5 Sanctions</w:t>
              <w:tab/>
              <w:t xml:space="preserve">11</w:t>
            </w:r>
          </w:hyperlink>
          <w:r w:rsidRPr="00000000" w:rsidDel="00000000" w:rsidR="00000000">
            <w:rPr>
              <w:rtl w:val="0"/>
            </w:rPr>
          </w:r>
        </w:p>
        <w:p w:rsidRPr="00000000" w:rsidR="00000000" w:rsidDel="00000000" w:rsidP="00000000" w:rsidRDefault="00000000" w14:paraId="00000097">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kjbo05a7c4gw">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4.6 Financial Crime Compliance</w:t>
              <w:tab/>
              <w:t xml:space="preserve">12</w:t>
            </w:r>
          </w:hyperlink>
          <w:r w:rsidRPr="00000000" w:rsidDel="00000000" w:rsidR="00000000">
            <w:rPr>
              <w:rtl w:val="0"/>
            </w:rPr>
          </w:r>
        </w:p>
        <w:p w:rsidRPr="00000000" w:rsidR="00000000" w:rsidDel="00000000" w:rsidP="00000000" w:rsidRDefault="00000000" w14:paraId="00000098">
          <w:pPr>
            <w:widowControl w:val="0"/>
            <w:tabs>
              <w:tab w:val="right" w:leader="none" w:pos="12000"/>
            </w:tabs>
            <w:spacing w:before="60" w:line="240" w:lineRule="auto"/>
            <w:ind w:left="0"/>
            <w:jc w:val="left"/>
            <w:rPr>
              <w:rFonts w:ascii="Arial" w:hAnsi="Arial" w:eastAsia="Arial" w:cs="Arial"/>
              <w:b w:val="1"/>
              <w:bCs w:val="1"/>
              <w:i w:val="0"/>
              <w:iCs w:val="0"/>
              <w:smallCaps w:val="0"/>
              <w:strike w:val="0"/>
              <w:color w:val="000000"/>
              <w:sz w:val="22"/>
              <w:szCs w:val="22"/>
              <w:u w:val="none"/>
              <w:shd w:val="clear" w:fill="auto"/>
              <w:vertAlign w:val="baseline"/>
            </w:rPr>
          </w:pPr>
          <w:hyperlink w:anchor="_heading=h.ra31ipcr8sja">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5 GOVERNANCE AND OVERSIGHT</w:t>
              <w:tab/>
              <w:t xml:space="preserve">13</w:t>
            </w:r>
          </w:hyperlink>
          <w:r w:rsidRPr="00000000" w:rsidDel="00000000" w:rsidR="00000000">
            <w:rPr>
              <w:rtl w:val="0"/>
            </w:rPr>
          </w:r>
        </w:p>
        <w:p w:rsidRPr="00000000" w:rsidR="00000000" w:rsidDel="00000000" w:rsidP="00000000" w:rsidRDefault="00000000" w14:paraId="00000099">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61tjjm7pidzg">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5.1 General Responsibilities</w:t>
              <w:tab/>
              <w:t xml:space="preserve">13</w:t>
            </w:r>
          </w:hyperlink>
          <w:r w:rsidRPr="00000000" w:rsidDel="00000000" w:rsidR="00000000">
            <w:rPr>
              <w:rtl w:val="0"/>
            </w:rPr>
          </w:r>
        </w:p>
        <w:p w:rsidRPr="00000000" w:rsidR="00000000" w:rsidDel="00000000" w:rsidP="00000000" w:rsidRDefault="00000000" w14:paraId="0000009A">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js5b4v493ywk">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5.2 Business Level</w:t>
              <w:tab/>
              <w:t xml:space="preserve">13</w:t>
            </w:r>
          </w:hyperlink>
          <w:r w:rsidRPr="00000000" w:rsidDel="00000000" w:rsidR="00000000">
            <w:rPr>
              <w:rtl w:val="0"/>
            </w:rPr>
          </w:r>
        </w:p>
        <w:p w:rsidRPr="00000000" w:rsidR="00000000" w:rsidDel="00000000" w:rsidP="00000000" w:rsidRDefault="00000000" w14:paraId="0000009B">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1ehmysv2bw10">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5.3 Senior Management Oversight</w:t>
              <w:tab/>
              <w:t xml:space="preserve">14</w:t>
            </w:r>
          </w:hyperlink>
          <w:r w:rsidRPr="00000000" w:rsidDel="00000000" w:rsidR="00000000">
            <w:rPr>
              <w:rtl w:val="0"/>
            </w:rPr>
          </w:r>
        </w:p>
        <w:p w:rsidRPr="00000000" w:rsidR="00000000" w:rsidDel="00000000" w:rsidP="00000000" w:rsidRDefault="00000000" w14:paraId="0000009C">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6ny6olptguu6">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5.4 Three Lines of Defense</w:t>
              <w:tab/>
              <w:t xml:space="preserve">15</w:t>
            </w:r>
          </w:hyperlink>
          <w:r w:rsidRPr="00000000" w:rsidDel="00000000" w:rsidR="00000000">
            <w:rPr>
              <w:rtl w:val="0"/>
            </w:rPr>
          </w:r>
        </w:p>
        <w:p w:rsidRPr="00000000" w:rsidR="00000000" w:rsidDel="00000000" w:rsidP="00000000" w:rsidRDefault="00000000" w14:paraId="0000009D">
          <w:pPr>
            <w:widowControl w:val="0"/>
            <w:tabs>
              <w:tab w:val="right" w:leader="none" w:pos="12000"/>
            </w:tabs>
            <w:spacing w:before="60" w:line="240" w:lineRule="auto"/>
            <w:ind w:left="0"/>
            <w:jc w:val="left"/>
            <w:rPr>
              <w:rFonts w:ascii="Arial" w:hAnsi="Arial" w:eastAsia="Arial" w:cs="Arial"/>
              <w:b w:val="1"/>
              <w:bCs w:val="1"/>
              <w:i w:val="0"/>
              <w:iCs w:val="0"/>
              <w:smallCaps w:val="0"/>
              <w:strike w:val="0"/>
              <w:color w:val="000000"/>
              <w:sz w:val="22"/>
              <w:szCs w:val="22"/>
              <w:u w:val="none"/>
              <w:shd w:val="clear" w:fill="auto"/>
              <w:vertAlign w:val="baseline"/>
            </w:rPr>
          </w:pPr>
          <w:hyperlink w:anchor="_heading=h.frz4hys8t33u">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6 ORGANIZATION AND PEOPLE</w:t>
              <w:tab/>
              <w:t xml:space="preserve">16</w:t>
            </w:r>
          </w:hyperlink>
          <w:r w:rsidRPr="00000000" w:rsidDel="00000000" w:rsidR="00000000">
            <w:rPr>
              <w:rtl w:val="0"/>
            </w:rPr>
          </w:r>
        </w:p>
        <w:p w:rsidRPr="00000000" w:rsidR="00000000" w:rsidDel="00000000" w:rsidP="00000000" w:rsidRDefault="00000000" w14:paraId="0000009E">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46npauounigo">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6.1 Global Compliance Department</w:t>
              <w:tab/>
              <w:t xml:space="preserve">16</w:t>
            </w:r>
          </w:hyperlink>
          <w:r w:rsidRPr="00000000" w:rsidDel="00000000" w:rsidR="00000000">
            <w:rPr>
              <w:rtl w:val="0"/>
            </w:rPr>
          </w:r>
        </w:p>
        <w:p w:rsidRPr="00000000" w:rsidR="00000000" w:rsidDel="00000000" w:rsidP="00000000" w:rsidRDefault="00000000" w14:paraId="0000009F">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94ry1lc05h99">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6.2 Regional Compliance Officer</w:t>
              <w:tab/>
              <w:t xml:space="preserve">18</w:t>
            </w:r>
          </w:hyperlink>
          <w:r w:rsidRPr="00000000" w:rsidDel="00000000" w:rsidR="00000000">
            <w:rPr>
              <w:rtl w:val="0"/>
            </w:rPr>
          </w:r>
        </w:p>
        <w:p w:rsidRPr="00000000" w:rsidR="00000000" w:rsidDel="00000000" w:rsidP="00000000" w:rsidRDefault="00000000" w14:paraId="000000A0">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yh3sbbrg7h1i">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6.3 The Country Compliance Officer / Money Laundering Reporting Officer</w:t>
              <w:tab/>
              <w:t xml:space="preserve">18</w:t>
            </w:r>
          </w:hyperlink>
          <w:r w:rsidRPr="00000000" w:rsidDel="00000000" w:rsidR="00000000">
            <w:rPr>
              <w:rtl w:val="0"/>
            </w:rPr>
          </w:r>
        </w:p>
        <w:p w:rsidRPr="00000000" w:rsidR="00000000" w:rsidDel="00000000" w:rsidP="00000000" w:rsidRDefault="00000000" w14:paraId="000000A1">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gcqdpcxy59ss">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6.4 Business Compliance</w:t>
              <w:tab/>
              <w:t xml:space="preserve">19</w:t>
            </w:r>
          </w:hyperlink>
          <w:r w:rsidRPr="00000000" w:rsidDel="00000000" w:rsidR="00000000">
            <w:rPr>
              <w:rtl w:val="0"/>
            </w:rPr>
          </w:r>
        </w:p>
        <w:p w:rsidRPr="00000000" w:rsidR="00000000" w:rsidDel="00000000" w:rsidP="00000000" w:rsidRDefault="00000000" w14:paraId="000000A2">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oifo81nt1fhl">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6.5 Enterprise Wide Risk Assessment (EWRA)</w:t>
              <w:tab/>
              <w:t xml:space="preserve">20</w:t>
            </w:r>
          </w:hyperlink>
          <w:r w:rsidRPr="00000000" w:rsidDel="00000000" w:rsidR="00000000">
            <w:rPr>
              <w:rtl w:val="0"/>
            </w:rPr>
          </w:r>
        </w:p>
        <w:p w:rsidRPr="00000000" w:rsidR="00000000" w:rsidDel="00000000" w:rsidP="00000000" w:rsidRDefault="00000000" w14:paraId="000000A3">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nv6a6q6azlff">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6.6 Central Project Management Office (CPMO)</w:t>
              <w:tab/>
              <w:t xml:space="preserve">20</w:t>
            </w:r>
          </w:hyperlink>
          <w:r w:rsidRPr="00000000" w:rsidDel="00000000" w:rsidR="00000000">
            <w:rPr>
              <w:rtl w:val="0"/>
            </w:rPr>
          </w:r>
        </w:p>
        <w:p w:rsidRPr="00000000" w:rsidR="00000000" w:rsidDel="00000000" w:rsidP="00000000" w:rsidRDefault="00000000" w14:paraId="000000A4">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7uzfkjvuvx0h">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6.7 Global Core Compliance</w:t>
              <w:tab/>
              <w:t xml:space="preserve">20</w:t>
            </w:r>
          </w:hyperlink>
          <w:r w:rsidRPr="00000000" w:rsidDel="00000000" w:rsidR="00000000">
            <w:rPr>
              <w:rtl w:val="0"/>
            </w:rPr>
          </w:r>
        </w:p>
        <w:p w:rsidRPr="00000000" w:rsidR="00000000" w:rsidDel="00000000" w:rsidP="00000000" w:rsidRDefault="00000000" w14:paraId="000000A5">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7c0nf3p5u50f">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6.8 Business Development Lead / Business Line Managers</w:t>
              <w:tab/>
              <w:t xml:space="preserve">21</w:t>
            </w:r>
          </w:hyperlink>
          <w:r w:rsidRPr="00000000" w:rsidDel="00000000" w:rsidR="00000000">
            <w:rPr>
              <w:rtl w:val="0"/>
            </w:rPr>
          </w:r>
        </w:p>
        <w:p w:rsidRPr="00000000" w:rsidR="00000000" w:rsidDel="00000000" w:rsidP="00000000" w:rsidRDefault="00000000" w14:paraId="000000A6">
          <w:pPr>
            <w:widowControl w:val="0"/>
            <w:tabs>
              <w:tab w:val="right" w:leader="none" w:pos="12000"/>
            </w:tabs>
            <w:spacing w:before="60" w:line="240" w:lineRule="auto"/>
            <w:ind w:left="0"/>
            <w:jc w:val="left"/>
            <w:rPr>
              <w:rFonts w:ascii="Arial" w:hAnsi="Arial" w:eastAsia="Arial" w:cs="Arial"/>
              <w:b w:val="1"/>
              <w:bCs w:val="1"/>
              <w:i w:val="0"/>
              <w:iCs w:val="0"/>
              <w:smallCaps w:val="0"/>
              <w:strike w:val="0"/>
              <w:color w:val="000000"/>
              <w:sz w:val="22"/>
              <w:szCs w:val="22"/>
              <w:u w:val="none"/>
              <w:shd w:val="clear" w:fill="auto"/>
              <w:vertAlign w:val="baseline"/>
            </w:rPr>
          </w:pPr>
          <w:hyperlink w:anchor="_heading=h.sb6yxaa211yr">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7 GLOBAL FINANCIAL CRIMES RISK APPROACH</w:t>
              <w:tab/>
              <w:t xml:space="preserve">21</w:t>
            </w:r>
          </w:hyperlink>
          <w:r w:rsidRPr="00000000" w:rsidDel="00000000" w:rsidR="00000000">
            <w:rPr>
              <w:rtl w:val="0"/>
            </w:rPr>
          </w:r>
        </w:p>
        <w:p w:rsidRPr="00000000" w:rsidR="00000000" w:rsidDel="00000000" w:rsidP="00000000" w:rsidRDefault="00000000" w14:paraId="000000A7">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8v3n9y9bans6">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7.1 Overview</w:t>
              <w:tab/>
              <w:t xml:space="preserve">21</w:t>
            </w:r>
          </w:hyperlink>
          <w:r w:rsidRPr="00000000" w:rsidDel="00000000" w:rsidR="00000000">
            <w:rPr>
              <w:rtl w:val="0"/>
            </w:rPr>
          </w:r>
        </w:p>
        <w:p w:rsidRPr="00000000" w:rsidR="00000000" w:rsidDel="00000000" w:rsidP="00000000" w:rsidRDefault="00000000" w14:paraId="000000A8">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3w2ph5b63i64">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7.2 Key Principles</w:t>
              <w:tab/>
              <w:t xml:space="preserve">22</w:t>
            </w:r>
          </w:hyperlink>
          <w:r w:rsidRPr="00000000" w:rsidDel="00000000" w:rsidR="00000000">
            <w:rPr>
              <w:rtl w:val="0"/>
            </w:rPr>
          </w:r>
        </w:p>
        <w:p w:rsidRPr="00000000" w:rsidR="00000000" w:rsidDel="00000000" w:rsidP="00000000" w:rsidRDefault="00000000" w14:paraId="000000A9">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4evie1jyvym">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7.3 Risk Appetite Statement</w:t>
              <w:tab/>
              <w:t xml:space="preserve">23</w:t>
            </w:r>
          </w:hyperlink>
          <w:r w:rsidRPr="00000000" w:rsidDel="00000000" w:rsidR="00000000">
            <w:rPr>
              <w:rtl w:val="0"/>
            </w:rPr>
          </w:r>
        </w:p>
        <w:p w:rsidRPr="00000000" w:rsidR="00000000" w:rsidDel="00000000" w:rsidP="00000000" w:rsidRDefault="00000000" w14:paraId="000000AA">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l68qeg6iuxx1">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7.4 Enterprise Wide Risk Assessment</w:t>
              <w:tab/>
              <w:t xml:space="preserve">23</w:t>
            </w:r>
          </w:hyperlink>
          <w:r w:rsidRPr="00000000" w:rsidDel="00000000" w:rsidR="00000000">
            <w:rPr>
              <w:rtl w:val="0"/>
            </w:rPr>
          </w:r>
        </w:p>
        <w:p w:rsidRPr="00000000" w:rsidR="00000000" w:rsidDel="00000000" w:rsidP="00000000" w:rsidRDefault="00000000" w14:paraId="000000AB">
          <w:pPr>
            <w:widowControl w:val="0"/>
            <w:tabs>
              <w:tab w:val="right" w:leader="none" w:pos="12000"/>
            </w:tabs>
            <w:spacing w:before="60" w:line="240" w:lineRule="auto"/>
            <w:ind w:left="0"/>
            <w:jc w:val="left"/>
            <w:rPr>
              <w:rFonts w:ascii="Arial" w:hAnsi="Arial" w:eastAsia="Arial" w:cs="Arial"/>
              <w:b w:val="1"/>
              <w:bCs w:val="1"/>
              <w:i w:val="0"/>
              <w:iCs w:val="0"/>
              <w:smallCaps w:val="0"/>
              <w:strike w:val="0"/>
              <w:color w:val="000000"/>
              <w:sz w:val="22"/>
              <w:szCs w:val="22"/>
              <w:u w:val="none"/>
              <w:shd w:val="clear" w:fill="auto"/>
              <w:vertAlign w:val="baseline"/>
            </w:rPr>
          </w:pPr>
          <w:hyperlink w:anchor="_heading=h.obdp9wntf3lk">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8 NEW PRODUCTS, PRACTISES, AND TECHNOLOGIES</w:t>
              <w:tab/>
              <w:t xml:space="preserve">24</w:t>
            </w:r>
          </w:hyperlink>
          <w:r w:rsidRPr="00000000" w:rsidDel="00000000" w:rsidR="00000000">
            <w:rPr>
              <w:rtl w:val="0"/>
            </w:rPr>
          </w:r>
        </w:p>
        <w:p w:rsidRPr="00000000" w:rsidR="00000000" w:rsidDel="00000000" w:rsidP="00000000" w:rsidRDefault="00000000" w14:paraId="000000AC">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b3tdz7fmwq47">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8.1 Product Approvals and Change Approvals</w:t>
              <w:tab/>
              <w:t xml:space="preserve">24</w:t>
            </w:r>
          </w:hyperlink>
          <w:r w:rsidRPr="00000000" w:rsidDel="00000000" w:rsidR="00000000">
            <w:rPr>
              <w:rtl w:val="0"/>
            </w:rPr>
          </w:r>
        </w:p>
        <w:p w:rsidRPr="00000000" w:rsidR="00000000" w:rsidDel="00000000" w:rsidP="00000000" w:rsidRDefault="00000000" w14:paraId="000000AD">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9l63il9i534q">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8.2 Product Family Risk Assessment (“P(F)RA”)</w:t>
              <w:tab/>
              <w:t xml:space="preserve">24</w:t>
            </w:r>
          </w:hyperlink>
          <w:r w:rsidRPr="00000000" w:rsidDel="00000000" w:rsidR="00000000">
            <w:rPr>
              <w:rtl w:val="0"/>
            </w:rPr>
          </w:r>
        </w:p>
        <w:p w:rsidRPr="00000000" w:rsidR="00000000" w:rsidDel="00000000" w:rsidP="00000000" w:rsidRDefault="00000000" w14:paraId="000000AE">
          <w:pPr>
            <w:widowControl w:val="0"/>
            <w:tabs>
              <w:tab w:val="right" w:leader="none" w:pos="12000"/>
            </w:tabs>
            <w:spacing w:before="60" w:line="240" w:lineRule="auto"/>
            <w:ind w:left="0"/>
            <w:jc w:val="left"/>
            <w:rPr>
              <w:rFonts w:ascii="Arial" w:hAnsi="Arial" w:eastAsia="Arial" w:cs="Arial"/>
              <w:b w:val="1"/>
              <w:bCs w:val="1"/>
              <w:i w:val="0"/>
              <w:iCs w:val="0"/>
              <w:smallCaps w:val="0"/>
              <w:strike w:val="0"/>
              <w:color w:val="000000"/>
              <w:sz w:val="22"/>
              <w:szCs w:val="22"/>
              <w:u w:val="none"/>
              <w:shd w:val="clear" w:fill="auto"/>
              <w:vertAlign w:val="baseline"/>
            </w:rPr>
          </w:pPr>
          <w:hyperlink w:anchor="_heading=h.vrhrvy9fkivx">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9 PROHIBITED CUSTOMERS AND TRANSACTIONS</w:t>
              <w:tab/>
              <w:t xml:space="preserve">24</w:t>
            </w:r>
          </w:hyperlink>
          <w:r w:rsidRPr="00000000" w:rsidDel="00000000" w:rsidR="00000000">
            <w:rPr>
              <w:rtl w:val="0"/>
            </w:rPr>
          </w:r>
        </w:p>
        <w:p w:rsidRPr="00000000" w:rsidR="00000000" w:rsidDel="00000000" w:rsidP="00000000" w:rsidRDefault="00000000" w14:paraId="000000AF">
          <w:pPr>
            <w:widowControl w:val="0"/>
            <w:tabs>
              <w:tab w:val="right" w:leader="none" w:pos="12000"/>
            </w:tabs>
            <w:spacing w:before="60" w:line="240" w:lineRule="auto"/>
            <w:ind w:left="0"/>
            <w:jc w:val="left"/>
            <w:rPr>
              <w:rFonts w:ascii="Arial" w:hAnsi="Arial" w:eastAsia="Arial" w:cs="Arial"/>
              <w:b w:val="1"/>
              <w:bCs w:val="1"/>
              <w:i w:val="0"/>
              <w:iCs w:val="0"/>
              <w:smallCaps w:val="0"/>
              <w:strike w:val="0"/>
              <w:color w:val="000000"/>
              <w:sz w:val="22"/>
              <w:szCs w:val="22"/>
              <w:u w:val="none"/>
              <w:shd w:val="clear" w:fill="auto"/>
              <w:vertAlign w:val="baseline"/>
            </w:rPr>
          </w:pPr>
          <w:hyperlink w:anchor="_heading=h.c9x8971z6v72">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10 CUSTOMER DUE DILIGENCE (CDD)</w:t>
              <w:tab/>
              <w:t xml:space="preserve">26</w:t>
            </w:r>
          </w:hyperlink>
          <w:r w:rsidRPr="00000000" w:rsidDel="00000000" w:rsidR="00000000">
            <w:rPr>
              <w:rtl w:val="0"/>
            </w:rPr>
          </w:r>
        </w:p>
        <w:p w:rsidRPr="00000000" w:rsidR="00000000" w:rsidDel="00000000" w:rsidP="00000000" w:rsidRDefault="00000000" w14:paraId="000000B0">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f0dit72h9gl4">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10.1 Overview</w:t>
              <w:tab/>
              <w:t xml:space="preserve">26</w:t>
            </w:r>
          </w:hyperlink>
          <w:r w:rsidRPr="00000000" w:rsidDel="00000000" w:rsidR="00000000">
            <w:rPr>
              <w:rtl w:val="0"/>
            </w:rPr>
          </w:r>
        </w:p>
        <w:p w:rsidRPr="00000000" w:rsidR="00000000" w:rsidDel="00000000" w:rsidP="00000000" w:rsidRDefault="00000000" w14:paraId="000000B1">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o5wqing6wrah">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10.2 Group CDD Procedures</w:t>
              <w:tab/>
              <w:t xml:space="preserve">26</w:t>
            </w:r>
          </w:hyperlink>
          <w:r w:rsidRPr="00000000" w:rsidDel="00000000" w:rsidR="00000000">
            <w:rPr>
              <w:rtl w:val="0"/>
            </w:rPr>
          </w:r>
        </w:p>
        <w:p w:rsidRPr="00000000" w:rsidR="00000000" w:rsidDel="00000000" w:rsidP="00000000" w:rsidRDefault="00000000" w14:paraId="000000B2">
          <w:pPr>
            <w:widowControl w:val="0"/>
            <w:tabs>
              <w:tab w:val="right" w:leader="none" w:pos="12000"/>
            </w:tabs>
            <w:spacing w:before="60" w:line="240" w:lineRule="auto"/>
            <w:ind w:left="0"/>
            <w:jc w:val="left"/>
            <w:rPr>
              <w:rFonts w:ascii="Arial" w:hAnsi="Arial" w:eastAsia="Arial" w:cs="Arial"/>
              <w:b w:val="1"/>
              <w:bCs w:val="1"/>
              <w:i w:val="0"/>
              <w:iCs w:val="0"/>
              <w:smallCaps w:val="0"/>
              <w:strike w:val="0"/>
              <w:color w:val="000000"/>
              <w:sz w:val="22"/>
              <w:szCs w:val="22"/>
              <w:u w:val="none"/>
              <w:shd w:val="clear" w:fill="auto"/>
              <w:vertAlign w:val="baseline"/>
            </w:rPr>
          </w:pPr>
          <w:hyperlink w:anchor="_heading=h.uyr92pnbeosf">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11 ENHANCED DUE DILIGENCE (EDD)</w:t>
              <w:tab/>
              <w:t xml:space="preserve">28</w:t>
            </w:r>
          </w:hyperlink>
          <w:r w:rsidRPr="00000000" w:rsidDel="00000000" w:rsidR="00000000">
            <w:rPr>
              <w:rtl w:val="0"/>
            </w:rPr>
          </w:r>
        </w:p>
        <w:p w:rsidRPr="00000000" w:rsidR="00000000" w:rsidDel="00000000" w:rsidP="00000000" w:rsidRDefault="00000000" w14:paraId="000000B3">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seb66mqb5kk9">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11.1 Overview</w:t>
              <w:tab/>
              <w:t xml:space="preserve">28</w:t>
            </w:r>
          </w:hyperlink>
          <w:r w:rsidRPr="00000000" w:rsidDel="00000000" w:rsidR="00000000">
            <w:rPr>
              <w:rtl w:val="0"/>
            </w:rPr>
          </w:r>
        </w:p>
        <w:p w:rsidRPr="00000000" w:rsidR="00000000" w:rsidDel="00000000" w:rsidP="00000000" w:rsidRDefault="00000000" w14:paraId="000000B4">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ni6b0gbwr8ax">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11.2 Scope and Application</w:t>
              <w:tab/>
              <w:t xml:space="preserve">28</w:t>
            </w:r>
          </w:hyperlink>
          <w:r w:rsidRPr="00000000" w:rsidDel="00000000" w:rsidR="00000000">
            <w:rPr>
              <w:rtl w:val="0"/>
            </w:rPr>
          </w:r>
        </w:p>
        <w:p w:rsidRPr="00000000" w:rsidR="00000000" w:rsidDel="00000000" w:rsidP="00000000" w:rsidRDefault="00000000" w14:paraId="000000B5">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c7wtft7jigr4">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11.3 Enhanced Due Diligence</w:t>
              <w:tab/>
              <w:t xml:space="preserve">29</w:t>
            </w:r>
          </w:hyperlink>
          <w:r w:rsidRPr="00000000" w:rsidDel="00000000" w:rsidR="00000000">
            <w:rPr>
              <w:rtl w:val="0"/>
            </w:rPr>
          </w:r>
        </w:p>
        <w:p w:rsidRPr="00000000" w:rsidR="00000000" w:rsidDel="00000000" w:rsidP="00000000" w:rsidRDefault="00000000" w14:paraId="000000B6">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egbalml4zhcc">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11.4 Ongoing Monitoring</w:t>
              <w:tab/>
              <w:t xml:space="preserve">29</w:t>
            </w:r>
          </w:hyperlink>
          <w:r w:rsidRPr="00000000" w:rsidDel="00000000" w:rsidR="00000000">
            <w:rPr>
              <w:rtl w:val="0"/>
            </w:rPr>
          </w:r>
        </w:p>
        <w:p w:rsidRPr="00000000" w:rsidR="00000000" w:rsidDel="00000000" w:rsidP="00000000" w:rsidRDefault="00000000" w14:paraId="000000B7">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z45c1nd3r2m9">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11.5 Escalation</w:t>
              <w:tab/>
              <w:t xml:space="preserve">30</w:t>
            </w:r>
          </w:hyperlink>
          <w:r w:rsidRPr="00000000" w:rsidDel="00000000" w:rsidR="00000000">
            <w:rPr>
              <w:rtl w:val="0"/>
            </w:rPr>
          </w:r>
        </w:p>
        <w:p w:rsidRPr="00000000" w:rsidR="00000000" w:rsidDel="00000000" w:rsidP="00000000" w:rsidRDefault="00000000" w14:paraId="000000B8">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xznydbc5gv4m">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11.6 Approval of High Risk and PEP Customers</w:t>
              <w:tab/>
              <w:t xml:space="preserve">30</w:t>
            </w:r>
          </w:hyperlink>
          <w:r w:rsidRPr="00000000" w:rsidDel="00000000" w:rsidR="00000000">
            <w:rPr>
              <w:rtl w:val="0"/>
            </w:rPr>
          </w:r>
        </w:p>
        <w:p w:rsidRPr="00000000" w:rsidR="00000000" w:rsidDel="00000000" w:rsidP="00000000" w:rsidRDefault="00000000" w14:paraId="000000B9">
          <w:pPr>
            <w:widowControl w:val="0"/>
            <w:tabs>
              <w:tab w:val="right" w:leader="none" w:pos="12000"/>
            </w:tabs>
            <w:spacing w:before="60" w:line="240" w:lineRule="auto"/>
            <w:ind w:left="0"/>
            <w:jc w:val="left"/>
            <w:rPr>
              <w:rFonts w:ascii="Arial" w:hAnsi="Arial" w:eastAsia="Arial" w:cs="Arial"/>
              <w:b w:val="1"/>
              <w:bCs w:val="1"/>
              <w:i w:val="0"/>
              <w:iCs w:val="0"/>
              <w:smallCaps w:val="0"/>
              <w:strike w:val="0"/>
              <w:color w:val="000000"/>
              <w:sz w:val="22"/>
              <w:szCs w:val="22"/>
              <w:u w:val="none"/>
              <w:shd w:val="clear" w:fill="auto"/>
              <w:vertAlign w:val="baseline"/>
            </w:rPr>
          </w:pPr>
          <w:hyperlink w:anchor="_heading=h.vo38106ydbu">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12 POLITICALLY EXPOSED PERSONS</w:t>
              <w:tab/>
              <w:t xml:space="preserve">31</w:t>
            </w:r>
          </w:hyperlink>
          <w:r w:rsidRPr="00000000" w:rsidDel="00000000" w:rsidR="00000000">
            <w:rPr>
              <w:rtl w:val="0"/>
            </w:rPr>
          </w:r>
        </w:p>
        <w:p w:rsidRPr="00000000" w:rsidR="00000000" w:rsidDel="00000000" w:rsidP="00000000" w:rsidRDefault="00000000" w14:paraId="000000BA">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l9wkt87oejvo">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12.1 Overview</w:t>
              <w:tab/>
              <w:t xml:space="preserve">31</w:t>
            </w:r>
          </w:hyperlink>
          <w:r w:rsidRPr="00000000" w:rsidDel="00000000" w:rsidR="00000000">
            <w:rPr>
              <w:rtl w:val="0"/>
            </w:rPr>
          </w:r>
        </w:p>
        <w:p w:rsidRPr="00000000" w:rsidR="00000000" w:rsidDel="00000000" w:rsidP="00000000" w:rsidRDefault="00000000" w14:paraId="000000BB">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6qjltled316h">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12.2 Individual Country Addenda</w:t>
              <w:tab/>
              <w:t xml:space="preserve">31</w:t>
            </w:r>
          </w:hyperlink>
          <w:r w:rsidRPr="00000000" w:rsidDel="00000000" w:rsidR="00000000">
            <w:rPr>
              <w:rtl w:val="0"/>
            </w:rPr>
          </w:r>
        </w:p>
        <w:p w:rsidRPr="00000000" w:rsidR="00000000" w:rsidDel="00000000" w:rsidP="00000000" w:rsidRDefault="00000000" w14:paraId="000000BC">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iwtovm6x44np">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12.3 Definitions</w:t>
              <w:tab/>
              <w:t xml:space="preserve">31</w:t>
            </w:r>
          </w:hyperlink>
          <w:r w:rsidRPr="00000000" w:rsidDel="00000000" w:rsidR="00000000">
            <w:rPr>
              <w:rtl w:val="0"/>
            </w:rPr>
          </w:r>
        </w:p>
        <w:p w:rsidRPr="00000000" w:rsidR="00000000" w:rsidDel="00000000" w:rsidP="00000000" w:rsidRDefault="00000000" w14:paraId="000000BD">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bvf32ozclfcy">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12.4 PEP Control and Risk Framework</w:t>
              <w:tab/>
              <w:t xml:space="preserve">33</w:t>
            </w:r>
          </w:hyperlink>
          <w:r w:rsidRPr="00000000" w:rsidDel="00000000" w:rsidR="00000000">
            <w:rPr>
              <w:rtl w:val="0"/>
            </w:rPr>
          </w:r>
        </w:p>
        <w:p w:rsidRPr="00000000" w:rsidR="00000000" w:rsidDel="00000000" w:rsidP="00000000" w:rsidRDefault="00000000" w14:paraId="000000BE">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cg4x8xr3oe0">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12.5 Termination of PEP Status</w:t>
              <w:tab/>
              <w:t xml:space="preserve">34</w:t>
            </w:r>
          </w:hyperlink>
          <w:r w:rsidRPr="00000000" w:rsidDel="00000000" w:rsidR="00000000">
            <w:rPr>
              <w:rtl w:val="0"/>
            </w:rPr>
          </w:r>
        </w:p>
        <w:p w:rsidRPr="00000000" w:rsidR="00000000" w:rsidDel="00000000" w:rsidP="00000000" w:rsidRDefault="00000000" w14:paraId="000000BF">
          <w:pPr>
            <w:widowControl w:val="0"/>
            <w:tabs>
              <w:tab w:val="right" w:leader="none" w:pos="12000"/>
            </w:tabs>
            <w:spacing w:before="60" w:line="240" w:lineRule="auto"/>
            <w:ind w:left="0"/>
            <w:jc w:val="left"/>
            <w:rPr>
              <w:rFonts w:ascii="Arial" w:hAnsi="Arial" w:eastAsia="Arial" w:cs="Arial"/>
              <w:b w:val="1"/>
              <w:bCs w:val="1"/>
              <w:i w:val="0"/>
              <w:iCs w:val="0"/>
              <w:smallCaps w:val="0"/>
              <w:strike w:val="0"/>
              <w:color w:val="000000"/>
              <w:sz w:val="22"/>
              <w:szCs w:val="22"/>
              <w:u w:val="none"/>
              <w:shd w:val="clear" w:fill="auto"/>
              <w:vertAlign w:val="baseline"/>
            </w:rPr>
          </w:pPr>
          <w:hyperlink w:anchor="_heading=h.6bw8jjrqj0i7">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13 SURVEILLANCE</w:t>
              <w:tab/>
              <w:t xml:space="preserve">34</w:t>
            </w:r>
          </w:hyperlink>
          <w:r w:rsidRPr="00000000" w:rsidDel="00000000" w:rsidR="00000000">
            <w:rPr>
              <w:rtl w:val="0"/>
            </w:rPr>
          </w:r>
        </w:p>
        <w:p w:rsidRPr="00000000" w:rsidR="00000000" w:rsidDel="00000000" w:rsidP="00000000" w:rsidRDefault="00000000" w14:paraId="000000C0">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1tftuaygs3ng">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13.1 Name Screening</w:t>
              <w:tab/>
              <w:t xml:space="preserve">34</w:t>
            </w:r>
          </w:hyperlink>
          <w:r w:rsidRPr="00000000" w:rsidDel="00000000" w:rsidR="00000000">
            <w:rPr>
              <w:rtl w:val="0"/>
            </w:rPr>
          </w:r>
        </w:p>
        <w:p w:rsidRPr="00000000" w:rsidR="00000000" w:rsidDel="00000000" w:rsidP="00000000" w:rsidRDefault="00000000" w14:paraId="000000C1">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va0vjvcpk0t8">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13.2 Transaction Screening</w:t>
              <w:tab/>
              <w:t xml:space="preserve">34</w:t>
            </w:r>
          </w:hyperlink>
          <w:r w:rsidRPr="00000000" w:rsidDel="00000000" w:rsidR="00000000">
            <w:rPr>
              <w:rtl w:val="0"/>
            </w:rPr>
          </w:r>
        </w:p>
        <w:p w:rsidRPr="00000000" w:rsidR="00000000" w:rsidDel="00000000" w:rsidP="00000000" w:rsidRDefault="00000000" w14:paraId="000000C2">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4tu5tdi57d4d">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13.3 Transaction Monitoring</w:t>
              <w:tab/>
              <w:t xml:space="preserve">35</w:t>
            </w:r>
          </w:hyperlink>
          <w:r w:rsidRPr="00000000" w:rsidDel="00000000" w:rsidR="00000000">
            <w:rPr>
              <w:rtl w:val="0"/>
            </w:rPr>
          </w:r>
        </w:p>
        <w:p w:rsidRPr="00000000" w:rsidR="00000000" w:rsidDel="00000000" w:rsidP="00000000" w:rsidRDefault="00000000" w14:paraId="000000C3">
          <w:pPr>
            <w:widowControl w:val="0"/>
            <w:tabs>
              <w:tab w:val="right" w:leader="none" w:pos="12000"/>
            </w:tabs>
            <w:spacing w:before="60" w:line="240" w:lineRule="auto"/>
            <w:ind w:left="0"/>
            <w:jc w:val="left"/>
            <w:rPr>
              <w:rFonts w:ascii="Arial" w:hAnsi="Arial" w:eastAsia="Arial" w:cs="Arial"/>
              <w:b w:val="1"/>
              <w:bCs w:val="1"/>
              <w:i w:val="0"/>
              <w:iCs w:val="0"/>
              <w:smallCaps w:val="0"/>
              <w:strike w:val="0"/>
              <w:color w:val="000000"/>
              <w:sz w:val="22"/>
              <w:szCs w:val="22"/>
              <w:u w:val="none"/>
              <w:shd w:val="clear" w:fill="auto"/>
              <w:vertAlign w:val="baseline"/>
            </w:rPr>
          </w:pPr>
          <w:hyperlink w:anchor="_heading=h.w35bzqk80yj9">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14 UNUSUAL ACTIVITY REPORTING</w:t>
              <w:tab/>
              <w:t xml:space="preserve">35</w:t>
            </w:r>
          </w:hyperlink>
          <w:r w:rsidRPr="00000000" w:rsidDel="00000000" w:rsidR="00000000">
            <w:rPr>
              <w:rtl w:val="0"/>
            </w:rPr>
          </w:r>
        </w:p>
        <w:p w:rsidRPr="00000000" w:rsidR="00000000" w:rsidDel="00000000" w:rsidP="00000000" w:rsidRDefault="00000000" w14:paraId="000000C4">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xy3a7phnia4q">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14.1 Overview</w:t>
              <w:tab/>
              <w:t xml:space="preserve">35</w:t>
            </w:r>
          </w:hyperlink>
          <w:r w:rsidRPr="00000000" w:rsidDel="00000000" w:rsidR="00000000">
            <w:rPr>
              <w:rtl w:val="0"/>
            </w:rPr>
          </w:r>
        </w:p>
        <w:p w:rsidRPr="00000000" w:rsidR="00000000" w:rsidDel="00000000" w:rsidP="00000000" w:rsidRDefault="00000000" w14:paraId="000000C5">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v8d0v0uyovva">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14.2 Suspicious Activity Reporting</w:t>
              <w:tab/>
              <w:t xml:space="preserve">36</w:t>
            </w:r>
          </w:hyperlink>
          <w:r w:rsidRPr="00000000" w:rsidDel="00000000" w:rsidR="00000000">
            <w:rPr>
              <w:rtl w:val="0"/>
            </w:rPr>
          </w:r>
        </w:p>
        <w:p w:rsidRPr="00000000" w:rsidR="00000000" w:rsidDel="00000000" w:rsidP="00000000" w:rsidRDefault="00000000" w14:paraId="000000C6">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7i7vx1z7ys0">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14.3 Referral of Unusual Activity</w:t>
              <w:tab/>
              <w:t xml:space="preserve">37</w:t>
            </w:r>
          </w:hyperlink>
          <w:r w:rsidRPr="00000000" w:rsidDel="00000000" w:rsidR="00000000">
            <w:rPr>
              <w:rtl w:val="0"/>
            </w:rPr>
          </w:r>
        </w:p>
        <w:p w:rsidRPr="00000000" w:rsidR="00000000" w:rsidDel="00000000" w:rsidP="00000000" w:rsidRDefault="00000000" w14:paraId="000000C7">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2s3p4lpdyv9t">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14.4 Decision to file SAR/STR</w:t>
              <w:tab/>
              <w:t xml:space="preserve">37</w:t>
            </w:r>
          </w:hyperlink>
          <w:r w:rsidRPr="00000000" w:rsidDel="00000000" w:rsidR="00000000">
            <w:rPr>
              <w:rtl w:val="0"/>
            </w:rPr>
          </w:r>
        </w:p>
        <w:p w:rsidRPr="00000000" w:rsidR="00000000" w:rsidDel="00000000" w:rsidP="00000000" w:rsidRDefault="00000000" w14:paraId="000000C8">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vlk80nvy7zfo">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14.5 Confidentiality and the Tipping Off Policy</w:t>
              <w:tab/>
              <w:t xml:space="preserve">37</w:t>
            </w:r>
          </w:hyperlink>
          <w:r w:rsidRPr="00000000" w:rsidDel="00000000" w:rsidR="00000000">
            <w:rPr>
              <w:rtl w:val="0"/>
            </w:rPr>
          </w:r>
        </w:p>
        <w:p w:rsidRPr="00000000" w:rsidR="00000000" w:rsidDel="00000000" w:rsidP="00000000" w:rsidRDefault="00000000" w14:paraId="000000C9">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lah3lp4fxtm6">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14.6 SAR/STR Record Retention</w:t>
              <w:tab/>
              <w:t xml:space="preserve">38</w:t>
            </w:r>
          </w:hyperlink>
          <w:r w:rsidRPr="00000000" w:rsidDel="00000000" w:rsidR="00000000">
            <w:rPr>
              <w:rtl w:val="0"/>
            </w:rPr>
          </w:r>
        </w:p>
        <w:p w:rsidRPr="00000000" w:rsidR="00000000" w:rsidDel="00000000" w:rsidP="00000000" w:rsidRDefault="00000000" w14:paraId="000000CA">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4ymu8zdi6ct2">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14.7 SAR/STR Procedures</w:t>
              <w:tab/>
              <w:t xml:space="preserve">38</w:t>
            </w:r>
          </w:hyperlink>
          <w:r w:rsidRPr="00000000" w:rsidDel="00000000" w:rsidR="00000000">
            <w:rPr>
              <w:rtl w:val="0"/>
            </w:rPr>
          </w:r>
        </w:p>
        <w:p w:rsidRPr="00000000" w:rsidR="00000000" w:rsidDel="00000000" w:rsidP="00000000" w:rsidRDefault="00000000" w14:paraId="000000CB">
          <w:pPr>
            <w:widowControl w:val="0"/>
            <w:tabs>
              <w:tab w:val="right" w:leader="none" w:pos="12000"/>
            </w:tabs>
            <w:spacing w:before="60" w:line="240" w:lineRule="auto"/>
            <w:ind w:left="0"/>
            <w:jc w:val="left"/>
            <w:rPr>
              <w:rFonts w:ascii="Arial" w:hAnsi="Arial" w:eastAsia="Arial" w:cs="Arial"/>
              <w:b w:val="1"/>
              <w:bCs w:val="1"/>
              <w:i w:val="0"/>
              <w:iCs w:val="0"/>
              <w:smallCaps w:val="0"/>
              <w:strike w:val="0"/>
              <w:color w:val="000000"/>
              <w:sz w:val="22"/>
              <w:szCs w:val="22"/>
              <w:u w:val="none"/>
              <w:shd w:val="clear" w:fill="auto"/>
              <w:vertAlign w:val="baseline"/>
            </w:rPr>
          </w:pPr>
          <w:hyperlink w:anchor="_heading=h.lqpaqj688240">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15 OUTSOURCING ARRANGEMENT</w:t>
              <w:tab/>
              <w:t xml:space="preserve">38</w:t>
            </w:r>
          </w:hyperlink>
          <w:r w:rsidRPr="00000000" w:rsidDel="00000000" w:rsidR="00000000">
            <w:rPr>
              <w:rtl w:val="0"/>
            </w:rPr>
          </w:r>
        </w:p>
        <w:p w:rsidRPr="00000000" w:rsidR="00000000" w:rsidDel="00000000" w:rsidP="00000000" w:rsidRDefault="00000000" w14:paraId="000000CC">
          <w:pPr>
            <w:widowControl w:val="0"/>
            <w:tabs>
              <w:tab w:val="right" w:leader="none" w:pos="12000"/>
            </w:tabs>
            <w:spacing w:before="60" w:line="240" w:lineRule="auto"/>
            <w:ind w:left="0"/>
            <w:jc w:val="left"/>
            <w:rPr>
              <w:rFonts w:ascii="Arial" w:hAnsi="Arial" w:eastAsia="Arial" w:cs="Arial"/>
              <w:b w:val="1"/>
              <w:bCs w:val="1"/>
              <w:i w:val="0"/>
              <w:iCs w:val="0"/>
              <w:smallCaps w:val="0"/>
              <w:strike w:val="0"/>
              <w:color w:val="000000"/>
              <w:sz w:val="22"/>
              <w:szCs w:val="22"/>
              <w:u w:val="none"/>
              <w:shd w:val="clear" w:fill="auto"/>
              <w:vertAlign w:val="baseline"/>
            </w:rPr>
          </w:pPr>
          <w:hyperlink w:anchor="_heading=h.meiohnsa6fwv">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16 COOPERATION WITH LAW ENFORCEMENT</w:t>
              <w:tab/>
              <w:t xml:space="preserve">39</w:t>
            </w:r>
          </w:hyperlink>
          <w:r w:rsidRPr="00000000" w:rsidDel="00000000" w:rsidR="00000000">
            <w:rPr>
              <w:rtl w:val="0"/>
            </w:rPr>
          </w:r>
        </w:p>
        <w:p w:rsidRPr="00000000" w:rsidR="00000000" w:rsidDel="00000000" w:rsidP="00000000" w:rsidRDefault="00000000" w14:paraId="000000CD">
          <w:pPr>
            <w:widowControl w:val="0"/>
            <w:tabs>
              <w:tab w:val="right" w:leader="none" w:pos="12000"/>
            </w:tabs>
            <w:spacing w:before="60" w:line="240" w:lineRule="auto"/>
            <w:ind w:left="0"/>
            <w:jc w:val="left"/>
            <w:rPr>
              <w:rFonts w:ascii="Arial" w:hAnsi="Arial" w:eastAsia="Arial" w:cs="Arial"/>
              <w:b w:val="1"/>
              <w:bCs w:val="1"/>
              <w:i w:val="0"/>
              <w:iCs w:val="0"/>
              <w:smallCaps w:val="0"/>
              <w:strike w:val="0"/>
              <w:color w:val="000000"/>
              <w:sz w:val="22"/>
              <w:szCs w:val="22"/>
              <w:u w:val="none"/>
              <w:shd w:val="clear" w:fill="auto"/>
              <w:vertAlign w:val="baseline"/>
            </w:rPr>
          </w:pPr>
          <w:hyperlink w:anchor="_heading=h.spfyp6hsxz9s">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17 CUSTOMER EXIT AND ACCOUNT CLOSURE</w:t>
              <w:tab/>
              <w:t xml:space="preserve">39</w:t>
            </w:r>
          </w:hyperlink>
          <w:r w:rsidRPr="00000000" w:rsidDel="00000000" w:rsidR="00000000">
            <w:rPr>
              <w:rtl w:val="0"/>
            </w:rPr>
          </w:r>
        </w:p>
        <w:p w:rsidRPr="00000000" w:rsidR="00000000" w:rsidDel="00000000" w:rsidP="00000000" w:rsidRDefault="00000000" w14:paraId="000000CE">
          <w:pPr>
            <w:widowControl w:val="0"/>
            <w:tabs>
              <w:tab w:val="right" w:leader="none" w:pos="12000"/>
            </w:tabs>
            <w:spacing w:before="60" w:line="240" w:lineRule="auto"/>
            <w:ind w:left="0"/>
            <w:jc w:val="left"/>
            <w:rPr>
              <w:rFonts w:ascii="Arial" w:hAnsi="Arial" w:eastAsia="Arial" w:cs="Arial"/>
              <w:b w:val="1"/>
              <w:bCs w:val="1"/>
              <w:i w:val="0"/>
              <w:iCs w:val="0"/>
              <w:smallCaps w:val="0"/>
              <w:strike w:val="0"/>
              <w:color w:val="000000"/>
              <w:sz w:val="22"/>
              <w:szCs w:val="22"/>
              <w:u w:val="none"/>
              <w:shd w:val="clear" w:fill="auto"/>
              <w:vertAlign w:val="baseline"/>
            </w:rPr>
          </w:pPr>
          <w:hyperlink w:anchor="_heading=h.8lcwlldxud8p">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18 TRAVEL RULE</w:t>
              <w:tab/>
              <w:t xml:space="preserve">40</w:t>
            </w:r>
          </w:hyperlink>
          <w:r w:rsidRPr="00000000" w:rsidDel="00000000" w:rsidR="00000000">
            <w:rPr>
              <w:rtl w:val="0"/>
            </w:rPr>
          </w:r>
        </w:p>
        <w:p w:rsidRPr="00000000" w:rsidR="00000000" w:rsidDel="00000000" w:rsidP="00000000" w:rsidRDefault="00000000" w14:paraId="000000CF">
          <w:pPr>
            <w:widowControl w:val="0"/>
            <w:tabs>
              <w:tab w:val="right" w:leader="none" w:pos="12000"/>
            </w:tabs>
            <w:spacing w:before="60" w:line="240" w:lineRule="auto"/>
            <w:ind w:left="0"/>
            <w:jc w:val="left"/>
            <w:rPr>
              <w:rFonts w:ascii="Arial" w:hAnsi="Arial" w:eastAsia="Arial" w:cs="Arial"/>
              <w:b w:val="1"/>
              <w:bCs w:val="1"/>
              <w:i w:val="0"/>
              <w:iCs w:val="0"/>
              <w:smallCaps w:val="0"/>
              <w:strike w:val="0"/>
              <w:color w:val="000000"/>
              <w:sz w:val="22"/>
              <w:szCs w:val="22"/>
              <w:u w:val="none"/>
              <w:shd w:val="clear" w:fill="auto"/>
              <w:vertAlign w:val="baseline"/>
            </w:rPr>
          </w:pPr>
          <w:hyperlink w:anchor="_heading=h.hdfhn05edszq">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19 TARGETED FINANCIAL SANCTIONS</w:t>
              <w:tab/>
              <w:t xml:space="preserve">41</w:t>
            </w:r>
          </w:hyperlink>
          <w:r w:rsidRPr="00000000" w:rsidDel="00000000" w:rsidR="00000000">
            <w:rPr>
              <w:rtl w:val="0"/>
            </w:rPr>
          </w:r>
        </w:p>
        <w:p w:rsidRPr="00000000" w:rsidR="00000000" w:rsidDel="00000000" w:rsidP="00000000" w:rsidRDefault="00000000" w14:paraId="000000D0">
          <w:pPr>
            <w:widowControl w:val="0"/>
            <w:tabs>
              <w:tab w:val="right" w:leader="none" w:pos="12000"/>
            </w:tabs>
            <w:spacing w:before="60" w:line="240" w:lineRule="auto"/>
            <w:ind w:left="0"/>
            <w:jc w:val="left"/>
            <w:rPr>
              <w:rFonts w:ascii="Arial" w:hAnsi="Arial" w:eastAsia="Arial" w:cs="Arial"/>
              <w:b w:val="1"/>
              <w:bCs w:val="1"/>
              <w:i w:val="0"/>
              <w:iCs w:val="0"/>
              <w:smallCaps w:val="0"/>
              <w:strike w:val="0"/>
              <w:color w:val="000000"/>
              <w:sz w:val="22"/>
              <w:szCs w:val="22"/>
              <w:u w:val="none"/>
              <w:shd w:val="clear" w:fill="auto"/>
              <w:vertAlign w:val="baseline"/>
            </w:rPr>
          </w:pPr>
          <w:hyperlink w:anchor="_heading=h.3mkmmllgfzej">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20 TRAINING</w:t>
              <w:tab/>
              <w:t xml:space="preserve">45</w:t>
            </w:r>
          </w:hyperlink>
          <w:r w:rsidRPr="00000000" w:rsidDel="00000000" w:rsidR="00000000">
            <w:rPr>
              <w:rtl w:val="0"/>
            </w:rPr>
          </w:r>
        </w:p>
        <w:p w:rsidRPr="00000000" w:rsidR="00000000" w:rsidDel="00000000" w:rsidP="00000000" w:rsidRDefault="00000000" w14:paraId="000000D1">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52bzydzbjo3z">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20.1 Overview</w:t>
              <w:tab/>
              <w:t xml:space="preserve">45</w:t>
            </w:r>
          </w:hyperlink>
          <w:r w:rsidRPr="00000000" w:rsidDel="00000000" w:rsidR="00000000">
            <w:rPr>
              <w:rtl w:val="0"/>
            </w:rPr>
          </w:r>
        </w:p>
        <w:p w:rsidRPr="00000000" w:rsidR="00000000" w:rsidDel="00000000" w:rsidP="00000000" w:rsidRDefault="00000000" w14:paraId="000000D2">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ufic6zujmhmc">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20.2 Group Personnel Training</w:t>
              <w:tab/>
              <w:t xml:space="preserve">45</w:t>
            </w:r>
          </w:hyperlink>
          <w:r w:rsidRPr="00000000" w:rsidDel="00000000" w:rsidR="00000000">
            <w:rPr>
              <w:rtl w:val="0"/>
            </w:rPr>
          </w:r>
        </w:p>
        <w:p w:rsidRPr="00000000" w:rsidR="00000000" w:rsidDel="00000000" w:rsidP="00000000" w:rsidRDefault="00000000" w14:paraId="000000D3">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foniqqt6cgsn">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20.3 Targeted Training</w:t>
              <w:tab/>
              <w:t xml:space="preserve">46</w:t>
            </w:r>
          </w:hyperlink>
          <w:r w:rsidRPr="00000000" w:rsidDel="00000000" w:rsidR="00000000">
            <w:rPr>
              <w:rtl w:val="0"/>
            </w:rPr>
          </w:r>
        </w:p>
        <w:p w:rsidRPr="00000000" w:rsidR="00000000" w:rsidDel="00000000" w:rsidP="00000000" w:rsidRDefault="00000000" w14:paraId="000000D4">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k9qs31pn6drh">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20.4 Compliance Training</w:t>
              <w:tab/>
              <w:t xml:space="preserve">46</w:t>
            </w:r>
          </w:hyperlink>
          <w:r w:rsidRPr="00000000" w:rsidDel="00000000" w:rsidR="00000000">
            <w:rPr>
              <w:rtl w:val="0"/>
            </w:rPr>
          </w:r>
        </w:p>
        <w:p w:rsidRPr="00000000" w:rsidR="00000000" w:rsidDel="00000000" w:rsidP="00000000" w:rsidRDefault="00000000" w14:paraId="000000D5">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qg8lsttajrgg">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20.5 Training Needs Analysis</w:t>
              <w:tab/>
              <w:t xml:space="preserve">46</w:t>
            </w:r>
          </w:hyperlink>
          <w:r w:rsidRPr="00000000" w:rsidDel="00000000" w:rsidR="00000000">
            <w:rPr>
              <w:rtl w:val="0"/>
            </w:rPr>
          </w:r>
        </w:p>
        <w:p w:rsidRPr="00000000" w:rsidR="00000000" w:rsidDel="00000000" w:rsidP="00000000" w:rsidRDefault="00000000" w14:paraId="000000D6">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saemw42hytil">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20.6 Periodic Assessments</w:t>
              <w:tab/>
              <w:t xml:space="preserve">47</w:t>
            </w:r>
          </w:hyperlink>
          <w:r w:rsidRPr="00000000" w:rsidDel="00000000" w:rsidR="00000000">
            <w:rPr>
              <w:rtl w:val="0"/>
            </w:rPr>
          </w:r>
        </w:p>
        <w:p w:rsidRPr="00000000" w:rsidR="00000000" w:rsidDel="00000000" w:rsidP="00000000" w:rsidRDefault="00000000" w14:paraId="000000D7">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fi98vuyvahhi">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20.7 Retention Records</w:t>
              <w:tab/>
              <w:t xml:space="preserve">47</w:t>
            </w:r>
          </w:hyperlink>
          <w:r w:rsidRPr="00000000" w:rsidDel="00000000" w:rsidR="00000000">
            <w:rPr>
              <w:rtl w:val="0"/>
            </w:rPr>
          </w:r>
        </w:p>
        <w:p w:rsidRPr="00000000" w:rsidR="00000000" w:rsidDel="00000000" w:rsidP="00000000" w:rsidRDefault="00000000" w14:paraId="000000D8">
          <w:pPr>
            <w:widowControl w:val="0"/>
            <w:tabs>
              <w:tab w:val="right" w:leader="none" w:pos="12000"/>
            </w:tabs>
            <w:spacing w:before="60" w:line="240" w:lineRule="auto"/>
            <w:ind w:left="0"/>
            <w:jc w:val="left"/>
            <w:rPr>
              <w:rFonts w:ascii="Arial" w:hAnsi="Arial" w:eastAsia="Arial" w:cs="Arial"/>
              <w:b w:val="1"/>
              <w:bCs w:val="1"/>
              <w:i w:val="0"/>
              <w:iCs w:val="0"/>
              <w:smallCaps w:val="0"/>
              <w:strike w:val="0"/>
              <w:color w:val="000000"/>
              <w:sz w:val="22"/>
              <w:szCs w:val="22"/>
              <w:u w:val="none"/>
              <w:shd w:val="clear" w:fill="auto"/>
              <w:vertAlign w:val="baseline"/>
            </w:rPr>
          </w:pPr>
          <w:hyperlink w:anchor="_heading=h.61sscjdi7lrs">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21 REGULATORY ENGAGEMENT AND COMMUNICATION</w:t>
              <w:tab/>
              <w:t xml:space="preserve">47</w:t>
            </w:r>
          </w:hyperlink>
          <w:r w:rsidRPr="00000000" w:rsidDel="00000000" w:rsidR="00000000">
            <w:rPr>
              <w:rtl w:val="0"/>
            </w:rPr>
          </w:r>
        </w:p>
        <w:p w:rsidRPr="00000000" w:rsidR="00000000" w:rsidDel="00000000" w:rsidP="00000000" w:rsidRDefault="00000000" w14:paraId="000000D9">
          <w:pPr>
            <w:widowControl w:val="0"/>
            <w:tabs>
              <w:tab w:val="right" w:leader="none" w:pos="12000"/>
            </w:tabs>
            <w:spacing w:before="60" w:line="240" w:lineRule="auto"/>
            <w:ind w:left="0"/>
            <w:jc w:val="left"/>
            <w:rPr>
              <w:rFonts w:ascii="Arial" w:hAnsi="Arial" w:eastAsia="Arial" w:cs="Arial"/>
              <w:b w:val="1"/>
              <w:bCs w:val="1"/>
              <w:i w:val="0"/>
              <w:iCs w:val="0"/>
              <w:smallCaps w:val="0"/>
              <w:strike w:val="0"/>
              <w:color w:val="000000"/>
              <w:sz w:val="22"/>
              <w:szCs w:val="22"/>
              <w:u w:val="none"/>
              <w:shd w:val="clear" w:fill="auto"/>
              <w:vertAlign w:val="baseline"/>
            </w:rPr>
          </w:pPr>
          <w:hyperlink w:anchor="_heading=h.fbmht65yvxnv">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22 CLIENT CONFIDENTIALITY AND INFORMATION SHARING</w:t>
              <w:tab/>
              <w:t xml:space="preserve">47</w:t>
            </w:r>
          </w:hyperlink>
          <w:r w:rsidRPr="00000000" w:rsidDel="00000000" w:rsidR="00000000">
            <w:rPr>
              <w:rtl w:val="0"/>
            </w:rPr>
          </w:r>
        </w:p>
        <w:p w:rsidRPr="00000000" w:rsidR="00000000" w:rsidDel="00000000" w:rsidP="00000000" w:rsidRDefault="00000000" w14:paraId="000000DA">
          <w:pPr>
            <w:widowControl w:val="0"/>
            <w:tabs>
              <w:tab w:val="right" w:leader="none" w:pos="12000"/>
            </w:tabs>
            <w:spacing w:before="60" w:line="240" w:lineRule="auto"/>
            <w:ind w:left="0"/>
            <w:jc w:val="left"/>
            <w:rPr>
              <w:rFonts w:ascii="Arial" w:hAnsi="Arial" w:eastAsia="Arial" w:cs="Arial"/>
              <w:b w:val="1"/>
              <w:bCs w:val="1"/>
              <w:i w:val="0"/>
              <w:iCs w:val="0"/>
              <w:smallCaps w:val="0"/>
              <w:strike w:val="0"/>
              <w:color w:val="000000"/>
              <w:sz w:val="22"/>
              <w:szCs w:val="22"/>
              <w:u w:val="none"/>
              <w:shd w:val="clear" w:fill="auto"/>
              <w:vertAlign w:val="baseline"/>
            </w:rPr>
          </w:pPr>
          <w:hyperlink w:anchor="_heading=h.wajfvpntyppm">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23 INTERNAL POLICY AND PROCEDURES</w:t>
              <w:tab/>
              <w:t xml:space="preserve">50</w:t>
            </w:r>
          </w:hyperlink>
          <w:r w:rsidRPr="00000000" w:rsidDel="00000000" w:rsidR="00000000">
            <w:rPr>
              <w:rtl w:val="0"/>
            </w:rPr>
          </w:r>
        </w:p>
        <w:p w:rsidRPr="00000000" w:rsidR="00000000" w:rsidDel="00000000" w:rsidP="00000000" w:rsidRDefault="00000000" w14:paraId="000000DB">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idcqulm9fh7p">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23.1 Documented Policy and Procedures</w:t>
              <w:tab/>
              <w:t xml:space="preserve">50</w:t>
            </w:r>
          </w:hyperlink>
          <w:r w:rsidRPr="00000000" w:rsidDel="00000000" w:rsidR="00000000">
            <w:rPr>
              <w:rtl w:val="0"/>
            </w:rPr>
          </w:r>
        </w:p>
        <w:p w:rsidRPr="00000000" w:rsidR="00000000" w:rsidDel="00000000" w:rsidP="00000000" w:rsidRDefault="00000000" w14:paraId="000000DC">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18wx9qbf0t2c">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23.2 Document Review</w:t>
              <w:tab/>
              <w:t xml:space="preserve">51</w:t>
            </w:r>
          </w:hyperlink>
          <w:r w:rsidRPr="00000000" w:rsidDel="00000000" w:rsidR="00000000">
            <w:rPr>
              <w:rtl w:val="0"/>
            </w:rPr>
          </w:r>
        </w:p>
        <w:p w:rsidRPr="00000000" w:rsidR="00000000" w:rsidDel="00000000" w:rsidP="00000000" w:rsidRDefault="00000000" w14:paraId="000000DD">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ay1ynigl5wz4">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23.3 Document Deviation</w:t>
              <w:tab/>
              <w:t xml:space="preserve">51</w:t>
            </w:r>
          </w:hyperlink>
          <w:r w:rsidRPr="00000000" w:rsidDel="00000000" w:rsidR="00000000">
            <w:rPr>
              <w:rtl w:val="0"/>
            </w:rPr>
          </w:r>
        </w:p>
        <w:p w:rsidRPr="00000000" w:rsidR="00000000" w:rsidDel="00000000" w:rsidP="00000000" w:rsidRDefault="00000000" w14:paraId="000000DE">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5e2tv4fm28g6">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23.4 Policy Dispensation and Deferrals</w:t>
              <w:tab/>
              <w:t xml:space="preserve">52</w:t>
            </w:r>
          </w:hyperlink>
          <w:r w:rsidRPr="00000000" w:rsidDel="00000000" w:rsidR="00000000">
            <w:rPr>
              <w:rtl w:val="0"/>
            </w:rPr>
          </w:r>
        </w:p>
        <w:p w:rsidRPr="00000000" w:rsidR="00000000" w:rsidDel="00000000" w:rsidP="00000000" w:rsidRDefault="00000000" w14:paraId="000000DF">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fi40r6q2sl7q">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23.5 Language Requirement and Translation</w:t>
              <w:tab/>
              <w:t xml:space="preserve">52</w:t>
            </w:r>
          </w:hyperlink>
          <w:r w:rsidRPr="00000000" w:rsidDel="00000000" w:rsidR="00000000">
            <w:rPr>
              <w:rtl w:val="0"/>
            </w:rPr>
          </w:r>
        </w:p>
        <w:p w:rsidRPr="00000000" w:rsidR="00000000" w:rsidDel="00000000" w:rsidP="00000000" w:rsidRDefault="00000000" w14:paraId="000000E0">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65ze6td0s2us">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23.6 Retention of Policy and Procedures</w:t>
              <w:tab/>
              <w:t xml:space="preserve">53</w:t>
            </w:r>
          </w:hyperlink>
          <w:r w:rsidRPr="00000000" w:rsidDel="00000000" w:rsidR="00000000">
            <w:rPr>
              <w:rtl w:val="0"/>
            </w:rPr>
          </w:r>
        </w:p>
        <w:p w:rsidRPr="00000000" w:rsidR="00000000" w:rsidDel="00000000" w:rsidP="00000000" w:rsidRDefault="00000000" w14:paraId="000000E1">
          <w:pPr>
            <w:widowControl w:val="0"/>
            <w:tabs>
              <w:tab w:val="right" w:leader="none" w:pos="12000"/>
            </w:tabs>
            <w:spacing w:before="60" w:line="240" w:lineRule="auto"/>
            <w:ind w:left="0"/>
            <w:jc w:val="left"/>
            <w:rPr>
              <w:rFonts w:ascii="Arial" w:hAnsi="Arial" w:eastAsia="Arial" w:cs="Arial"/>
              <w:b w:val="1"/>
              <w:bCs w:val="1"/>
              <w:i w:val="0"/>
              <w:iCs w:val="0"/>
              <w:smallCaps w:val="0"/>
              <w:strike w:val="0"/>
              <w:color w:val="000000"/>
              <w:sz w:val="22"/>
              <w:szCs w:val="22"/>
              <w:u w:val="none"/>
              <w:shd w:val="clear" w:fill="auto"/>
              <w:vertAlign w:val="baseline"/>
            </w:rPr>
          </w:pPr>
          <w:hyperlink w:anchor="_heading=h.uope0lwfp1j">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24 RECORD RETENTION</w:t>
              <w:tab/>
              <w:t xml:space="preserve">53</w:t>
            </w:r>
          </w:hyperlink>
          <w:r w:rsidRPr="00000000" w:rsidDel="00000000" w:rsidR="00000000">
            <w:rPr>
              <w:rtl w:val="0"/>
            </w:rPr>
          </w:r>
        </w:p>
        <w:p w:rsidRPr="00000000" w:rsidR="00000000" w:rsidDel="00000000" w:rsidP="00000000" w:rsidRDefault="00000000" w14:paraId="000000E2">
          <w:pPr>
            <w:widowControl w:val="0"/>
            <w:tabs>
              <w:tab w:val="right" w:leader="none" w:pos="12000"/>
            </w:tabs>
            <w:spacing w:before="60" w:line="240" w:lineRule="auto"/>
            <w:ind w:left="0"/>
            <w:jc w:val="left"/>
            <w:rPr>
              <w:rFonts w:ascii="Arial" w:hAnsi="Arial" w:eastAsia="Arial" w:cs="Arial"/>
              <w:b w:val="1"/>
              <w:bCs w:val="1"/>
              <w:i w:val="0"/>
              <w:iCs w:val="0"/>
              <w:smallCaps w:val="0"/>
              <w:strike w:val="0"/>
              <w:color w:val="000000"/>
              <w:sz w:val="22"/>
              <w:szCs w:val="22"/>
              <w:u w:val="none"/>
              <w:shd w:val="clear" w:fill="auto"/>
              <w:vertAlign w:val="baseline"/>
            </w:rPr>
          </w:pPr>
          <w:hyperlink w:anchor="_heading=h.cfmmfpacrobk">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25 REPORTING BREACHES</w:t>
              <w:tab/>
              <w:t xml:space="preserve">54</w:t>
            </w:r>
          </w:hyperlink>
          <w:r w:rsidRPr="00000000" w:rsidDel="00000000" w:rsidR="00000000">
            <w:rPr>
              <w:rtl w:val="0"/>
            </w:rPr>
          </w:r>
        </w:p>
        <w:p w:rsidRPr="00000000" w:rsidR="00000000" w:rsidDel="00000000" w:rsidP="00000000" w:rsidRDefault="00000000" w14:paraId="000000E3">
          <w:pPr>
            <w:widowControl w:val="0"/>
            <w:tabs>
              <w:tab w:val="right" w:leader="none" w:pos="12000"/>
            </w:tabs>
            <w:spacing w:before="60" w:line="240" w:lineRule="auto"/>
            <w:ind w:left="0"/>
            <w:jc w:val="left"/>
            <w:rPr>
              <w:rFonts w:ascii="Arial" w:hAnsi="Arial" w:eastAsia="Arial" w:cs="Arial"/>
              <w:b w:val="1"/>
              <w:bCs w:val="1"/>
              <w:i w:val="0"/>
              <w:iCs w:val="0"/>
              <w:smallCaps w:val="0"/>
              <w:strike w:val="0"/>
              <w:color w:val="000000"/>
              <w:sz w:val="22"/>
              <w:szCs w:val="22"/>
              <w:u w:val="none"/>
              <w:shd w:val="clear" w:fill="auto"/>
              <w:vertAlign w:val="baseline"/>
            </w:rPr>
          </w:pPr>
          <w:hyperlink w:anchor="_heading=h.pf0np277h8nq">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26 GLOSSARY</w:t>
              <w:tab/>
              <w:t xml:space="preserve">54</w:t>
            </w:r>
          </w:hyperlink>
          <w:r w:rsidRPr="00000000" w:rsidDel="00000000" w:rsidR="00000000">
            <w:rPr>
              <w:rtl w:val="0"/>
            </w:rPr>
          </w:r>
        </w:p>
        <w:p w:rsidRPr="00000000" w:rsidR="00000000" w:rsidDel="00000000" w:rsidP="00000000" w:rsidRDefault="00000000" w14:paraId="000000E4">
          <w:pPr>
            <w:widowControl w:val="0"/>
            <w:tabs>
              <w:tab w:val="right" w:leader="none" w:pos="12000"/>
            </w:tabs>
            <w:spacing w:before="60" w:line="240" w:lineRule="auto"/>
            <w:ind w:left="0"/>
            <w:jc w:val="left"/>
            <w:rPr>
              <w:rFonts w:ascii="Arial" w:hAnsi="Arial" w:eastAsia="Arial" w:cs="Arial"/>
              <w:b w:val="1"/>
              <w:bCs w:val="1"/>
              <w:i w:val="0"/>
              <w:iCs w:val="0"/>
              <w:smallCaps w:val="0"/>
              <w:strike w:val="0"/>
              <w:color w:val="000000"/>
              <w:sz w:val="22"/>
              <w:szCs w:val="22"/>
              <w:u w:val="none"/>
              <w:shd w:val="clear" w:fill="auto"/>
              <w:vertAlign w:val="baseline"/>
            </w:rPr>
          </w:pPr>
          <w:hyperlink w:anchor="_heading=h.fdr2ql6mjo7a">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27 APPENDIX</w:t>
              <w:tab/>
              <w:t xml:space="preserve">58</w:t>
            </w:r>
          </w:hyperlink>
          <w:r w:rsidRPr="00000000" w:rsidDel="00000000" w:rsidR="00000000">
            <w:rPr>
              <w:rtl w:val="0"/>
            </w:rPr>
          </w:r>
        </w:p>
        <w:p w:rsidRPr="00000000" w:rsidR="00000000" w:rsidDel="00000000" w:rsidP="00000000" w:rsidRDefault="00000000" w14:paraId="000000E5">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tkuobs7zvrk">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27.1 Appendix 1: Related Documents</w:t>
              <w:tab/>
              <w:t xml:space="preserve">58</w:t>
            </w:r>
          </w:hyperlink>
          <w:r w:rsidRPr="00000000" w:rsidDel="00000000" w:rsidR="00000000">
            <w:rPr>
              <w:rtl w:val="0"/>
            </w:rPr>
          </w:r>
        </w:p>
        <w:p w:rsidRPr="00000000" w:rsidR="00000000" w:rsidDel="00000000" w:rsidP="00000000" w:rsidRDefault="00000000" w14:paraId="000000E6">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beiu7migo2t2">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27.2 Appendix 2: PEP Red Flags</w:t>
              <w:tab/>
              <w:t xml:space="preserve">59</w:t>
            </w:r>
          </w:hyperlink>
          <w:r w:rsidRPr="00000000" w:rsidDel="00000000" w:rsidR="00000000">
            <w:rPr>
              <w:rtl w:val="0"/>
            </w:rPr>
          </w:r>
        </w:p>
        <w:p w:rsidRPr="00000000" w:rsidR="00000000" w:rsidDel="00000000" w:rsidP="00000000" w:rsidRDefault="00000000" w14:paraId="000000E7">
          <w:pPr>
            <w:widowControl w:val="0"/>
            <w:tabs>
              <w:tab w:val="right" w:leader="none" w:pos="12000"/>
            </w:tabs>
            <w:spacing w:before="60" w:line="240" w:lineRule="auto"/>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hyperlink w:anchor="_heading=h.ytej2evs59vn">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27.3 Appendix 3: Binance Group Entities</w:t>
              <w:tab/>
              <w:t xml:space="preserve">60</w:t>
            </w:r>
          </w:hyperlink>
          <w:r w:rsidRPr="00000000" w:rsidDel="00000000" w:rsidR="00000000">
            <w:rPr>
              <w:rtl w:val="0"/>
            </w:rPr>
          </w:r>
          <w:r w:rsidRPr="00000000" w:rsidDel="00000000" w:rsidR="00000000">
            <w:fldChar w:fldCharType="end"/>
          </w:r>
        </w:p>
      </w:sdtContent>
    </w:sdt>
    <w:p w:rsidRPr="00000000" w:rsidR="00000000" w:rsidDel="00000000" w:rsidP="00000000" w:rsidRDefault="00000000" w14:paraId="000000E8">
      <w:pPr>
        <w:ind w:firstLine="706"/>
        <w:rPr/>
        <w:sectPr>
          <w:headerReference w:type="default" r:id="rId11"/>
          <w:type w:val="nextPage"/>
          <w:pgSz w:w="11909" w:h="16834" w:orient="portrait"/>
          <w:pgMar w:top="1440" w:right="1440" w:bottom="1440" w:left="1440" w:header="288" w:footer="431.99999999999994"/>
        </w:sectPr>
      </w:pPr>
      <w:r w:rsidRPr="00000000" w:rsidDel="00000000" w:rsidR="00000000">
        <w:rPr>
          <w:rtl w:val="0"/>
        </w:rPr>
      </w:r>
    </w:p>
    <w:p w:rsidRPr="00000000" w:rsidR="00000000" w:rsidDel="00000000" w:rsidP="00000000" w:rsidRDefault="00000000" w14:paraId="000000E9">
      <w:pPr>
        <w:pStyle w:val="Heading1"/>
        <w:numPr>
          <w:ilvl w:val="0"/>
          <w:numId w:val="7"/>
        </w:numPr>
        <w:spacing w:before="0" w:after="200" w:lineRule="auto"/>
        <w:ind w:left="720" w:hanging="720"/>
        <w:rPr/>
      </w:pPr>
      <w:bookmarkStart w:name="_heading=h.92gcr6isdx4d" w:colFirst="0" w:colLast="0" w:id="1"/>
      <w:bookmarkEnd w:id="1"/>
      <w:r w:rsidRPr="00000000" w:rsidDel="00000000" w:rsidR="00000000">
        <w:rPr>
          <w:sz w:val="28"/>
          <w:szCs w:val="28"/>
          <w:rtl w:val="0"/>
        </w:rPr>
        <w:t xml:space="preserve">INTRODUCTION</w:t>
      </w:r>
      <w:r w:rsidRPr="00000000" w:rsidDel="00000000" w:rsidR="00000000">
        <w:rPr>
          <w:rtl w:val="0"/>
        </w:rPr>
      </w:r>
    </w:p>
    <w:p w:rsidRPr="00000000" w:rsidR="00000000" w:rsidDel="00000000" w:rsidP="00000000" w:rsidRDefault="00000000" w14:paraId="000000EA">
      <w:pPr>
        <w:pStyle w:val="Heading2"/>
        <w:numPr>
          <w:ilvl w:val="1"/>
          <w:numId w:val="7"/>
        </w:numPr>
        <w:spacing w:before="200" w:lineRule="auto"/>
        <w:ind w:left="720" w:hanging="720"/>
        <w:rPr/>
      </w:pPr>
      <w:bookmarkStart w:name="_heading=h.150vmvy74zq0" w:colFirst="0" w:colLast="0" w:id="2"/>
      <w:bookmarkEnd w:id="2"/>
      <w:r w:rsidRPr="00000000" w:rsidDel="00000000" w:rsidR="00000000">
        <w:rPr>
          <w:sz w:val="24"/>
          <w:szCs w:val="24"/>
          <w:rtl w:val="0"/>
        </w:rPr>
        <w:t xml:space="preserve">Overview</w:t>
      </w:r>
      <w:r w:rsidRPr="00000000" w:rsidDel="00000000" w:rsidR="00000000">
        <w:rPr>
          <w:rtl w:val="0"/>
        </w:rPr>
      </w:r>
    </w:p>
    <w:p w:rsidRPr="00000000" w:rsidR="00000000" w:rsidDel="00000000" w:rsidP="00000000" w:rsidRDefault="00000000" w14:paraId="000000EB">
      <w:pPr>
        <w:numPr>
          <w:ilvl w:val="2"/>
          <w:numId w:val="7"/>
        </w:numPr>
        <w:spacing w:after="100" w:line="276" w:lineRule="auto"/>
        <w:ind w:left="720" w:hanging="720"/>
      </w:pPr>
      <w:r w:rsidRPr="00000000" w:rsidDel="00000000" w:rsidR="00000000">
        <w:rPr>
          <w:rtl w:val="0"/>
        </w:rPr>
        <w:t xml:space="preserve">Binance </w:t>
      </w:r>
      <w:r w:rsidRPr="00000000" w:rsidDel="00000000" w:rsidR="00000000">
        <w:rPr>
          <w:rtl w:val="0"/>
        </w:rPr>
        <w:t xml:space="preserve">operates</w:t>
      </w:r>
      <w:r w:rsidRPr="00000000" w:rsidDel="00000000" w:rsidR="00000000">
        <w:rPr>
          <w:rtl w:val="0"/>
        </w:rPr>
        <w:t xml:space="preserve"> a global digital assets exchange offering digital currency-based products and services to consumers and institutions since 2017. As part of the ongoing business strategy, the Binance Group introduced Fiat Onramp Channels and Fiat Offramp Channels capabilities (i.e., Fiat Currency to Digital Assets, and Digital Assets to Fiat Currency).</w:t>
      </w:r>
      <w:r w:rsidRPr="00000000" w:rsidDel="00000000" w:rsidR="00000000">
        <w:rPr>
          <w:vertAlign w:val="superscript"/>
        </w:rPr>
        <w:footnoteReference w:customMarkFollows="0" w:id="0"/>
      </w:r>
      <w:r w:rsidRPr="00000000" w:rsidDel="00000000" w:rsidR="00000000">
        <w:rPr>
          <w:rtl w:val="0"/>
        </w:rPr>
        <w:t xml:space="preserve"> This could be in the form of integration with existing fiat gateways and partners that provides Binance’s Customers with the capability to purchase cryptocurrencies through their bank accounts, credit and debit cards. </w:t>
      </w:r>
    </w:p>
    <w:p w:rsidRPr="00000000" w:rsidR="00000000" w:rsidDel="00000000" w:rsidP="00000000" w:rsidRDefault="00000000" w14:paraId="000000EC">
      <w:pPr>
        <w:numPr>
          <w:ilvl w:val="2"/>
          <w:numId w:val="7"/>
        </w:numPr>
        <w:spacing w:after="100" w:line="276" w:lineRule="auto"/>
        <w:ind w:left="720" w:hanging="720"/>
      </w:pPr>
      <w:r w:rsidRPr="00000000" w:rsidDel="00000000" w:rsidR="00000000">
        <w:rPr>
          <w:rtl w:val="0"/>
        </w:rPr>
        <w:t xml:space="preserve">It is the policy of Binance to prohibit and actively prevent Money Laundering (“</w:t>
      </w:r>
      <w:r w:rsidRPr="00000000" w:rsidDel="00000000" w:rsidR="00000000">
        <w:rPr>
          <w:b w:val="1"/>
          <w:bCs w:val="1"/>
          <w:rtl w:val="0"/>
        </w:rPr>
        <w:t xml:space="preserve">ML</w:t>
      </w:r>
      <w:r w:rsidRPr="00000000" w:rsidDel="00000000" w:rsidR="00000000">
        <w:rPr>
          <w:rtl w:val="0"/>
        </w:rPr>
        <w:t xml:space="preserve">”) and any activity that facilitates Terrorism Financing (“</w:t>
      </w:r>
      <w:r w:rsidRPr="00000000" w:rsidDel="00000000" w:rsidR="00000000">
        <w:rPr>
          <w:b w:val="1"/>
          <w:bCs w:val="1"/>
          <w:rtl w:val="0"/>
        </w:rPr>
        <w:t xml:space="preserve">TF</w:t>
      </w:r>
      <w:r w:rsidRPr="00000000" w:rsidDel="00000000" w:rsidR="00000000">
        <w:rPr>
          <w:rtl w:val="0"/>
        </w:rPr>
        <w:t xml:space="preserve">”) or Proliferation Financing (“</w:t>
      </w:r>
      <w:r w:rsidRPr="00000000" w:rsidDel="00000000" w:rsidR="00000000">
        <w:rPr>
          <w:b w:val="1"/>
          <w:bCs w:val="1"/>
          <w:rtl w:val="0"/>
        </w:rPr>
        <w:t xml:space="preserve">PF</w:t>
      </w:r>
      <w:r w:rsidRPr="00000000" w:rsidDel="00000000" w:rsidR="00000000">
        <w:rPr>
          <w:rtl w:val="0"/>
        </w:rPr>
        <w:t xml:space="preserve">”) on its platform.  Binance has implemented sufficient measures to comply with the relevant and applicable legal and regulatory requirements in jurisdictions where it is registered, licensed or operates. </w:t>
      </w:r>
    </w:p>
    <w:p w:rsidRPr="00000000" w:rsidR="00000000" w:rsidDel="00000000" w:rsidP="00000000" w:rsidRDefault="00000000" w14:paraId="000000ED">
      <w:pPr>
        <w:numPr>
          <w:ilvl w:val="2"/>
          <w:numId w:val="7"/>
        </w:numPr>
        <w:spacing w:after="100" w:line="276" w:lineRule="auto"/>
        <w:ind w:left="720" w:hanging="720"/>
      </w:pPr>
      <w:r w:rsidRPr="00000000" w:rsidDel="00000000" w:rsidR="00000000">
        <w:rPr>
          <w:rtl w:val="0"/>
        </w:rPr>
        <w:t xml:space="preserve">Reference in this Policy to the terms “Binance Group”, “the Group” or “Binance” means each group of undertakings consisting of the entities defined and listed in Appendix 3 (Binance Group Schedule).  Each Group applies this Policy within that Group only. </w:t>
      </w:r>
    </w:p>
    <w:p w:rsidRPr="00000000" w:rsidR="00000000" w:rsidDel="00000000" w:rsidP="00000000" w:rsidRDefault="00000000" w14:paraId="000000EE">
      <w:pPr>
        <w:numPr>
          <w:ilvl w:val="2"/>
          <w:numId w:val="7"/>
        </w:numPr>
        <w:spacing w:line="276" w:lineRule="auto"/>
        <w:ind w:left="720" w:hanging="720"/>
      </w:pPr>
      <w:r w:rsidRPr="00000000" w:rsidDel="00000000" w:rsidR="00000000">
        <w:rPr>
          <w:rtl w:val="0"/>
        </w:rPr>
        <w:t xml:space="preserve">Binance Group is committed to complying with all applicable anti-money laundering (“</w:t>
      </w:r>
      <w:r w:rsidRPr="00000000" w:rsidDel="00000000" w:rsidR="00000000">
        <w:rPr>
          <w:b w:val="1"/>
          <w:bCs w:val="1"/>
          <w:rtl w:val="0"/>
        </w:rPr>
        <w:t xml:space="preserve">AML</w:t>
      </w:r>
      <w:r w:rsidRPr="00000000" w:rsidDel="00000000" w:rsidR="00000000">
        <w:rPr>
          <w:rtl w:val="0"/>
        </w:rPr>
        <w:t xml:space="preserve">”), counter-terrorism financing (“</w:t>
      </w:r>
      <w:r w:rsidRPr="00000000" w:rsidDel="00000000" w:rsidR="00000000">
        <w:rPr>
          <w:b w:val="1"/>
          <w:bCs w:val="1"/>
          <w:rtl w:val="0"/>
        </w:rPr>
        <w:t xml:space="preserve">CTF”</w:t>
      </w:r>
      <w:r w:rsidRPr="00000000" w:rsidDel="00000000" w:rsidR="00000000">
        <w:rPr>
          <w:rtl w:val="0"/>
        </w:rPr>
        <w:t xml:space="preserve">), and counter-proliferation financing (“</w:t>
      </w:r>
      <w:r w:rsidRPr="00000000" w:rsidDel="00000000" w:rsidR="00000000">
        <w:rPr>
          <w:b w:val="1"/>
          <w:bCs w:val="1"/>
          <w:rtl w:val="0"/>
        </w:rPr>
        <w:t xml:space="preserve">CPF</w:t>
      </w:r>
      <w:r w:rsidRPr="00000000" w:rsidDel="00000000" w:rsidR="00000000">
        <w:rPr>
          <w:rtl w:val="0"/>
        </w:rPr>
        <w:t xml:space="preserve">”) laws and regulations in jurisdictions where it is registered, licensed or operates, including compliance with the ADGM AML Rulebook and the UAE AML Law, as amended.</w:t>
      </w:r>
    </w:p>
    <w:p w:rsidRPr="00000000" w:rsidR="00000000" w:rsidDel="00000000" w:rsidP="00000000" w:rsidRDefault="00000000" w14:paraId="000000EF">
      <w:pPr>
        <w:pStyle w:val="Heading2"/>
        <w:numPr>
          <w:ilvl w:val="1"/>
          <w:numId w:val="7"/>
        </w:numPr>
        <w:spacing w:before="200" w:lineRule="auto"/>
        <w:ind w:left="720" w:hanging="720"/>
        <w:rPr/>
      </w:pPr>
      <w:bookmarkStart w:name="_heading=h.wobqpt36ps7m" w:colFirst="0" w:colLast="0" w:id="3"/>
      <w:bookmarkEnd w:id="3"/>
      <w:r w:rsidRPr="00000000" w:rsidDel="00000000" w:rsidR="00000000">
        <w:rPr>
          <w:sz w:val="24"/>
          <w:szCs w:val="24"/>
          <w:rtl w:val="0"/>
        </w:rPr>
        <w:t xml:space="preserve">Legal and Regulatory Background </w:t>
      </w:r>
      <w:r w:rsidRPr="00000000" w:rsidDel="00000000" w:rsidR="00000000">
        <w:rPr>
          <w:rtl w:val="0"/>
        </w:rPr>
      </w:r>
    </w:p>
    <w:p w:rsidRPr="00000000" w:rsidR="00000000" w:rsidDel="00000000" w:rsidP="00000000" w:rsidRDefault="00000000" w14:paraId="000000F0">
      <w:pPr>
        <w:numPr>
          <w:ilvl w:val="2"/>
          <w:numId w:val="7"/>
        </w:numPr>
        <w:spacing w:after="0" w:line="276" w:lineRule="auto"/>
        <w:ind w:left="720" w:hanging="720"/>
      </w:pPr>
      <w:r w:rsidRPr="00000000" w:rsidDel="00000000" w:rsidR="00000000">
        <w:rPr>
          <w:rtl w:val="0"/>
        </w:rPr>
        <w:t xml:space="preserve">Binance Group’s main global client-facing entities are Nest Exchange Limited, Nest Clearing and Custody Limited and Nest Trading Limited (collectively “ADGM entities”). The ADGM entities are authorised by the Financial Services Regulatory Authority (“</w:t>
      </w:r>
      <w:r w:rsidRPr="00000000" w:rsidDel="00000000" w:rsidR="00000000">
        <w:rPr>
          <w:b w:val="1"/>
          <w:bCs w:val="1"/>
          <w:rtl w:val="0"/>
        </w:rPr>
        <w:t xml:space="preserve">FSRA</w:t>
      </w:r>
      <w:r w:rsidRPr="00000000" w:rsidDel="00000000" w:rsidR="00000000">
        <w:rPr>
          <w:rtl w:val="0"/>
        </w:rPr>
        <w:t xml:space="preserve">”) to undertake regulated activities in and/or from Abu Dhabi Global Market (“</w:t>
      </w:r>
      <w:r w:rsidRPr="00000000" w:rsidDel="00000000" w:rsidR="00000000">
        <w:rPr>
          <w:b w:val="1"/>
          <w:bCs w:val="1"/>
          <w:rtl w:val="0"/>
        </w:rPr>
        <w:t xml:space="preserve">ADGM</w:t>
      </w:r>
      <w:r w:rsidRPr="00000000" w:rsidDel="00000000" w:rsidR="00000000">
        <w:rPr>
          <w:rtl w:val="0"/>
        </w:rPr>
        <w:t xml:space="preserve">”) and it has adopted this Policy which sets forth guiding principles that are applicable to Binance Group. This Policy is designed to comply with applicable United Arab Emirates (“</w:t>
      </w:r>
      <w:r w:rsidRPr="00000000" w:rsidDel="00000000" w:rsidR="00000000">
        <w:rPr>
          <w:b w:val="1"/>
          <w:bCs w:val="1"/>
          <w:rtl w:val="0"/>
        </w:rPr>
        <w:t xml:space="preserve">UAE</w:t>
      </w:r>
      <w:r w:rsidRPr="00000000" w:rsidDel="00000000" w:rsidR="00000000">
        <w:rPr>
          <w:rtl w:val="0"/>
        </w:rPr>
        <w:t xml:space="preserve">”) AML/CTF and CPF law and international standards, including but not limited to the following non-exhaustive requirements:</w:t>
      </w:r>
    </w:p>
    <w:p w:rsidRPr="00000000" w:rsidR="00000000" w:rsidDel="00000000" w:rsidP="00000000" w:rsidRDefault="00000000" w14:paraId="000000F1">
      <w:pPr>
        <w:numPr>
          <w:ilvl w:val="0"/>
          <w:numId w:val="6"/>
        </w:numPr>
        <w:spacing w:before="0" w:after="0" w:lineRule="auto"/>
        <w:ind w:left="1080" w:hanging="360"/>
        <w:jc w:val="left"/>
        <w:rPr>
          <w:rFonts w:ascii="Arial" w:hAnsi="Arial" w:eastAsia="Arial" w:cs="Arial"/>
        </w:rPr>
      </w:pPr>
      <w:r w:rsidRPr="00000000" w:rsidDel="00000000" w:rsidR="00000000">
        <w:rPr>
          <w:rtl w:val="0"/>
        </w:rPr>
        <w:t xml:space="preserve">Federal Decree-Law No. (20) of 2018 on AML and CFT</w:t>
      </w:r>
      <w:r w:rsidRPr="00000000" w:rsidDel="00000000" w:rsidR="00000000">
        <w:rPr>
          <w:rtl w:val="0"/>
        </w:rPr>
      </w:r>
    </w:p>
    <w:p w:rsidRPr="00000000" w:rsidR="00000000" w:rsidDel="00000000" w:rsidP="00000000" w:rsidRDefault="00000000" w14:paraId="000000F2">
      <w:pPr>
        <w:numPr>
          <w:ilvl w:val="0"/>
          <w:numId w:val="6"/>
        </w:numPr>
        <w:spacing w:before="0" w:after="0" w:lineRule="auto"/>
        <w:ind w:left="1080" w:hanging="360"/>
        <w:jc w:val="left"/>
        <w:rPr>
          <w:rFonts w:ascii="Arial" w:hAnsi="Arial" w:eastAsia="Arial" w:cs="Arial"/>
        </w:rPr>
      </w:pPr>
      <w:r w:rsidRPr="00000000" w:rsidDel="00000000" w:rsidR="00000000">
        <w:rPr>
          <w:rtl w:val="0"/>
        </w:rPr>
        <w:t xml:space="preserve">Cabinet Decision No. (10) of 2019</w:t>
      </w:r>
      <w:r w:rsidRPr="00000000" w:rsidDel="00000000" w:rsidR="00000000">
        <w:rPr>
          <w:rtl w:val="0"/>
        </w:rPr>
      </w:r>
    </w:p>
    <w:p w:rsidRPr="00000000" w:rsidR="00000000" w:rsidDel="00000000" w:rsidP="00000000" w:rsidRDefault="00000000" w14:paraId="000000F3">
      <w:pPr>
        <w:numPr>
          <w:ilvl w:val="0"/>
          <w:numId w:val="6"/>
        </w:numPr>
        <w:spacing w:before="0" w:after="0" w:lineRule="auto"/>
        <w:ind w:left="1080" w:hanging="360"/>
        <w:jc w:val="left"/>
        <w:rPr>
          <w:rFonts w:ascii="Arial" w:hAnsi="Arial" w:eastAsia="Arial" w:cs="Arial"/>
        </w:rPr>
      </w:pPr>
      <w:r w:rsidRPr="00000000" w:rsidDel="00000000" w:rsidR="00000000">
        <w:rPr>
          <w:rtl w:val="0"/>
        </w:rPr>
        <w:t xml:space="preserve">ADGM Anti-Money Laundering and Sanctions Rulebook (“</w:t>
      </w:r>
      <w:r w:rsidRPr="00000000" w:rsidDel="00000000" w:rsidR="00000000">
        <w:rPr>
          <w:b w:val="1"/>
          <w:bCs w:val="1"/>
          <w:rtl w:val="0"/>
        </w:rPr>
        <w:t xml:space="preserve">ADGM Rulebook</w:t>
      </w:r>
      <w:r w:rsidRPr="00000000" w:rsidDel="00000000" w:rsidR="00000000">
        <w:rPr>
          <w:rtl w:val="0"/>
        </w:rPr>
        <w:t xml:space="preserve">”)</w:t>
      </w:r>
      <w:r w:rsidRPr="00000000" w:rsidDel="00000000" w:rsidR="00000000">
        <w:rPr>
          <w:rtl w:val="0"/>
        </w:rPr>
      </w:r>
    </w:p>
    <w:p w:rsidRPr="00000000" w:rsidR="00000000" w:rsidDel="00000000" w:rsidP="00000000" w:rsidRDefault="00000000" w14:paraId="000000F4">
      <w:pPr>
        <w:numPr>
          <w:ilvl w:val="0"/>
          <w:numId w:val="6"/>
        </w:numPr>
        <w:spacing w:before="0" w:after="0" w:lineRule="auto"/>
        <w:ind w:left="1080" w:hanging="360"/>
        <w:jc w:val="left"/>
        <w:rPr>
          <w:rFonts w:ascii="Arial" w:hAnsi="Arial" w:eastAsia="Arial" w:cs="Arial"/>
        </w:rPr>
      </w:pPr>
      <w:r w:rsidRPr="00000000" w:rsidDel="00000000" w:rsidR="00000000">
        <w:rPr>
          <w:rtl w:val="0"/>
        </w:rPr>
        <w:t xml:space="preserve">Guidance issued by the </w:t>
      </w:r>
      <w:r w:rsidRPr="00000000" w:rsidDel="00000000" w:rsidR="00000000">
        <w:rPr>
          <w:rtl w:val="0"/>
        </w:rPr>
        <w:t xml:space="preserve">Executive Office for Control &amp; Non-Proliferation (“</w:t>
      </w:r>
      <w:r w:rsidRPr="00000000" w:rsidDel="00000000" w:rsidR="00000000">
        <w:rPr>
          <w:b w:val="1"/>
          <w:bCs w:val="1"/>
          <w:rtl w:val="0"/>
        </w:rPr>
        <w:t xml:space="preserve">EOCN</w:t>
      </w:r>
      <w:r w:rsidRPr="00000000" w:rsidDel="00000000" w:rsidR="00000000">
        <w:rPr>
          <w:rtl w:val="0"/>
        </w:rPr>
        <w:t xml:space="preserve">”)</w:t>
      </w:r>
      <w:r w:rsidRPr="00000000" w:rsidDel="00000000" w:rsidR="00000000">
        <w:rPr>
          <w:rtl w:val="0"/>
        </w:rPr>
        <w:t xml:space="preserve"> regarding reporting suspicious activity and Transactions relating to money laundering, terrorist financing and proliferation financing</w:t>
      </w:r>
      <w:r w:rsidRPr="00000000" w:rsidDel="00000000" w:rsidR="00000000">
        <w:rPr>
          <w:rtl w:val="0"/>
        </w:rPr>
      </w:r>
    </w:p>
    <w:p w:rsidRPr="00000000" w:rsidR="00000000" w:rsidDel="00000000" w:rsidP="00000000" w:rsidRDefault="00000000" w14:paraId="000000F5">
      <w:pPr>
        <w:numPr>
          <w:ilvl w:val="0"/>
          <w:numId w:val="6"/>
        </w:numPr>
        <w:ind w:left="1080" w:hanging="360"/>
        <w:jc w:val="left"/>
        <w:rPr>
          <w:rFonts w:ascii="IBM Plex Sans" w:hAnsi="IBM Plex Sans" w:eastAsia="IBM Plex Sans" w:cs="IBM Plex Sans"/>
        </w:rPr>
      </w:pPr>
      <w:r w:rsidRPr="00000000" w:rsidDel="00000000" w:rsidR="00000000">
        <w:rPr>
          <w:rtl w:val="0"/>
        </w:rPr>
        <w:t xml:space="preserve">goAML Reporting Requirements issued by the UAE FIU</w:t>
      </w:r>
      <w:r w:rsidRPr="00000000" w:rsidDel="00000000" w:rsidR="00000000">
        <w:rPr>
          <w:rtl w:val="0"/>
        </w:rPr>
      </w:r>
    </w:p>
    <w:p w:rsidRPr="00000000" w:rsidR="00000000" w:rsidDel="00000000" w:rsidP="00000000" w:rsidRDefault="00000000" w14:paraId="000000F6">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2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Financial Action Task Force (FATF), International Standards on Combating Money Laundering and the Financing of Terrorism &amp; Proliferation;</w:t>
      </w:r>
      <w:r w:rsidRPr="00000000" w:rsidDel="00000000" w:rsidR="00000000">
        <w:rPr>
          <w:rtl w:val="0"/>
        </w:rPr>
      </w:r>
    </w:p>
    <w:p w:rsidRPr="00000000" w:rsidR="00000000" w:rsidDel="00000000" w:rsidP="00000000" w:rsidRDefault="00000000" w14:paraId="000000F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2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FATF, Updated Guidance for a Risk-Based Approach to Virtual Assets and Virtual Asset Service Providers;</w:t>
      </w:r>
      <w:r w:rsidRPr="00000000" w:rsidDel="00000000" w:rsidR="00000000">
        <w:rPr>
          <w:rtl w:val="0"/>
        </w:rPr>
      </w:r>
    </w:p>
    <w:p w:rsidRPr="00000000" w:rsidR="00000000" w:rsidDel="00000000" w:rsidP="00000000" w:rsidRDefault="00000000" w14:paraId="000000F8">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2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FATF Report Virtual Assets - Red Flag Indicators of Money Laundering and Terrorist Financing;</w:t>
      </w:r>
      <w:r w:rsidRPr="00000000" w:rsidDel="00000000" w:rsidR="00000000">
        <w:rPr>
          <w:rtl w:val="0"/>
        </w:rPr>
      </w:r>
    </w:p>
    <w:p w:rsidRPr="00000000" w:rsidR="00000000" w:rsidDel="00000000" w:rsidP="00000000" w:rsidRDefault="00000000" w14:paraId="000000F9">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2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Wolfsberg Statement, Guidance on a Risk Based Approach for Managing Money Laundering Risks;</w:t>
      </w:r>
      <w:r w:rsidRPr="00000000" w:rsidDel="00000000" w:rsidR="00000000">
        <w:rPr>
          <w:rtl w:val="0"/>
        </w:rPr>
      </w:r>
    </w:p>
    <w:p w:rsidRPr="00000000" w:rsidR="00000000" w:rsidDel="00000000" w:rsidP="00000000" w:rsidRDefault="00000000" w14:paraId="000000FA">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2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Wolfsberg, Frequently Asked Questions on Risk Assessments for Money Laundering, Sanctions and Bribery &amp; Corruption;</w:t>
      </w:r>
      <w:r w:rsidRPr="00000000" w:rsidDel="00000000" w:rsidR="00000000">
        <w:rPr>
          <w:rtl w:val="0"/>
        </w:rPr>
      </w:r>
    </w:p>
    <w:p w:rsidRPr="00000000" w:rsidR="00000000" w:rsidDel="00000000" w:rsidP="00000000" w:rsidRDefault="00000000" w14:paraId="000000FB">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2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Basel Committee on Banking Supervision, Guidance on Sound Management of Risks related to Money Laundering and Financing of Terrorism, January 2014;</w:t>
      </w:r>
      <w:r w:rsidRPr="00000000" w:rsidDel="00000000" w:rsidR="00000000">
        <w:rPr>
          <w:rtl w:val="0"/>
        </w:rPr>
      </w:r>
    </w:p>
    <w:p w:rsidRPr="00000000" w:rsidR="00000000" w:rsidDel="00000000" w:rsidP="00000000" w:rsidRDefault="00000000" w14:paraId="000000FC">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20" w:line="276" w:lineRule="auto"/>
        <w:ind w:left="1080" w:right="0" w:hanging="360"/>
        <w:jc w:val="both"/>
        <w:rPr/>
      </w:pPr>
      <w:r w:rsidRPr="00000000" w:rsidDel="00000000" w:rsidR="00000000">
        <w:rPr>
          <w:i w:val="0"/>
          <w:iCs w:val="0"/>
          <w:smallCaps w:val="0"/>
          <w:strike w:val="0"/>
          <w:color w:val="000000"/>
          <w:sz w:val="22"/>
          <w:szCs w:val="22"/>
          <w:u w:val="none"/>
          <w:shd w:val="clear" w:fill="auto"/>
          <w:vertAlign w:val="baseline"/>
          <w:rtl w:val="0"/>
        </w:rPr>
        <w:t xml:space="preserve">the ADGM AML Rulebook, including specific obligations relating to customer due diligence (“</w:t>
      </w:r>
      <w:r w:rsidRPr="00000000" w:rsidDel="00000000" w:rsidR="00000000">
        <w:rPr>
          <w:b w:val="1"/>
          <w:bCs w:val="1"/>
          <w:i w:val="0"/>
          <w:iCs w:val="0"/>
          <w:smallCaps w:val="0"/>
          <w:strike w:val="0"/>
          <w:color w:val="000000"/>
          <w:sz w:val="22"/>
          <w:szCs w:val="22"/>
          <w:u w:val="none"/>
          <w:shd w:val="clear" w:fill="auto"/>
          <w:vertAlign w:val="baseline"/>
          <w:rtl w:val="0"/>
        </w:rPr>
        <w:t xml:space="preserve">CDD</w:t>
      </w:r>
      <w:r w:rsidRPr="00000000" w:rsidDel="00000000" w:rsidR="00000000">
        <w:rPr>
          <w:i w:val="0"/>
          <w:iCs w:val="0"/>
          <w:smallCaps w:val="0"/>
          <w:strike w:val="0"/>
          <w:color w:val="000000"/>
          <w:sz w:val="22"/>
          <w:szCs w:val="22"/>
          <w:u w:val="none"/>
          <w:shd w:val="clear" w:fill="auto"/>
          <w:vertAlign w:val="baseline"/>
          <w:rtl w:val="0"/>
        </w:rPr>
        <w:t xml:space="preserve">”), enhanced due diligence (“</w:t>
      </w:r>
      <w:r w:rsidRPr="00000000" w:rsidDel="00000000" w:rsidR="00000000">
        <w:rPr>
          <w:b w:val="1"/>
          <w:bCs w:val="1"/>
          <w:i w:val="0"/>
          <w:iCs w:val="0"/>
          <w:smallCaps w:val="0"/>
          <w:strike w:val="0"/>
          <w:color w:val="000000"/>
          <w:sz w:val="22"/>
          <w:szCs w:val="22"/>
          <w:u w:val="none"/>
          <w:shd w:val="clear" w:fill="auto"/>
          <w:vertAlign w:val="baseline"/>
          <w:rtl w:val="0"/>
        </w:rPr>
        <w:t xml:space="preserve">EDD</w:t>
      </w:r>
      <w:r w:rsidRPr="00000000" w:rsidDel="00000000" w:rsidR="00000000">
        <w:rPr>
          <w:i w:val="0"/>
          <w:iCs w:val="0"/>
          <w:smallCaps w:val="0"/>
          <w:strike w:val="0"/>
          <w:color w:val="000000"/>
          <w:sz w:val="22"/>
          <w:szCs w:val="22"/>
          <w:u w:val="none"/>
          <w:shd w:val="clear" w:fill="auto"/>
          <w:vertAlign w:val="baseline"/>
          <w:rtl w:val="0"/>
        </w:rPr>
        <w:t xml:space="preserve">”), suspicious activity; and</w:t>
      </w:r>
      <w:r w:rsidRPr="00000000" w:rsidDel="00000000" w:rsidR="00000000">
        <w:rPr>
          <w:rtl w:val="0"/>
        </w:rPr>
      </w:r>
    </w:p>
    <w:p w:rsidRPr="00000000" w:rsidR="00000000" w:rsidDel="00000000" w:rsidP="00000000" w:rsidRDefault="00000000" w14:paraId="000000FD">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2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the applica</w:t>
      </w:r>
      <w:r w:rsidRPr="00000000" w:rsidDel="00000000" w:rsidR="00000000">
        <w:rPr>
          <w:rtl w:val="0"/>
        </w:rPr>
        <w:t xml:space="preserve">ble </w:t>
      </w:r>
      <w:r w:rsidRPr="00000000" w:rsidDel="00000000" w:rsidR="00000000">
        <w:rPr>
          <w:i w:val="0"/>
          <w:iCs w:val="0"/>
          <w:smallCaps w:val="0"/>
          <w:strike w:val="0"/>
          <w:color w:val="000000"/>
          <w:sz w:val="22"/>
          <w:szCs w:val="22"/>
          <w:u w:val="none"/>
          <w:shd w:val="clear" w:fill="auto"/>
          <w:vertAlign w:val="baseline"/>
          <w:rtl w:val="0"/>
        </w:rPr>
        <w:t xml:space="preserve">UAE AML Law.</w:t>
      </w:r>
      <w:r w:rsidRPr="00000000" w:rsidDel="00000000" w:rsidR="00000000">
        <w:rPr>
          <w:rtl w:val="0"/>
        </w:rPr>
      </w:r>
    </w:p>
    <w:p w:rsidRPr="00000000" w:rsidR="00000000" w:rsidDel="00000000" w:rsidP="00000000" w:rsidRDefault="00000000" w14:paraId="000000FE">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100" w:line="276" w:lineRule="auto"/>
        <w:ind w:left="0" w:right="0" w:firstLine="0"/>
        <w:jc w:val="both"/>
        <w:rPr>
          <w:i w:val="0"/>
          <w:iCs w:val="0"/>
          <w:smallCaps w:val="0"/>
          <w:strike w:val="0"/>
          <w:color w:val="000000"/>
          <w:sz w:val="22"/>
          <w:szCs w:val="22"/>
          <w:u w:val="none"/>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Additional country or region-specific requirements related to this policy are monitored, analysed and incorporated in</w:t>
      </w:r>
      <w:r w:rsidRPr="00000000" w:rsidDel="00000000" w:rsidR="00000000">
        <w:rPr>
          <w:i w:val="0"/>
          <w:iCs w:val="0"/>
          <w:smallCaps w:val="0"/>
          <w:strike w:val="0"/>
          <w:color w:val="ff0000"/>
          <w:sz w:val="22"/>
          <w:szCs w:val="22"/>
          <w:u w:val="none"/>
          <w:shd w:val="clear" w:fill="auto"/>
          <w:vertAlign w:val="baseline"/>
          <w:rtl w:val="0"/>
        </w:rPr>
        <w:t xml:space="preserve"> </w:t>
      </w:r>
      <w:r w:rsidRPr="00000000" w:rsidDel="00000000" w:rsidR="00000000">
        <w:rPr>
          <w:i w:val="0"/>
          <w:iCs w:val="0"/>
          <w:smallCaps w:val="0"/>
          <w:strike w:val="0"/>
          <w:color w:val="000000"/>
          <w:sz w:val="22"/>
          <w:szCs w:val="22"/>
          <w:u w:val="none"/>
          <w:shd w:val="clear" w:fill="auto"/>
          <w:vertAlign w:val="baseline"/>
          <w:rtl w:val="0"/>
        </w:rPr>
        <w:t xml:space="preserve">Country Addenda which supplements the Global AML Policy.  The requirements are reviewed and considered on an ongoing basis.  This is driven by the Country Compliance team, with the support of the Global Compliance department, which sets out the minimum standards for compliance across the Group. </w:t>
      </w:r>
    </w:p>
    <w:p w:rsidRPr="00000000" w:rsidR="00000000" w:rsidDel="00000000" w:rsidP="00000000" w:rsidRDefault="00000000" w14:paraId="000000FF">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120" w:line="276" w:lineRule="auto"/>
        <w:ind w:left="0" w:right="0" w:firstLine="0"/>
        <w:jc w:val="both"/>
        <w:rPr>
          <w:i w:val="0"/>
          <w:iCs w:val="0"/>
          <w:smallCaps w:val="0"/>
          <w:strike w:val="0"/>
          <w:color w:val="000000"/>
          <w:sz w:val="22"/>
          <w:szCs w:val="22"/>
          <w:u w:val="none"/>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The Country Compliance team, supported by the Global Compliance Department, is responsible for maintaining the legal and regulatory inventory for each jurisdiction, and ensuring local AML/CFT/CPF obligations are continuously monitored, assessed, and reflected in the Group-wide compliance framework.</w:t>
      </w:r>
    </w:p>
    <w:p w:rsidRPr="00000000" w:rsidR="00000000" w:rsidDel="00000000" w:rsidP="00000000" w:rsidRDefault="00000000" w14:paraId="00000100">
      <w:pPr>
        <w:pStyle w:val="Heading1"/>
        <w:numPr>
          <w:ilvl w:val="0"/>
          <w:numId w:val="7"/>
        </w:numPr>
        <w:spacing w:before="400" w:after="200" w:lineRule="auto"/>
        <w:ind w:left="720" w:hanging="720"/>
        <w:rPr/>
      </w:pPr>
      <w:bookmarkStart w:name="_heading=h.dymmji6ywx3m" w:colFirst="0" w:colLast="0" w:id="4"/>
      <w:bookmarkEnd w:id="4"/>
      <w:r w:rsidRPr="00000000" w:rsidDel="00000000" w:rsidR="00000000">
        <w:rPr>
          <w:sz w:val="28"/>
          <w:szCs w:val="28"/>
          <w:rtl w:val="0"/>
        </w:rPr>
        <w:t xml:space="preserve">PURPOSE</w:t>
      </w:r>
      <w:r w:rsidRPr="00000000" w:rsidDel="00000000" w:rsidR="00000000">
        <w:rPr>
          <w:rtl w:val="0"/>
        </w:rPr>
      </w:r>
    </w:p>
    <w:p w:rsidRPr="00000000" w:rsidR="00000000" w:rsidDel="00000000" w:rsidP="00000000" w:rsidRDefault="00000000" w14:paraId="00000101">
      <w:pPr>
        <w:numPr>
          <w:ilvl w:val="1"/>
          <w:numId w:val="7"/>
        </w:numPr>
        <w:spacing w:after="100" w:line="276" w:lineRule="auto"/>
        <w:ind w:left="720"/>
        <w:rPr/>
      </w:pPr>
      <w:r w:rsidRPr="00000000" w:rsidDel="00000000" w:rsidR="00000000">
        <w:rPr>
          <w:rtl w:val="0"/>
        </w:rPr>
        <w:t xml:space="preserve">This Policy, supplemented with other related and applicable procedures (collectively known as “</w:t>
      </w:r>
      <w:r w:rsidRPr="00000000" w:rsidDel="00000000" w:rsidR="00000000">
        <w:rPr>
          <w:b w:val="1"/>
          <w:bCs w:val="1"/>
          <w:rtl w:val="0"/>
        </w:rPr>
        <w:t xml:space="preserve">Global AML Program”</w:t>
      </w:r>
      <w:r w:rsidRPr="00000000" w:rsidDel="00000000" w:rsidR="00000000">
        <w:rPr>
          <w:rtl w:val="0"/>
        </w:rPr>
        <w:t xml:space="preserve">) are designed to protect Binance Group, its platform and its Customers from being used to facilitate ML/TF/PF, or other financial crimes. </w:t>
      </w:r>
    </w:p>
    <w:p w:rsidRPr="00000000" w:rsidR="00000000" w:rsidDel="00000000" w:rsidP="00000000" w:rsidRDefault="00000000" w14:paraId="00000102">
      <w:pPr>
        <w:keepNext w:val="0"/>
        <w:keepLines w:val="0"/>
        <w:pageBreakBefore w:val="0"/>
        <w:widowControl w:val="1"/>
        <w:numPr>
          <w:ilvl w:val="1"/>
          <w:numId w:val="7"/>
        </w:numPr>
        <w:pBdr>
          <w:top w:val="nil" w:sz="0" w:space="0"/>
          <w:left w:val="nil" w:sz="0" w:space="0"/>
          <w:bottom w:val="nil" w:sz="0" w:space="0"/>
          <w:right w:val="nil" w:sz="0" w:space="0"/>
          <w:between w:val="nil" w:sz="0" w:space="0"/>
        </w:pBdr>
        <w:shd w:val="clear" w:fill="auto"/>
        <w:spacing w:before="0" w:after="100" w:line="276" w:lineRule="auto"/>
        <w:ind w:left="720" w:right="0" w:hanging="720"/>
        <w:jc w:val="both"/>
        <w:rPr/>
      </w:pPr>
      <w:r w:rsidRPr="00000000" w:rsidDel="00000000" w:rsidR="00000000">
        <w:rPr>
          <w:rtl w:val="0"/>
        </w:rPr>
        <w:t xml:space="preserve">The purpose of this Policy is to set the standards and lay out the policies for the relevant functions and units in the Group as well as for all Personnel on measures to be taken for the prevention of money laundering, countering terrorism and proliferation financing.</w:t>
      </w:r>
    </w:p>
    <w:p w:rsidRPr="00000000" w:rsidR="00000000" w:rsidDel="00000000" w:rsidP="00000000" w:rsidRDefault="00000000" w14:paraId="00000103">
      <w:pPr>
        <w:keepNext w:val="0"/>
        <w:keepLines w:val="0"/>
        <w:pageBreakBefore w:val="0"/>
        <w:widowControl w:val="1"/>
        <w:numPr>
          <w:ilvl w:val="1"/>
          <w:numId w:val="7"/>
        </w:numPr>
        <w:pBdr>
          <w:top w:val="nil" w:sz="0" w:space="0"/>
          <w:left w:val="nil" w:sz="0" w:space="0"/>
          <w:bottom w:val="nil" w:sz="0" w:space="0"/>
          <w:right w:val="nil" w:sz="0" w:space="0"/>
          <w:between w:val="nil" w:sz="0" w:space="0"/>
        </w:pBdr>
        <w:shd w:val="clear" w:fill="auto"/>
        <w:spacing w:before="0" w:after="100" w:line="276" w:lineRule="auto"/>
        <w:ind w:left="720" w:right="0" w:hanging="720"/>
        <w:jc w:val="both"/>
        <w:rPr/>
      </w:pPr>
      <w:r w:rsidRPr="00000000" w:rsidDel="00000000" w:rsidR="00000000">
        <w:rPr>
          <w:rtl w:val="0"/>
        </w:rPr>
        <w:t xml:space="preserve">This Policy aims to ensure alignment with the AML/CTF/CPF obligations of the ADGM and the FSRA, and other applicable jurisdictions in which Binance entities operate.</w:t>
      </w:r>
    </w:p>
    <w:p w:rsidRPr="00000000" w:rsidR="00000000" w:rsidDel="00000000" w:rsidP="00000000" w:rsidRDefault="00000000" w14:paraId="00000104">
      <w:pPr>
        <w:keepNext w:val="0"/>
        <w:keepLines w:val="0"/>
        <w:pageBreakBefore w:val="0"/>
        <w:widowControl w:val="1"/>
        <w:numPr>
          <w:ilvl w:val="1"/>
          <w:numId w:val="7"/>
        </w:numPr>
        <w:pBdr>
          <w:top w:val="nil" w:sz="0" w:space="0"/>
          <w:left w:val="nil" w:sz="0" w:space="0"/>
          <w:bottom w:val="nil" w:sz="0" w:space="0"/>
          <w:right w:val="nil" w:sz="0" w:space="0"/>
          <w:between w:val="nil" w:sz="0" w:space="0"/>
        </w:pBdr>
        <w:shd w:val="clear" w:fill="auto"/>
        <w:spacing w:before="0" w:after="100" w:line="276" w:lineRule="auto"/>
        <w:ind w:left="720" w:right="0" w:hanging="720"/>
        <w:jc w:val="both"/>
        <w:rPr/>
      </w:pPr>
      <w:r w:rsidRPr="00000000" w:rsidDel="00000000" w:rsidR="00000000">
        <w:rPr>
          <w:rtl w:val="0"/>
        </w:rPr>
        <w:t xml:space="preserve">The Global AML Policy defines the standard to support Binance Group’s risk-based approach in managing the risk of money laundering and terrorism and proliferation financing. </w:t>
      </w:r>
    </w:p>
    <w:p w:rsidRPr="00000000" w:rsidR="00000000" w:rsidDel="00000000" w:rsidP="00000000" w:rsidRDefault="00000000" w14:paraId="00000105">
      <w:pPr>
        <w:keepNext w:val="0"/>
        <w:keepLines w:val="0"/>
        <w:pageBreakBefore w:val="0"/>
        <w:widowControl w:val="1"/>
        <w:numPr>
          <w:ilvl w:val="1"/>
          <w:numId w:val="7"/>
        </w:numPr>
        <w:pBdr>
          <w:top w:val="nil" w:sz="0" w:space="0"/>
          <w:left w:val="nil" w:sz="0" w:space="0"/>
          <w:bottom w:val="nil" w:sz="0" w:space="0"/>
          <w:right w:val="nil" w:sz="0" w:space="0"/>
          <w:between w:val="nil" w:sz="0" w:space="0"/>
        </w:pBdr>
        <w:shd w:val="clear" w:fill="auto"/>
        <w:spacing w:before="0" w:after="100" w:line="276" w:lineRule="auto"/>
        <w:ind w:left="720" w:right="0" w:hanging="720"/>
        <w:jc w:val="both"/>
        <w:rPr/>
      </w:pPr>
      <w:r w:rsidRPr="00000000" w:rsidDel="00000000" w:rsidR="00000000">
        <w:rPr>
          <w:rtl w:val="0"/>
        </w:rPr>
        <w:t xml:space="preserve">Binance Group may establish additional AML/CFT/CPF controls and procedures consistent with the Global AML Policy that are tailored to the applicable legal requirements and ML/FT/PF risk when required by applicable law or when deemed appropriate based on its internal risk assessment and applicable regulatory requirements.  </w:t>
      </w:r>
      <w:r w:rsidRPr="00000000" w:rsidDel="00000000" w:rsidR="00000000">
        <w:rPr>
          <w:rtl w:val="0"/>
        </w:rPr>
      </w:r>
    </w:p>
    <w:p w:rsidRPr="00000000" w:rsidR="00000000" w:rsidDel="00000000" w:rsidP="00000000" w:rsidRDefault="00000000" w14:paraId="00000106">
      <w:pPr>
        <w:pStyle w:val="Heading1"/>
        <w:numPr>
          <w:ilvl w:val="0"/>
          <w:numId w:val="7"/>
        </w:numPr>
        <w:spacing w:before="400" w:after="200" w:lineRule="auto"/>
        <w:ind w:left="720" w:hanging="720"/>
        <w:rPr/>
      </w:pPr>
      <w:bookmarkStart w:name="_heading=h.9vzjmkok7kta" w:colFirst="0" w:colLast="0" w:id="5"/>
      <w:bookmarkEnd w:id="5"/>
      <w:r w:rsidRPr="00000000" w:rsidDel="00000000" w:rsidR="00000000">
        <w:rPr>
          <w:sz w:val="28"/>
          <w:szCs w:val="28"/>
          <w:rtl w:val="0"/>
        </w:rPr>
        <w:t xml:space="preserve">SCOPE</w:t>
      </w:r>
      <w:r w:rsidRPr="00000000" w:rsidDel="00000000" w:rsidR="00000000">
        <w:rPr>
          <w:rtl w:val="0"/>
        </w:rPr>
      </w:r>
    </w:p>
    <w:p w:rsidRPr="00000000" w:rsidR="00000000" w:rsidDel="00000000" w:rsidP="00000000" w:rsidRDefault="00000000" w14:paraId="00000107">
      <w:pPr>
        <w:keepNext w:val="0"/>
        <w:keepLines w:val="0"/>
        <w:pageBreakBefore w:val="0"/>
        <w:widowControl w:val="1"/>
        <w:numPr>
          <w:ilvl w:val="1"/>
          <w:numId w:val="7"/>
        </w:numPr>
        <w:pBdr>
          <w:top w:val="nil" w:sz="0" w:space="0"/>
          <w:left w:val="nil" w:sz="0" w:space="0"/>
          <w:bottom w:val="nil" w:sz="0" w:space="0"/>
          <w:right w:val="nil" w:sz="0" w:space="0"/>
          <w:between w:val="nil" w:sz="0" w:space="0"/>
        </w:pBdr>
        <w:shd w:val="clear" w:fill="auto"/>
        <w:spacing w:before="0" w:after="100" w:line="276" w:lineRule="auto"/>
        <w:ind w:left="720" w:right="0" w:hanging="720"/>
        <w:jc w:val="both"/>
        <w:rPr/>
      </w:pPr>
      <w:r w:rsidRPr="00000000" w:rsidDel="00000000" w:rsidR="00000000">
        <w:rPr>
          <w:rtl w:val="0"/>
        </w:rPr>
        <w:t xml:space="preserve">The Global AML Program is applicable to all Binance Group Personnel, with responsibilities to perform or oversee services benefitting or otherwise impacting the Group, including “contingent” or “contract” Personnel and independent consultants who perform or oversee services benefitting or otherwise impacting Binance Group.  Each individual in a type of role listed above must comply with the Global AML Program, and the appropriate AML/CFT/CPF policies and procedures applicable to their particular roles and functions. </w:t>
      </w:r>
    </w:p>
    <w:p w:rsidRPr="00000000" w:rsidR="00000000" w:rsidDel="00000000" w:rsidP="00000000" w:rsidRDefault="00000000" w14:paraId="00000108">
      <w:pPr>
        <w:keepNext w:val="0"/>
        <w:keepLines w:val="0"/>
        <w:pageBreakBefore w:val="0"/>
        <w:widowControl w:val="1"/>
        <w:numPr>
          <w:ilvl w:val="1"/>
          <w:numId w:val="7"/>
        </w:numPr>
        <w:pBdr>
          <w:top w:val="nil" w:sz="0" w:space="0"/>
          <w:left w:val="nil" w:sz="0" w:space="0"/>
          <w:bottom w:val="nil" w:sz="0" w:space="0"/>
          <w:right w:val="nil" w:sz="0" w:space="0"/>
          <w:between w:val="nil" w:sz="0" w:space="0"/>
        </w:pBdr>
        <w:shd w:val="clear" w:fill="auto"/>
        <w:spacing w:before="0" w:after="100" w:line="276" w:lineRule="auto"/>
        <w:ind w:left="720" w:right="0" w:hanging="720"/>
        <w:jc w:val="both"/>
        <w:rPr/>
      </w:pPr>
      <w:r w:rsidRPr="00000000" w:rsidDel="00000000" w:rsidR="00000000">
        <w:rPr>
          <w:rtl w:val="0"/>
        </w:rPr>
        <w:t xml:space="preserve">Rule 4.2.1 of the ADGM AML/CTF and Sanctions Rulebook requires that ADGM-regulated entities ensure that policies, procedures, systems and controls are applied to all of their entities in ADGM and all their branches or subsidiaries. With this in mind, t</w:t>
      </w:r>
      <w:r w:rsidRPr="00000000" w:rsidDel="00000000" w:rsidR="00000000">
        <w:rPr>
          <w:rtl w:val="0"/>
        </w:rPr>
        <w:t xml:space="preserve">he Global AML Program applies across all business and operations of the Binance Group.</w:t>
      </w:r>
    </w:p>
    <w:p w:rsidRPr="00000000" w:rsidR="00000000" w:rsidDel="00000000" w:rsidP="00000000" w:rsidRDefault="00000000" w14:paraId="00000109">
      <w:pPr>
        <w:keepNext w:val="0"/>
        <w:keepLines w:val="0"/>
        <w:pageBreakBefore w:val="0"/>
        <w:widowControl w:val="1"/>
        <w:numPr>
          <w:ilvl w:val="1"/>
          <w:numId w:val="7"/>
        </w:numPr>
        <w:pBdr>
          <w:top w:val="nil" w:sz="0" w:space="0"/>
          <w:left w:val="nil" w:sz="0" w:space="0"/>
          <w:bottom w:val="nil" w:sz="0" w:space="0"/>
          <w:right w:val="nil" w:sz="0" w:space="0"/>
          <w:between w:val="nil" w:sz="0" w:space="0"/>
        </w:pBdr>
        <w:shd w:val="clear" w:fill="auto"/>
        <w:spacing w:before="0" w:after="100" w:line="276" w:lineRule="auto"/>
        <w:ind w:left="720" w:right="0" w:hanging="720"/>
        <w:jc w:val="both"/>
        <w:rPr/>
      </w:pPr>
      <w:r w:rsidRPr="00000000" w:rsidDel="00000000" w:rsidR="00000000">
        <w:rPr>
          <w:rtl w:val="0"/>
        </w:rPr>
        <w:t xml:space="preserve">Where Binance entities are regulated under specific local license frameworks, the AML Program is applied in conjunction with local regulatory obligations and supervisory expectations.</w:t>
      </w:r>
      <w:r w:rsidRPr="00000000" w:rsidDel="00000000" w:rsidR="00000000">
        <w:rPr>
          <w:rtl w:val="0"/>
        </w:rPr>
      </w:r>
    </w:p>
    <w:p w:rsidRPr="00000000" w:rsidR="00000000" w:rsidDel="00000000" w:rsidP="00000000" w:rsidRDefault="00000000" w14:paraId="0000010A">
      <w:pPr>
        <w:pStyle w:val="Heading1"/>
        <w:keepNext w:val="1"/>
        <w:numPr>
          <w:ilvl w:val="0"/>
          <w:numId w:val="7"/>
        </w:numPr>
        <w:spacing w:before="400" w:after="200" w:lineRule="auto"/>
        <w:ind w:left="720" w:hanging="720"/>
        <w:rPr/>
      </w:pPr>
      <w:bookmarkStart w:name="_heading=h.9e11o8wer7o0" w:colFirst="0" w:colLast="0" w:id="6"/>
      <w:bookmarkEnd w:id="6"/>
      <w:r w:rsidRPr="00000000" w:rsidDel="00000000" w:rsidR="00000000">
        <w:rPr>
          <w:sz w:val="28"/>
          <w:szCs w:val="28"/>
          <w:rtl w:val="0"/>
        </w:rPr>
        <w:t xml:space="preserve">KEY CONCEPTS</w:t>
      </w:r>
      <w:r w:rsidRPr="00000000" w:rsidDel="00000000" w:rsidR="00000000">
        <w:rPr>
          <w:rtl w:val="0"/>
        </w:rPr>
      </w:r>
    </w:p>
    <w:p w:rsidRPr="00000000" w:rsidR="00000000" w:rsidDel="00000000" w:rsidP="00000000" w:rsidRDefault="00000000" w14:paraId="0000010B">
      <w:pPr>
        <w:pStyle w:val="Heading2"/>
        <w:numPr>
          <w:ilvl w:val="1"/>
          <w:numId w:val="7"/>
        </w:numPr>
        <w:spacing w:before="200" w:lineRule="auto"/>
        <w:ind w:left="720" w:hanging="720"/>
        <w:rPr/>
      </w:pPr>
      <w:bookmarkStart w:name="_heading=h.lsbm0z3gevqh" w:colFirst="0" w:colLast="0" w:id="7"/>
      <w:bookmarkEnd w:id="7"/>
      <w:r w:rsidRPr="00000000" w:rsidDel="00000000" w:rsidR="00000000">
        <w:rPr>
          <w:sz w:val="24"/>
          <w:szCs w:val="24"/>
          <w:rtl w:val="0"/>
        </w:rPr>
        <w:t xml:space="preserve">The Vulnerabilities of Digital Assets</w:t>
      </w:r>
      <w:r w:rsidRPr="00000000" w:rsidDel="00000000" w:rsidR="00000000">
        <w:rPr>
          <w:rtl w:val="0"/>
        </w:rPr>
      </w:r>
    </w:p>
    <w:p w:rsidRPr="00000000" w:rsidR="00000000" w:rsidDel="00000000" w:rsidP="00000000" w:rsidRDefault="00000000" w14:paraId="0000010C">
      <w:pPr>
        <w:numPr>
          <w:ilvl w:val="2"/>
          <w:numId w:val="7"/>
        </w:numPr>
        <w:spacing w:after="100" w:line="276" w:lineRule="auto"/>
        <w:ind w:left="720" w:hanging="720"/>
      </w:pPr>
      <w:r w:rsidRPr="00000000" w:rsidDel="00000000" w:rsidR="00000000">
        <w:rPr>
          <w:rtl w:val="0"/>
        </w:rPr>
        <w:t xml:space="preserve">Digital Assets (or cryptocurrencies) have benefits, including making payments faster and less expensive and providing alternative methods for Customers to access financial products.  As with traditional assets, criminals can misuse Digital Assets for money laundering and terrorist financing. </w:t>
      </w:r>
    </w:p>
    <w:p w:rsidRPr="00000000" w:rsidR="00000000" w:rsidDel="00000000" w:rsidP="00000000" w:rsidRDefault="00000000" w14:paraId="0000010D">
      <w:pPr>
        <w:numPr>
          <w:ilvl w:val="2"/>
          <w:numId w:val="7"/>
        </w:numPr>
        <w:spacing w:after="100" w:line="276" w:lineRule="auto"/>
        <w:ind w:left="720" w:hanging="720"/>
      </w:pPr>
      <w:r w:rsidRPr="00000000" w:rsidDel="00000000" w:rsidR="00000000">
        <w:rPr>
          <w:rtl w:val="0"/>
        </w:rPr>
        <w:t xml:space="preserve">The ADGM AML Rulebook emphasizes understanding these vulnerabilities when designing AML/CTF controls.</w:t>
      </w:r>
    </w:p>
    <w:p w:rsidRPr="00000000" w:rsidR="00000000" w:rsidDel="00000000" w:rsidP="00000000" w:rsidRDefault="00000000" w14:paraId="0000010E">
      <w:pPr>
        <w:numPr>
          <w:ilvl w:val="2"/>
          <w:numId w:val="7"/>
        </w:numPr>
        <w:spacing w:after="100" w:line="276" w:lineRule="auto"/>
        <w:ind w:left="720" w:hanging="720"/>
      </w:pPr>
      <w:r w:rsidRPr="00000000" w:rsidDel="00000000" w:rsidR="00000000">
        <w:rPr>
          <w:rtl w:val="0"/>
        </w:rPr>
        <w:t xml:space="preserve">The distinct features of Digital Assets and vulnerabilities that criminals currently seek to exploit the most are: </w:t>
      </w:r>
    </w:p>
    <w:p w:rsidRPr="00000000" w:rsidR="00000000" w:rsidDel="00000000" w:rsidP="00000000" w:rsidRDefault="00000000" w14:paraId="0000010F">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Digital Assets allow for an almost instantaneous global reach and greater privacy than traditional electronic and non-Cash payment methods or money-based products, as they can be traded on the internet in non-face-to-face relationships; </w:t>
      </w:r>
      <w:r w:rsidRPr="00000000" w:rsidDel="00000000" w:rsidR="00000000">
        <w:rPr>
          <w:rtl w:val="0"/>
        </w:rPr>
      </w:r>
    </w:p>
    <w:p w:rsidRPr="00000000" w:rsidR="00000000" w:rsidDel="00000000" w:rsidP="00000000" w:rsidRDefault="00000000" w14:paraId="00000110">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Transactions involving Digital Assets may permit pseudo-anonymous funding of illicit activities or may themselves be funded from illicit activities;</w:t>
      </w:r>
      <w:r w:rsidRPr="00000000" w:rsidDel="00000000" w:rsidR="00000000">
        <w:rPr>
          <w:rtl w:val="0"/>
        </w:rPr>
      </w:r>
    </w:p>
    <w:p w:rsidRPr="00000000" w:rsidR="00000000" w:rsidDel="00000000" w:rsidP="00000000" w:rsidRDefault="00000000" w14:paraId="00000111">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Reliance on Blockchain technology and complex infrastructures, which may involve several entities and across several countries, to transfer funds or execute payments; thus, making policing and monitoring Transactions extremely difficult for those who do not understand the technology deployed and rationale for the process flow;</w:t>
      </w:r>
      <w:r w:rsidRPr="00000000" w:rsidDel="00000000" w:rsidR="00000000">
        <w:rPr>
          <w:rtl w:val="0"/>
        </w:rPr>
      </w:r>
    </w:p>
    <w:p w:rsidRPr="00000000" w:rsidR="00000000" w:rsidDel="00000000" w:rsidP="00000000" w:rsidRDefault="00000000" w14:paraId="00000112">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Use of additional technology, software and anonymisation techniques that may obscure the true Customer or the owner of the e-wallet, as well as to increase the risk of personation.</w:t>
      </w:r>
      <w:r w:rsidRPr="00000000" w:rsidDel="00000000" w:rsidR="00000000">
        <w:rPr>
          <w:rtl w:val="0"/>
        </w:rPr>
      </w:r>
    </w:p>
    <w:p w:rsidRPr="00000000" w:rsidR="00000000" w:rsidDel="00000000" w:rsidP="00000000" w:rsidRDefault="00000000" w14:paraId="00000113">
      <w:pPr>
        <w:numPr>
          <w:ilvl w:val="2"/>
          <w:numId w:val="7"/>
        </w:numPr>
        <w:spacing w:after="100" w:line="276" w:lineRule="auto"/>
        <w:ind w:left="720" w:hanging="720"/>
      </w:pPr>
      <w:r w:rsidRPr="00000000" w:rsidDel="00000000" w:rsidR="00000000">
        <w:rPr>
          <w:rtl w:val="0"/>
        </w:rPr>
        <w:t xml:space="preserve">The inherent pseudo-anonymity of cryptocurrencies is recognised as a major obstacle for law enforcement to trace Digital Asset-denominated Transactions used to buy and sell various contraband and to engage in subsequent laundering and further illicit activities.</w:t>
      </w:r>
    </w:p>
    <w:p w:rsidRPr="00000000" w:rsidR="00000000" w:rsidDel="00000000" w:rsidP="00000000" w:rsidRDefault="00000000" w14:paraId="00000114">
      <w:pPr>
        <w:pStyle w:val="Heading2"/>
        <w:numPr>
          <w:ilvl w:val="1"/>
          <w:numId w:val="7"/>
        </w:numPr>
        <w:spacing w:before="200" w:lineRule="auto"/>
        <w:ind w:left="720" w:hanging="720"/>
        <w:rPr/>
      </w:pPr>
      <w:bookmarkStart w:name="_heading=h.ymcg4m9czefn" w:colFirst="0" w:colLast="0" w:id="8"/>
      <w:bookmarkEnd w:id="8"/>
      <w:r w:rsidRPr="00000000" w:rsidDel="00000000" w:rsidR="00000000">
        <w:rPr>
          <w:sz w:val="24"/>
          <w:szCs w:val="24"/>
          <w:rtl w:val="0"/>
        </w:rPr>
        <w:t xml:space="preserve">Money Laundering, Terrorist and Proliferation Financing and Sanctions</w:t>
      </w:r>
      <w:r w:rsidRPr="00000000" w:rsidDel="00000000" w:rsidR="00000000">
        <w:rPr>
          <w:rtl w:val="0"/>
        </w:rPr>
      </w:r>
    </w:p>
    <w:p w:rsidRPr="00000000" w:rsidR="00000000" w:rsidDel="00000000" w:rsidP="00000000" w:rsidRDefault="00000000" w14:paraId="00000115">
      <w:pPr>
        <w:numPr>
          <w:ilvl w:val="2"/>
          <w:numId w:val="7"/>
        </w:numPr>
        <w:spacing w:after="100" w:line="276" w:lineRule="auto"/>
        <w:ind w:left="720" w:hanging="720"/>
      </w:pPr>
      <w:r w:rsidRPr="00000000" w:rsidDel="00000000" w:rsidR="00000000">
        <w:rPr>
          <w:rtl w:val="0"/>
        </w:rPr>
        <w:t xml:space="preserve">“</w:t>
      </w:r>
      <w:r w:rsidRPr="00000000" w:rsidDel="00000000" w:rsidR="00000000">
        <w:rPr>
          <w:b w:val="1"/>
          <w:bCs w:val="1"/>
          <w:rtl w:val="0"/>
        </w:rPr>
        <w:t xml:space="preserve">Money Laundering (ML)</w:t>
      </w:r>
      <w:r w:rsidRPr="00000000" w:rsidDel="00000000" w:rsidR="00000000">
        <w:rPr>
          <w:rtl w:val="0"/>
        </w:rPr>
        <w:t xml:space="preserve">” is defined as any act involving the transfer, conversation, concealment, or acquisition of property knowing that it is derived from a criminal activity or from participation in such activity, with the aim of disguising the illicit origin of the property.  Essentially, ML is a process intended to mask the benefits derived from criminal conduct so that they appear to have originated from a legitimate source. </w:t>
      </w:r>
    </w:p>
    <w:p w:rsidRPr="00000000" w:rsidR="00000000" w:rsidDel="00000000" w:rsidP="00000000" w:rsidRDefault="00000000" w14:paraId="00000116">
      <w:pPr>
        <w:numPr>
          <w:ilvl w:val="2"/>
          <w:numId w:val="7"/>
        </w:numPr>
        <w:spacing w:after="100" w:line="276" w:lineRule="auto"/>
        <w:ind w:left="720" w:hanging="720"/>
      </w:pPr>
      <w:r w:rsidRPr="00000000" w:rsidDel="00000000" w:rsidR="00000000">
        <w:rPr>
          <w:rtl w:val="0"/>
        </w:rPr>
        <w:t xml:space="preserve"> The process of ML generally comprises three stages, namely: </w:t>
      </w:r>
    </w:p>
    <w:p w:rsidRPr="00000000" w:rsidR="00000000" w:rsidDel="00000000" w:rsidP="00000000" w:rsidRDefault="00000000" w14:paraId="00000117">
      <w:pPr>
        <w:pStyle w:val="Heading4"/>
        <w:numPr>
          <w:ilvl w:val="3"/>
          <w:numId w:val="7"/>
        </w:numPr>
        <w:spacing w:after="100" w:line="276" w:lineRule="auto"/>
        <w:ind w:left="1440" w:hanging="450"/>
        <w:rPr/>
      </w:pPr>
      <w:bookmarkStart w:name="_heading=h.xjunokgvv2zj" w:colFirst="0" w:colLast="0" w:id="9"/>
      <w:bookmarkEnd w:id="9"/>
      <w:r w:rsidRPr="00000000" w:rsidDel="00000000" w:rsidR="00000000">
        <w:rPr>
          <w:b w:val="1"/>
          <w:bCs w:val="1"/>
          <w:u w:val="single"/>
          <w:rtl w:val="0"/>
        </w:rPr>
        <w:t xml:space="preserve">Placement</w:t>
      </w:r>
      <w:r w:rsidRPr="00000000" w:rsidDel="00000000" w:rsidR="00000000">
        <w:rPr>
          <w:rtl w:val="0"/>
        </w:rPr>
        <w:t xml:space="preserve">:  introducing illicit funds into the finance system (e.g. depositing Fiat Currency into a financial institution or converting it to Digital Assets through exchanges or P2P platforms). </w:t>
      </w:r>
    </w:p>
    <w:p w:rsidRPr="00000000" w:rsidR="00000000" w:rsidDel="00000000" w:rsidP="00000000" w:rsidRDefault="00000000" w14:paraId="00000118">
      <w:pPr>
        <w:pStyle w:val="Heading4"/>
        <w:numPr>
          <w:ilvl w:val="3"/>
          <w:numId w:val="7"/>
        </w:numPr>
        <w:spacing w:after="100" w:line="276" w:lineRule="auto"/>
        <w:ind w:left="1440" w:hanging="450"/>
        <w:rPr/>
      </w:pPr>
      <w:bookmarkStart w:name="_heading=h.z3yuosgdad73" w:colFirst="0" w:colLast="0" w:id="10"/>
      <w:bookmarkEnd w:id="10"/>
      <w:r w:rsidRPr="00000000" w:rsidDel="00000000" w:rsidR="00000000">
        <w:rPr>
          <w:b w:val="1"/>
          <w:bCs w:val="1"/>
          <w:u w:val="single"/>
          <w:rtl w:val="0"/>
        </w:rPr>
        <w:t xml:space="preserve">Layering</w:t>
      </w:r>
      <w:r w:rsidRPr="00000000" w:rsidDel="00000000" w:rsidR="00000000">
        <w:rPr>
          <w:rtl w:val="0"/>
        </w:rPr>
        <w:t xml:space="preserve">:  separating illicit proceeds from their original source by moving them through a complex series of financial transactions.  (e.g. transferring or moving the Fiat Currency or Digital Assets into E-wallets, other accounts or other financial institutions to further separate the Fiat Currency or Digital Asset from its criminal origin).</w:t>
      </w:r>
    </w:p>
    <w:p w:rsidRPr="00000000" w:rsidR="00000000" w:rsidDel="00000000" w:rsidP="00000000" w:rsidRDefault="00000000" w14:paraId="00000119">
      <w:pPr>
        <w:pStyle w:val="Heading4"/>
        <w:numPr>
          <w:ilvl w:val="3"/>
          <w:numId w:val="7"/>
        </w:numPr>
        <w:spacing w:after="100" w:line="276" w:lineRule="auto"/>
        <w:ind w:left="1440" w:hanging="450"/>
        <w:rPr>
          <w:sz w:val="24"/>
          <w:szCs w:val="24"/>
        </w:rPr>
      </w:pPr>
      <w:bookmarkStart w:name="_heading=h.t3gt66pzyx63" w:colFirst="0" w:colLast="0" w:id="11"/>
      <w:bookmarkEnd w:id="11"/>
      <w:r w:rsidRPr="00000000" w:rsidDel="00000000" w:rsidR="00000000">
        <w:rPr>
          <w:b w:val="1"/>
          <w:bCs w:val="1"/>
          <w:u w:val="single"/>
          <w:rtl w:val="0"/>
        </w:rPr>
        <w:t xml:space="preserve">Integration</w:t>
      </w:r>
      <w:r w:rsidRPr="00000000" w:rsidDel="00000000" w:rsidR="00000000">
        <w:rPr>
          <w:rtl w:val="0"/>
        </w:rPr>
        <w:t xml:space="preserve">:  reintroducing laundered funds into the legitimate economy (e.g purchasing legitimate assets (large value items) or investing in legitimate businesses).</w:t>
      </w:r>
      <w:r w:rsidRPr="00000000" w:rsidDel="00000000" w:rsidR="00000000">
        <w:rPr>
          <w:rtl w:val="0"/>
        </w:rPr>
      </w:r>
    </w:p>
    <w:p w:rsidRPr="00000000" w:rsidR="00000000" w:rsidDel="00000000" w:rsidP="00000000" w:rsidRDefault="00000000" w14:paraId="0000011A">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bzu3012y5eq3" w:colFirst="0" w:colLast="0" w:id="12"/>
      <w:bookmarkEnd w:id="12"/>
      <w:r w:rsidRPr="00000000" w:rsidDel="00000000" w:rsidR="00000000">
        <w:rPr>
          <w:sz w:val="24"/>
          <w:szCs w:val="24"/>
          <w:rtl w:val="0"/>
        </w:rPr>
        <w:t xml:space="preserve">Terrorist Financing</w:t>
      </w:r>
      <w:r w:rsidRPr="00000000" w:rsidDel="00000000" w:rsidR="00000000">
        <w:rPr>
          <w:rtl w:val="0"/>
        </w:rPr>
      </w:r>
    </w:p>
    <w:p w:rsidRPr="00000000" w:rsidR="00000000" w:rsidDel="00000000" w:rsidP="00000000" w:rsidRDefault="00000000" w14:paraId="0000011B">
      <w:pPr>
        <w:keepNext w:val="1"/>
        <w:numPr>
          <w:ilvl w:val="2"/>
          <w:numId w:val="7"/>
        </w:numPr>
        <w:spacing w:after="100" w:line="276" w:lineRule="auto"/>
        <w:ind w:left="720" w:hanging="720"/>
      </w:pPr>
      <w:r w:rsidRPr="00000000" w:rsidDel="00000000" w:rsidR="00000000">
        <w:rPr>
          <w:rtl w:val="0"/>
        </w:rPr>
        <w:t xml:space="preserve">“</w:t>
      </w:r>
      <w:r w:rsidRPr="00000000" w:rsidDel="00000000" w:rsidR="00000000">
        <w:rPr>
          <w:b w:val="1"/>
          <w:bCs w:val="1"/>
          <w:rtl w:val="0"/>
        </w:rPr>
        <w:t xml:space="preserve">Terrorist Financing (TF)</w:t>
      </w:r>
      <w:r w:rsidRPr="00000000" w:rsidDel="00000000" w:rsidR="00000000">
        <w:rPr>
          <w:rtl w:val="0"/>
        </w:rPr>
        <w:t xml:space="preserve">” involves the provision or collection of funds with the intention that they be used to carry out terrorist acts, regardless of whether the funds are derived from a legitimate or illegitimate source.  TF is ideology based, as opposed to financial based (as is generally the motivation for most crimes associated with ML).  The UAE and ADGM frameworks require institutions to detect and report TF activities, even where the financial value involved is low.</w:t>
      </w:r>
    </w:p>
    <w:p w:rsidRPr="00000000" w:rsidR="00000000" w:rsidDel="00000000" w:rsidP="00000000" w:rsidRDefault="00000000" w14:paraId="0000011C">
      <w:pPr>
        <w:numPr>
          <w:ilvl w:val="2"/>
          <w:numId w:val="7"/>
        </w:numPr>
        <w:spacing w:after="100" w:line="276" w:lineRule="auto"/>
        <w:ind w:left="720" w:hanging="720"/>
      </w:pPr>
      <w:r w:rsidRPr="00000000" w:rsidDel="00000000" w:rsidR="00000000">
        <w:rPr>
          <w:rtl w:val="0"/>
        </w:rPr>
        <w:t xml:space="preserve">Terrorist groups typically develop sources of funding that are mobile to ensure that those funds can be used to obtain material and other logistical items needed to commit terrorist acts.  Consequently, ML techniques are frequently integrated into TF operations to obscure the origins and intended use of funds.</w:t>
      </w:r>
    </w:p>
    <w:p w:rsidRPr="00000000" w:rsidR="00000000" w:rsidDel="00000000" w:rsidP="00000000" w:rsidRDefault="00000000" w14:paraId="0000011D">
      <w:pPr>
        <w:numPr>
          <w:ilvl w:val="2"/>
          <w:numId w:val="7"/>
        </w:numPr>
        <w:spacing w:after="100" w:line="276" w:lineRule="auto"/>
        <w:ind w:left="720" w:hanging="720"/>
      </w:pPr>
      <w:r w:rsidRPr="00000000" w:rsidDel="00000000" w:rsidR="00000000">
        <w:rPr>
          <w:rtl w:val="0"/>
        </w:rPr>
        <w:t xml:space="preserve">Unlike traditional ML, TF may involve funds from lawful sources such as charitable donations, business revenues, or personal income.  Despite differences in origin, the methods used to transfer and conceal TF funds often resemble those used in ML schemes.  Moreover, terrorist operations may be carried out with relatively small sums and straightforward t</w:t>
      </w:r>
      <w:r w:rsidRPr="00000000" w:rsidDel="00000000" w:rsidR="00000000">
        <w:rPr>
          <w:rtl w:val="0"/>
        </w:rPr>
        <w:t xml:space="preserve">ransactions</w:t>
      </w:r>
      <w:r w:rsidRPr="00000000" w:rsidDel="00000000" w:rsidR="00000000">
        <w:rPr>
          <w:rtl w:val="0"/>
        </w:rPr>
        <w:t xml:space="preserve">, making detection particularly challenging.</w:t>
      </w:r>
    </w:p>
    <w:p w:rsidRPr="00000000" w:rsidR="00000000" w:rsidDel="00000000" w:rsidP="00000000" w:rsidRDefault="00000000" w14:paraId="0000011E">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l7hc6s7cc2io" w:colFirst="0" w:colLast="0" w:id="13"/>
      <w:bookmarkEnd w:id="13"/>
      <w:r w:rsidRPr="00000000" w:rsidDel="00000000" w:rsidR="00000000">
        <w:rPr>
          <w:sz w:val="24"/>
          <w:szCs w:val="24"/>
          <w:rtl w:val="0"/>
        </w:rPr>
        <w:t xml:space="preserve">Proliferation Financing</w:t>
      </w:r>
      <w:r w:rsidRPr="00000000" w:rsidDel="00000000" w:rsidR="00000000">
        <w:rPr>
          <w:rtl w:val="0"/>
        </w:rPr>
      </w:r>
    </w:p>
    <w:p w:rsidRPr="00000000" w:rsidR="00000000" w:rsidDel="00000000" w:rsidP="00000000" w:rsidRDefault="00000000" w14:paraId="0000011F">
      <w:pPr>
        <w:numPr>
          <w:ilvl w:val="2"/>
          <w:numId w:val="7"/>
        </w:numPr>
        <w:spacing w:after="100" w:line="276" w:lineRule="auto"/>
        <w:ind w:left="720" w:hanging="720"/>
      </w:pPr>
      <w:r w:rsidRPr="00000000" w:rsidDel="00000000" w:rsidR="00000000">
        <w:rPr>
          <w:rtl w:val="0"/>
        </w:rPr>
        <w:t xml:space="preserve">“</w:t>
      </w:r>
      <w:r w:rsidRPr="00000000" w:rsidDel="00000000" w:rsidR="00000000">
        <w:rPr>
          <w:b w:val="1"/>
          <w:bCs w:val="1"/>
          <w:rtl w:val="0"/>
        </w:rPr>
        <w:t xml:space="preserve">Proliferation financing (PF)</w:t>
      </w:r>
      <w:r w:rsidRPr="00000000" w:rsidDel="00000000" w:rsidR="00000000">
        <w:rPr>
          <w:rtl w:val="0"/>
        </w:rPr>
        <w:t xml:space="preserve">”</w:t>
      </w:r>
      <w:r w:rsidRPr="00000000" w:rsidDel="00000000" w:rsidR="00000000">
        <w:rPr>
          <w:vertAlign w:val="superscript"/>
        </w:rPr>
        <w:footnoteReference w:customMarkFollows="0" w:id="1"/>
      </w:r>
      <w:r w:rsidRPr="00000000" w:rsidDel="00000000" w:rsidR="00000000">
        <w:rPr>
          <w:rtl w:val="0"/>
        </w:rPr>
        <w:t xml:space="preserve"> refers to the act of raising, moving, or making available funds, other assets or other economic resources, or financing, in whole or in part, to persons or entities for purposes of Weapons of Mass Destruction (WMD) proliferation, including the proliferation of their means of delivery or related materials (including both dual-use technologies and dual-use goods for non-legitimate purposes).  PF may also involve the manufacture, acquisition, development, transport, or use of nuclear, chemical, or biological weapons and their means of delivery, including dual-use goods and technologies for non-legitimate purposes.</w:t>
      </w:r>
    </w:p>
    <w:p w:rsidRPr="00000000" w:rsidR="00000000" w:rsidDel="00000000" w:rsidP="00000000" w:rsidRDefault="00000000" w14:paraId="00000120">
      <w:pPr>
        <w:numPr>
          <w:ilvl w:val="2"/>
          <w:numId w:val="7"/>
        </w:numPr>
        <w:spacing w:after="100" w:line="276" w:lineRule="auto"/>
        <w:ind w:left="720" w:hanging="720"/>
      </w:pPr>
      <w:r w:rsidRPr="00000000" w:rsidDel="00000000" w:rsidR="00000000">
        <w:rPr>
          <w:rtl w:val="0"/>
        </w:rPr>
        <w:t xml:space="preserve">Due to the complexity and international nature of PF networks, institutions should ensure staff are trained to recognise red flags and that appropriate escalation and reporting mechanisms are in place.</w:t>
      </w:r>
    </w:p>
    <w:p w:rsidRPr="00000000" w:rsidR="00000000" w:rsidDel="00000000" w:rsidP="00000000" w:rsidRDefault="00000000" w14:paraId="00000121">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98blwq5tkpln" w:colFirst="0" w:colLast="0" w:id="14"/>
      <w:bookmarkEnd w:id="14"/>
      <w:r w:rsidRPr="00000000" w:rsidDel="00000000" w:rsidR="00000000">
        <w:rPr>
          <w:sz w:val="24"/>
          <w:szCs w:val="24"/>
          <w:rtl w:val="0"/>
        </w:rPr>
        <w:t xml:space="preserve">Sanctions</w:t>
      </w:r>
      <w:r w:rsidRPr="00000000" w:rsidDel="00000000" w:rsidR="00000000">
        <w:rPr>
          <w:rtl w:val="0"/>
        </w:rPr>
        <w:t xml:space="preserve"> </w:t>
      </w:r>
    </w:p>
    <w:p w:rsidRPr="00000000" w:rsidR="00000000" w:rsidDel="00000000" w:rsidP="00000000" w:rsidRDefault="00000000" w14:paraId="00000122">
      <w:pPr>
        <w:numPr>
          <w:ilvl w:val="2"/>
          <w:numId w:val="7"/>
        </w:numPr>
        <w:spacing w:after="100" w:line="276" w:lineRule="auto"/>
        <w:ind w:left="720" w:hanging="720"/>
      </w:pPr>
      <w:r w:rsidRPr="00000000" w:rsidDel="00000000" w:rsidR="00000000">
        <w:rPr>
          <w:rtl w:val="0"/>
        </w:rPr>
        <w:t xml:space="preserve">Sanctions are a policy tool that national governments use to constrain and deter perceived security threats, to prevent or suppress criminal activity, or to encourage a change in, or to apply pressure on, a target country or regime.  While national and international sanctions regimes vary in their content, rules, and restrictions, they generally fall into the following three program categories:</w:t>
      </w:r>
    </w:p>
    <w:p w:rsidRPr="00000000" w:rsidR="00000000" w:rsidDel="00000000" w:rsidP="00000000" w:rsidRDefault="00000000" w14:paraId="00000123">
      <w:pPr>
        <w:pStyle w:val="Heading5"/>
        <w:numPr>
          <w:ilvl w:val="4"/>
          <w:numId w:val="7"/>
        </w:numPr>
        <w:spacing w:after="100" w:line="276" w:lineRule="auto"/>
        <w:ind w:left="1440" w:hanging="450"/>
        <w:rPr/>
      </w:pPr>
      <w:bookmarkStart w:name="_heading=h.iow96lol5sxp" w:colFirst="0" w:colLast="0" w:id="15"/>
      <w:bookmarkEnd w:id="15"/>
      <w:r w:rsidRPr="00000000" w:rsidDel="00000000" w:rsidR="00000000">
        <w:rPr>
          <w:rtl w:val="0"/>
        </w:rPr>
        <w:t xml:space="preserve">Comprehensive Sanctions (the countries or territories comprehensively targeted by these programs are defined as “</w:t>
      </w:r>
      <w:r w:rsidRPr="00000000" w:rsidDel="00000000" w:rsidR="00000000">
        <w:rPr>
          <w:b w:val="1"/>
          <w:bCs w:val="1"/>
          <w:rtl w:val="0"/>
        </w:rPr>
        <w:t xml:space="preserve">Sensitive Sanctioned Country</w:t>
      </w:r>
      <w:r w:rsidRPr="00000000" w:rsidDel="00000000" w:rsidR="00000000">
        <w:rPr>
          <w:rtl w:val="0"/>
        </w:rPr>
        <w:t xml:space="preserve">” or “</w:t>
      </w:r>
      <w:r w:rsidRPr="00000000" w:rsidDel="00000000" w:rsidR="00000000">
        <w:rPr>
          <w:b w:val="1"/>
          <w:bCs w:val="1"/>
          <w:rtl w:val="0"/>
        </w:rPr>
        <w:t xml:space="preserve">SSC</w:t>
      </w:r>
      <w:r w:rsidRPr="00000000" w:rsidDel="00000000" w:rsidR="00000000">
        <w:rPr>
          <w:rtl w:val="0"/>
        </w:rPr>
        <w:t xml:space="preserve">”);</w:t>
      </w:r>
    </w:p>
    <w:p w:rsidRPr="00000000" w:rsidR="00000000" w:rsidDel="00000000" w:rsidP="00000000" w:rsidRDefault="00000000" w14:paraId="00000124">
      <w:pPr>
        <w:pStyle w:val="Heading5"/>
        <w:numPr>
          <w:ilvl w:val="4"/>
          <w:numId w:val="7"/>
        </w:numPr>
        <w:spacing w:after="100" w:line="276" w:lineRule="auto"/>
        <w:ind w:left="1440" w:hanging="450"/>
        <w:rPr/>
      </w:pPr>
      <w:bookmarkStart w:name="_heading=h.u54uilij64jf" w:colFirst="0" w:colLast="0" w:id="16"/>
      <w:bookmarkEnd w:id="16"/>
      <w:r w:rsidRPr="00000000" w:rsidDel="00000000" w:rsidR="00000000">
        <w:rPr>
          <w:rtl w:val="0"/>
        </w:rPr>
        <w:t xml:space="preserve">Selective Sanctions (activity target based); and</w:t>
      </w:r>
    </w:p>
    <w:p w:rsidRPr="00000000" w:rsidR="00000000" w:rsidDel="00000000" w:rsidP="00000000" w:rsidRDefault="00000000" w14:paraId="00000125">
      <w:pPr>
        <w:pStyle w:val="Heading5"/>
        <w:numPr>
          <w:ilvl w:val="4"/>
          <w:numId w:val="7"/>
        </w:numPr>
        <w:spacing w:after="100" w:line="276" w:lineRule="auto"/>
        <w:ind w:left="1440" w:hanging="450"/>
        <w:rPr/>
      </w:pPr>
      <w:bookmarkStart w:name="_heading=h.cxlygy5qxfud" w:colFirst="0" w:colLast="0" w:id="17"/>
      <w:bookmarkEnd w:id="17"/>
      <w:r w:rsidRPr="00000000" w:rsidDel="00000000" w:rsidR="00000000">
        <w:rPr>
          <w:rtl w:val="0"/>
        </w:rPr>
        <w:t xml:space="preserve">List-based Sanctions (country regime, individual/entity or activity based).</w:t>
      </w:r>
    </w:p>
    <w:p w:rsidRPr="00000000" w:rsidR="00000000" w:rsidDel="00000000" w:rsidP="00000000" w:rsidRDefault="00000000" w14:paraId="00000126">
      <w:pPr>
        <w:numPr>
          <w:ilvl w:val="2"/>
          <w:numId w:val="7"/>
        </w:numPr>
        <w:spacing w:after="100" w:line="276" w:lineRule="auto"/>
        <w:ind w:left="720"/>
      </w:pPr>
      <w:r w:rsidRPr="00000000" w:rsidDel="00000000" w:rsidR="00000000">
        <w:rPr>
          <w:rtl w:val="0"/>
        </w:rPr>
        <w:t xml:space="preserve">The ADGM entities comply with sanctions laws and regulations of the United Arab Emirates (“</w:t>
      </w:r>
      <w:r w:rsidRPr="00000000" w:rsidDel="00000000" w:rsidR="00000000">
        <w:rPr>
          <w:b w:val="1"/>
          <w:bCs w:val="1"/>
          <w:rtl w:val="0"/>
        </w:rPr>
        <w:t xml:space="preserve">UAE</w:t>
      </w:r>
      <w:r w:rsidRPr="00000000" w:rsidDel="00000000" w:rsidR="00000000">
        <w:rPr>
          <w:rtl w:val="0"/>
        </w:rPr>
        <w:t xml:space="preserve">”) and the corresponding provisions of the ADGM Rulebook and Guidance on Targeted Financial Sanctions (“</w:t>
      </w:r>
      <w:r w:rsidRPr="00000000" w:rsidDel="00000000" w:rsidR="00000000">
        <w:rPr>
          <w:b w:val="1"/>
          <w:bCs w:val="1"/>
          <w:rtl w:val="0"/>
        </w:rPr>
        <w:t xml:space="preserve">Guidance on TFS</w:t>
      </w:r>
      <w:r w:rsidRPr="00000000" w:rsidDel="00000000" w:rsidR="00000000">
        <w:rPr>
          <w:rtl w:val="0"/>
        </w:rPr>
        <w:t xml:space="preserve">”) issued by UAE’s EOCN.</w:t>
      </w:r>
      <w:r w:rsidRPr="00000000" w:rsidDel="00000000" w:rsidR="00000000">
        <w:rPr>
          <w:rtl w:val="0"/>
        </w:rPr>
      </w:r>
    </w:p>
    <w:p w:rsidRPr="00000000" w:rsidR="00000000" w:rsidDel="00000000" w:rsidP="00000000" w:rsidRDefault="00000000" w14:paraId="00000127">
      <w:pPr>
        <w:numPr>
          <w:ilvl w:val="2"/>
          <w:numId w:val="7"/>
        </w:numPr>
        <w:spacing w:after="100" w:line="276" w:lineRule="auto"/>
        <w:ind w:left="720" w:hanging="720"/>
      </w:pPr>
      <w:r w:rsidRPr="00000000" w:rsidDel="00000000" w:rsidR="00000000">
        <w:rPr>
          <w:rtl w:val="0"/>
        </w:rPr>
        <w:t xml:space="preserve">The Binance Global Sanctions Policy (“</w:t>
      </w:r>
      <w:r w:rsidRPr="00000000" w:rsidDel="00000000" w:rsidR="00000000">
        <w:rPr>
          <w:b w:val="1"/>
          <w:bCs w:val="1"/>
          <w:rtl w:val="0"/>
        </w:rPr>
        <w:t xml:space="preserve">BGSP</w:t>
      </w:r>
      <w:r w:rsidRPr="00000000" w:rsidDel="00000000" w:rsidR="00000000">
        <w:rPr>
          <w:rtl w:val="0"/>
        </w:rPr>
        <w:t xml:space="preserve">”) sets out the minimum standards required for the Binance Group to conduct its business in compliance with applicable sanctions related laws and regulations in the jurisdictions the Group operates and seeks to prevent the Group from being used by Customers, their counterparties and associated parties to evade or circumvent sanction restrictions and prohibitions.  The BGSP also includes controls and measures deployed to support the Global Financial Crime Compliance Program.</w:t>
      </w:r>
    </w:p>
    <w:p w:rsidRPr="00000000" w:rsidR="00000000" w:rsidDel="00000000" w:rsidP="00000000" w:rsidRDefault="00000000" w14:paraId="00000128">
      <w:pPr>
        <w:numPr>
          <w:ilvl w:val="2"/>
          <w:numId w:val="7"/>
        </w:numPr>
        <w:spacing w:after="100" w:line="276" w:lineRule="auto"/>
        <w:ind w:left="720"/>
      </w:pPr>
      <w:r w:rsidRPr="00000000" w:rsidDel="00000000" w:rsidR="00000000">
        <w:rPr>
          <w:rtl w:val="0"/>
        </w:rPr>
        <w:t xml:space="preserve">All Binance entities must ensure effective screening systems are in place to identify potential sanctions exposure at onboarding and on an ongoing basis, and to report matches promptly in accordance with applicable law and the corresponding requirements of the BGSP and this Global AML Program.</w:t>
      </w:r>
      <w:r w:rsidRPr="00000000" w:rsidDel="00000000" w:rsidR="00000000">
        <w:rPr>
          <w:rtl w:val="0"/>
        </w:rPr>
      </w:r>
    </w:p>
    <w:p w:rsidRPr="00000000" w:rsidR="00000000" w:rsidDel="00000000" w:rsidP="00000000" w:rsidRDefault="00000000" w14:paraId="00000129">
      <w:pPr>
        <w:numPr>
          <w:ilvl w:val="2"/>
          <w:numId w:val="7"/>
        </w:numPr>
        <w:spacing w:after="100" w:line="276" w:lineRule="auto"/>
        <w:ind w:left="720"/>
      </w:pPr>
      <w:r w:rsidRPr="00000000" w:rsidDel="00000000" w:rsidR="00000000">
        <w:rPr>
          <w:rtl w:val="0"/>
        </w:rPr>
        <w:t xml:space="preserve">All Binance entities must be aware that the UAE enforces the United Nations Security Council in full and maintains its own domestic Targeted Financial Sanctions regime. These measures impose asset freezes and financial restrictions on designated individuals and entities to combat terrorism and weapons of mass destruction (“</w:t>
      </w:r>
      <w:r w:rsidRPr="00000000" w:rsidDel="00000000" w:rsidR="00000000">
        <w:rPr>
          <w:b w:val="1"/>
          <w:bCs w:val="1"/>
          <w:rtl w:val="0"/>
        </w:rPr>
        <w:t xml:space="preserve">WMD</w:t>
      </w:r>
      <w:r w:rsidRPr="00000000" w:rsidDel="00000000" w:rsidR="00000000">
        <w:rPr>
          <w:rtl w:val="0"/>
        </w:rPr>
        <w:t xml:space="preserve">”) proliferation.  </w:t>
      </w:r>
      <w:r w:rsidRPr="00000000" w:rsidDel="00000000" w:rsidR="00000000">
        <w:rPr>
          <w:rtl w:val="0"/>
        </w:rPr>
        <w:t xml:space="preserve">Accordingly, all Binance entities in the UAE and ADGM must comply with Targeted Financial Sanctions issued by the United Nations and by the UAE.</w:t>
      </w:r>
      <w:r w:rsidRPr="00000000" w:rsidDel="00000000" w:rsidR="00000000">
        <w:rPr>
          <w:rtl w:val="0"/>
        </w:rPr>
        <w:t xml:space="preserve"> Outside ADGM, other Binance entities must comply with applicable United Nations and Targeted Financial Sanctions in the jurisdictions where they are regulated. </w:t>
      </w:r>
      <w:r w:rsidRPr="00000000" w:rsidDel="00000000" w:rsidR="00000000">
        <w:rPr>
          <w:rtl w:val="0"/>
        </w:rPr>
      </w:r>
    </w:p>
    <w:p w:rsidRPr="00000000" w:rsidR="00000000" w:rsidDel="00000000" w:rsidP="00000000" w:rsidRDefault="00000000" w14:paraId="0000012A">
      <w:pPr>
        <w:pStyle w:val="Heading2"/>
        <w:numPr>
          <w:ilvl w:val="1"/>
          <w:numId w:val="7"/>
        </w:numPr>
        <w:spacing w:before="200" w:lineRule="auto"/>
        <w:ind w:left="720" w:hanging="720"/>
        <w:rPr/>
      </w:pPr>
      <w:bookmarkStart w:name="_heading=h.kjbo05a7c4gw" w:colFirst="0" w:colLast="0" w:id="18"/>
      <w:bookmarkEnd w:id="18"/>
      <w:r w:rsidRPr="00000000" w:rsidDel="00000000" w:rsidR="00000000">
        <w:rPr>
          <w:sz w:val="24"/>
          <w:szCs w:val="24"/>
          <w:rtl w:val="0"/>
        </w:rPr>
        <w:t xml:space="preserve">Financial Crime Compliance</w:t>
      </w:r>
      <w:r w:rsidRPr="00000000" w:rsidDel="00000000" w:rsidR="00000000">
        <w:rPr>
          <w:rtl w:val="0"/>
        </w:rPr>
      </w:r>
    </w:p>
    <w:p w:rsidRPr="00000000" w:rsidR="00000000" w:rsidDel="00000000" w:rsidP="00000000" w:rsidRDefault="00000000" w14:paraId="0000012B">
      <w:pPr>
        <w:numPr>
          <w:ilvl w:val="2"/>
          <w:numId w:val="7"/>
        </w:numPr>
        <w:spacing w:after="100" w:line="276" w:lineRule="auto"/>
        <w:ind w:left="720" w:hanging="720"/>
      </w:pPr>
      <w:r w:rsidRPr="00000000" w:rsidDel="00000000" w:rsidR="00000000">
        <w:rPr>
          <w:rtl w:val="0"/>
        </w:rPr>
        <w:t xml:space="preserve">Financial crime includes ML, TF, PF, sanctions, non-compliance/evasion, bribery and corruption.  A broader view of crimes that are related to ML includes tax crimes (and other related offences), fraud (including cyber-fraud), market abuse, environmental crimes, human trafficking and offences involving child sexual abuse materials.  These are described as “serious crimes” and in most jurisdictions, such as the UAE and ADGM, are considered “predicate offences”.</w:t>
      </w:r>
    </w:p>
    <w:p w:rsidRPr="00000000" w:rsidR="00000000" w:rsidDel="00000000" w:rsidP="00000000" w:rsidRDefault="00000000" w14:paraId="0000012C">
      <w:pPr>
        <w:numPr>
          <w:ilvl w:val="2"/>
          <w:numId w:val="7"/>
        </w:numPr>
        <w:spacing w:after="100" w:line="276" w:lineRule="auto"/>
        <w:ind w:left="720" w:hanging="720"/>
      </w:pPr>
      <w:r w:rsidRPr="00000000" w:rsidDel="00000000" w:rsidR="00000000">
        <w:rPr>
          <w:rtl w:val="0"/>
        </w:rPr>
        <w:t xml:space="preserve">While criminal proceeds may be laundered in many ways, there is an increasing threat where criminal proceeds are now laundered using cryptocurrencies and through cryptocurrencies exchanges and platforms.  The Global AML Program establishes the standards, procedures, controls and measures to prevent Binance Group from being misused to facilitate such Transactions.</w:t>
      </w:r>
    </w:p>
    <w:p w:rsidRPr="00000000" w:rsidR="00000000" w:rsidDel="00000000" w:rsidP="00000000" w:rsidRDefault="00000000" w14:paraId="0000012D">
      <w:pPr>
        <w:numPr>
          <w:ilvl w:val="2"/>
          <w:numId w:val="7"/>
        </w:numPr>
        <w:spacing w:after="100" w:line="276" w:lineRule="auto"/>
        <w:ind w:left="720" w:hanging="720"/>
      </w:pPr>
      <w:r w:rsidRPr="00000000" w:rsidDel="00000000" w:rsidR="00000000">
        <w:rPr>
          <w:rtl w:val="0"/>
        </w:rPr>
        <w:t xml:space="preserve">Cryptocurrencies are also increasingly used for TF and PF, as well as the use of Digital Asset exchanges and platforms to evade and circumvent sanction regulations.  The Global AML Program includes both AML controls and measures as well as controls for CFT.  Given the relatively lower risk of PF to the Group, the Global AML Program includes controls which may be deployed for CPF as part of CTF. </w:t>
      </w:r>
    </w:p>
    <w:p w:rsidRPr="00000000" w:rsidR="00000000" w:rsidDel="00000000" w:rsidP="00000000" w:rsidRDefault="00000000" w14:paraId="0000012E">
      <w:pPr>
        <w:numPr>
          <w:ilvl w:val="2"/>
          <w:numId w:val="7"/>
        </w:numPr>
        <w:spacing w:after="100" w:line="276" w:lineRule="auto"/>
        <w:ind w:left="720" w:hanging="720"/>
      </w:pPr>
      <w:r w:rsidRPr="00000000" w:rsidDel="00000000" w:rsidR="00000000">
        <w:rPr>
          <w:rtl w:val="0"/>
        </w:rPr>
        <w:t xml:space="preserve">Together with the Anti-Bribery and Corruption Policy, the Global AML Policy and the BGSP form Binance Group and its Personnel may face severe penalties for failing to comply with the Global AML Program. </w:t>
      </w:r>
    </w:p>
    <w:p w:rsidRPr="00000000" w:rsidR="00000000" w:rsidDel="00000000" w:rsidP="00000000" w:rsidRDefault="00000000" w14:paraId="0000012F">
      <w:pPr>
        <w:numPr>
          <w:ilvl w:val="2"/>
          <w:numId w:val="7"/>
        </w:numPr>
        <w:spacing w:after="100" w:line="276" w:lineRule="auto"/>
        <w:ind w:left="720" w:hanging="720"/>
      </w:pPr>
      <w:r w:rsidRPr="00000000" w:rsidDel="00000000" w:rsidR="00000000">
        <w:rPr>
          <w:rtl w:val="0"/>
        </w:rPr>
        <w:t xml:space="preserve">While varying by jurisdiction, failure to comply with the Global AML Program can have serious consequences for the Group, its subsidiaries and affiliates and result in significant reputation and regulatory damage.  The consequences may include but are not limited to criminal and civil fines, public censure, reputational damage, forfeiture or confiscation of property involved in, or traceable to, the illegal activity, licence revocation, or other restrictions on operations.</w:t>
      </w:r>
    </w:p>
    <w:p w:rsidRPr="00000000" w:rsidR="00000000" w:rsidDel="00000000" w:rsidP="00000000" w:rsidRDefault="00000000" w14:paraId="00000130">
      <w:pPr>
        <w:numPr>
          <w:ilvl w:val="2"/>
          <w:numId w:val="7"/>
        </w:numPr>
        <w:spacing w:after="100" w:line="276" w:lineRule="auto"/>
        <w:ind w:left="720" w:hanging="720"/>
      </w:pPr>
      <w:r w:rsidRPr="00000000" w:rsidDel="00000000" w:rsidR="00000000">
        <w:rPr>
          <w:rtl w:val="0"/>
        </w:rPr>
        <w:t xml:space="preserve">Policy breaches may trigger serious consequences for Senior Management and individual Personnel.  They may incur individual accountability, and face internal disciplinary action, public censure, revocation of their professional licence (where applicable), and criminal prosecution leading to imprisonment or fines.</w:t>
      </w:r>
    </w:p>
    <w:p w:rsidRPr="00000000" w:rsidR="00000000" w:rsidDel="00000000" w:rsidP="00000000" w:rsidRDefault="00000000" w14:paraId="00000131">
      <w:pPr>
        <w:pStyle w:val="Heading1"/>
        <w:numPr>
          <w:ilvl w:val="0"/>
          <w:numId w:val="7"/>
        </w:numPr>
        <w:spacing w:before="400" w:after="200" w:lineRule="auto"/>
        <w:ind w:left="720" w:hanging="720"/>
        <w:rPr/>
      </w:pPr>
      <w:bookmarkStart w:name="_heading=h.ra31ipcr8sja" w:colFirst="0" w:colLast="0" w:id="19"/>
      <w:bookmarkEnd w:id="19"/>
      <w:r w:rsidRPr="00000000" w:rsidDel="00000000" w:rsidR="00000000">
        <w:rPr>
          <w:sz w:val="28"/>
          <w:szCs w:val="28"/>
          <w:rtl w:val="0"/>
        </w:rPr>
        <w:t xml:space="preserve">GOVERNANCE AND OVERSIGHT</w:t>
      </w:r>
      <w:r w:rsidRPr="00000000" w:rsidDel="00000000" w:rsidR="00000000">
        <w:rPr>
          <w:rtl w:val="0"/>
        </w:rPr>
      </w:r>
    </w:p>
    <w:p w:rsidRPr="00000000" w:rsidR="00000000" w:rsidDel="00000000" w:rsidP="00000000" w:rsidRDefault="00000000" w14:paraId="00000132">
      <w:pPr>
        <w:pStyle w:val="Heading2"/>
        <w:numPr>
          <w:ilvl w:val="1"/>
          <w:numId w:val="7"/>
        </w:numPr>
        <w:spacing w:before="200" w:lineRule="auto"/>
        <w:ind w:left="720" w:hanging="720"/>
        <w:rPr/>
      </w:pPr>
      <w:bookmarkStart w:name="_heading=h.61tjjm7pidzg" w:colFirst="0" w:colLast="0" w:id="20"/>
      <w:bookmarkEnd w:id="20"/>
      <w:r w:rsidRPr="00000000" w:rsidDel="00000000" w:rsidR="00000000">
        <w:rPr>
          <w:sz w:val="24"/>
          <w:szCs w:val="24"/>
          <w:rtl w:val="0"/>
        </w:rPr>
        <w:t xml:space="preserve">General Responsibilities</w:t>
      </w:r>
      <w:r w:rsidRPr="00000000" w:rsidDel="00000000" w:rsidR="00000000">
        <w:rPr>
          <w:rtl w:val="0"/>
        </w:rPr>
      </w:r>
    </w:p>
    <w:p w:rsidRPr="00000000" w:rsidR="00000000" w:rsidDel="00000000" w:rsidP="00000000" w:rsidRDefault="00000000" w14:paraId="00000133">
      <w:pPr>
        <w:numPr>
          <w:ilvl w:val="2"/>
          <w:numId w:val="7"/>
        </w:numPr>
        <w:spacing w:after="100" w:line="276" w:lineRule="auto"/>
        <w:ind w:left="720" w:hanging="720"/>
      </w:pPr>
      <w:r w:rsidRPr="00000000" w:rsidDel="00000000" w:rsidR="00000000">
        <w:rPr>
          <w:rtl w:val="0"/>
        </w:rPr>
        <w:t xml:space="preserve">All Group Personnel (including contingent workers and independent consultants engaged by the Group) are responsible for complying with the Global Financial Crime Compliance Program, all applicable laws and regulations, and for the effective management of financial crime risk within the scope of the direct organizational responsibilities.  No Personnel may be involved in any manner in any activity intended to avoid or circumvent the Global Financial Crime Compliance Program.  Any breach of the Global Financial Crime Compliance Program may, amongst other things, lead to disciplinary actions, loss of employment, potential regulatory censure or criminal liability.</w:t>
      </w:r>
    </w:p>
    <w:p w:rsidRPr="00000000" w:rsidR="00000000" w:rsidDel="00000000" w:rsidP="00000000" w:rsidRDefault="00000000" w14:paraId="00000134">
      <w:pPr>
        <w:keepNext w:val="1"/>
        <w:numPr>
          <w:ilvl w:val="2"/>
          <w:numId w:val="7"/>
        </w:numPr>
        <w:spacing w:after="260" w:line="276" w:lineRule="auto"/>
        <w:ind w:left="720" w:hanging="720"/>
      </w:pPr>
      <w:r w:rsidRPr="00000000" w:rsidDel="00000000" w:rsidR="00000000">
        <w:rPr>
          <w:rtl w:val="0"/>
        </w:rPr>
        <w:t xml:space="preserve">The Group CCO and MLROs of the respective ADGM entities are responsible for assessing emerging issues and risks, developing and implementing AML policies and procedures, establishing and monitoring effective AML systems and controls, ensuring that they are up-to-date and providing personnel appropriate training. .</w:t>
      </w:r>
      <w:r w:rsidRPr="00000000" w:rsidDel="00000000" w:rsidR="00000000">
        <w:rPr>
          <w:rtl w:val="0"/>
        </w:rPr>
      </w:r>
    </w:p>
    <w:p w:rsidRPr="00000000" w:rsidR="00000000" w:rsidDel="00000000" w:rsidP="00000000" w:rsidRDefault="00000000" w14:paraId="00000135">
      <w:pPr>
        <w:keepNext w:val="1"/>
        <w:numPr>
          <w:ilvl w:val="2"/>
          <w:numId w:val="7"/>
        </w:numPr>
        <w:spacing w:after="260" w:line="276" w:lineRule="auto"/>
        <w:ind w:left="720" w:hanging="720"/>
      </w:pPr>
      <w:r w:rsidRPr="00000000" w:rsidDel="00000000" w:rsidR="00000000">
        <w:rPr>
          <w:rtl w:val="0"/>
        </w:rPr>
        <w:t xml:space="preserve">MLROs of ADGM entities report to the respective SEOs and ADGM entity Boards, ensuring both Senior Management and the Directors are properly informed of compliance activities, material incidents, results of audits/reviews and where required, ensuring improvements and corrective actions are implemented. </w:t>
      </w:r>
      <w:r w:rsidRPr="00000000" w:rsidDel="00000000" w:rsidR="00000000">
        <w:rPr>
          <w:rtl w:val="0"/>
        </w:rPr>
      </w:r>
    </w:p>
    <w:p w:rsidRPr="00000000" w:rsidR="00000000" w:rsidDel="00000000" w:rsidP="00000000" w:rsidRDefault="00000000" w14:paraId="00000136">
      <w:pPr>
        <w:numPr>
          <w:ilvl w:val="2"/>
          <w:numId w:val="7"/>
        </w:numPr>
        <w:spacing w:after="100" w:line="276" w:lineRule="auto"/>
        <w:ind w:left="720" w:hanging="720"/>
      </w:pPr>
      <w:r w:rsidRPr="00000000" w:rsidDel="00000000" w:rsidR="00000000">
        <w:rPr>
          <w:rtl w:val="0"/>
        </w:rPr>
        <w:t xml:space="preserve">Personnel must escalate concerns and report potential breaches of the Global Financial Crime Compliance Program to the Global Compliance Department through internal tools and communication channels.  Failure to report may also constitute a breach.</w:t>
      </w:r>
    </w:p>
    <w:p w:rsidRPr="00000000" w:rsidR="00000000" w:rsidDel="00000000" w:rsidP="00000000" w:rsidRDefault="00000000" w14:paraId="00000137">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js5b4v493ywk" w:colFirst="0" w:colLast="0" w:id="21"/>
      <w:bookmarkEnd w:id="21"/>
      <w:r w:rsidRPr="00000000" w:rsidDel="00000000" w:rsidR="00000000">
        <w:rPr>
          <w:sz w:val="24"/>
          <w:szCs w:val="24"/>
          <w:rtl w:val="0"/>
        </w:rPr>
        <w:t xml:space="preserve">Business Level</w:t>
      </w:r>
      <w:r w:rsidRPr="00000000" w:rsidDel="00000000" w:rsidR="00000000">
        <w:rPr>
          <w:rtl w:val="0"/>
        </w:rPr>
      </w:r>
    </w:p>
    <w:p w:rsidRPr="00000000" w:rsidR="00000000" w:rsidDel="00000000" w:rsidP="00000000" w:rsidRDefault="00000000" w14:paraId="00000138">
      <w:pPr>
        <w:numPr>
          <w:ilvl w:val="2"/>
          <w:numId w:val="7"/>
        </w:numPr>
        <w:spacing w:line="276" w:lineRule="auto"/>
        <w:ind w:left="720" w:hanging="720"/>
      </w:pPr>
      <w:r w:rsidRPr="00000000" w:rsidDel="00000000" w:rsidR="00000000">
        <w:rPr>
          <w:rtl w:val="0"/>
        </w:rPr>
        <w:t xml:space="preserve">The functions and the business units identified in and responsible for executing the Global Financial Crime Compliance Program shall determine what additional documentation is needed to ensure compliance with regulatory requirements and business needs.  These documents are retained by Global Compliance in its shared repository for Compliance policies and procedures. </w:t>
      </w:r>
    </w:p>
    <w:p w:rsidRPr="00000000" w:rsidR="00000000" w:rsidDel="00000000" w:rsidP="00000000" w:rsidRDefault="00000000" w14:paraId="00000139">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1ehmysv2bw10" w:colFirst="0" w:colLast="0" w:id="22"/>
      <w:bookmarkEnd w:id="22"/>
      <w:r w:rsidRPr="00000000" w:rsidDel="00000000" w:rsidR="00000000">
        <w:rPr>
          <w:sz w:val="24"/>
          <w:szCs w:val="24"/>
          <w:rtl w:val="0"/>
        </w:rPr>
        <w:t xml:space="preserve">Senior Management Oversight</w:t>
      </w:r>
      <w:r w:rsidRPr="00000000" w:rsidDel="00000000" w:rsidR="00000000">
        <w:rPr>
          <w:rtl w:val="0"/>
        </w:rPr>
      </w:r>
    </w:p>
    <w:p w:rsidRPr="00000000" w:rsidR="00000000" w:rsidDel="00000000" w:rsidP="00000000" w:rsidRDefault="00000000" w14:paraId="0000013A">
      <w:pPr>
        <w:numPr>
          <w:ilvl w:val="2"/>
          <w:numId w:val="7"/>
        </w:numPr>
        <w:spacing w:after="100" w:line="276" w:lineRule="auto"/>
        <w:ind w:left="720" w:hanging="720"/>
      </w:pPr>
      <w:r w:rsidRPr="00000000" w:rsidDel="00000000" w:rsidR="00000000">
        <w:rPr>
          <w:rtl w:val="0"/>
        </w:rPr>
        <w:t xml:space="preserve">Binance Group has established a governance structure to provide appropriate management oversight and governance of the Global Financial Crime Compliance Program</w:t>
      </w:r>
      <w:r w:rsidRPr="00000000" w:rsidDel="00000000" w:rsidR="00000000">
        <w:rPr>
          <w:vertAlign w:val="superscript"/>
        </w:rPr>
        <w:footnoteReference w:customMarkFollows="0" w:id="2"/>
      </w:r>
      <w:r w:rsidRPr="00000000" w:rsidDel="00000000" w:rsidR="00000000">
        <w:rPr>
          <w:rtl w:val="0"/>
        </w:rPr>
        <w:t xml:space="preserve"> at the Senior Management and Binance Board of Directors levels.</w:t>
      </w:r>
    </w:p>
    <w:p w:rsidRPr="00000000" w:rsidR="00000000" w:rsidDel="00000000" w:rsidP="00000000" w:rsidRDefault="00000000" w14:paraId="0000013B">
      <w:pPr>
        <w:numPr>
          <w:ilvl w:val="2"/>
          <w:numId w:val="7"/>
        </w:numPr>
        <w:spacing w:after="100" w:line="276" w:lineRule="auto"/>
        <w:ind w:left="720" w:hanging="720"/>
      </w:pPr>
      <w:r w:rsidRPr="00000000" w:rsidDel="00000000" w:rsidR="00000000">
        <w:rPr>
          <w:highlight w:val="yellow"/>
          <w:rtl w:val="0"/>
        </w:rPr>
        <w:t xml:space="preserve">This Policy must be reviewed and approved, at least annually, by the Binance Board of Directors. Accordingly, the Global Chief Compliance Officer together with the MLROs of the ADGM entities are authorized to approve interim amendments in response to regulatory or risk developments. </w:t>
      </w:r>
      <w:r w:rsidRPr="00000000" w:rsidDel="00000000" w:rsidR="00000000">
        <w:rPr>
          <w:rtl w:val="0"/>
        </w:rPr>
        <w:t xml:space="preserve">To that end, Senior Management:</w:t>
      </w:r>
    </w:p>
    <w:p w:rsidRPr="00000000" w:rsidR="00000000" w:rsidDel="00000000" w:rsidP="00000000" w:rsidRDefault="00000000" w14:paraId="0000013C">
      <w:pPr>
        <w:pStyle w:val="Heading4"/>
        <w:numPr>
          <w:ilvl w:val="3"/>
          <w:numId w:val="7"/>
        </w:numPr>
        <w:spacing w:after="100" w:line="276" w:lineRule="auto"/>
        <w:ind w:left="1440" w:hanging="450"/>
        <w:rPr/>
      </w:pPr>
      <w:r w:rsidRPr="00000000" w:rsidDel="00000000" w:rsidR="00000000">
        <w:rPr>
          <w:rtl w:val="0"/>
        </w:rPr>
        <w:t xml:space="preserve">must receive thorough and timely reporting on the Group’s Global Compliance initiatives, issues, and any significant deficiencies (including regulatory breaches);</w:t>
      </w:r>
    </w:p>
    <w:p w:rsidRPr="00000000" w:rsidR="00000000" w:rsidDel="00000000" w:rsidP="00000000" w:rsidRDefault="00000000" w14:paraId="0000013D">
      <w:pPr>
        <w:pStyle w:val="Heading4"/>
        <w:numPr>
          <w:ilvl w:val="3"/>
          <w:numId w:val="7"/>
        </w:numPr>
        <w:spacing w:after="100" w:line="276" w:lineRule="auto"/>
        <w:ind w:left="1440" w:hanging="450"/>
        <w:rPr/>
      </w:pPr>
      <w:r w:rsidRPr="00000000" w:rsidDel="00000000" w:rsidR="00000000">
        <w:rPr>
          <w:rtl w:val="0"/>
        </w:rPr>
        <w:t xml:space="preserve">must be responsible for prioritising, implementing, and maintaining the Global Financial Crime Compliance Program, ensuring it is effective and that the Compliance function has sufficient authority, independence, and resources;</w:t>
      </w:r>
    </w:p>
    <w:p w:rsidRPr="00000000" w:rsidR="00000000" w:rsidDel="00000000" w:rsidP="00000000" w:rsidRDefault="00000000" w14:paraId="0000013E">
      <w:pPr>
        <w:pStyle w:val="Heading4"/>
        <w:numPr>
          <w:ilvl w:val="3"/>
          <w:numId w:val="7"/>
        </w:numPr>
        <w:spacing w:after="100" w:line="276" w:lineRule="auto"/>
        <w:ind w:left="1440" w:hanging="450"/>
        <w:rPr/>
      </w:pPr>
      <w:bookmarkStart w:name="_heading=h.9b9rtyawra6n" w:colFirst="0" w:colLast="0" w:id="23"/>
      <w:bookmarkEnd w:id="23"/>
      <w:r w:rsidRPr="00000000" w:rsidDel="00000000" w:rsidR="00000000">
        <w:rPr>
          <w:rtl w:val="0"/>
        </w:rPr>
        <w:t xml:space="preserve">shall review and approve these policies and be notified of all material revisions and updates;</w:t>
      </w:r>
    </w:p>
    <w:p w:rsidRPr="00000000" w:rsidR="00000000" w:rsidDel="00000000" w:rsidP="00000000" w:rsidRDefault="00000000" w14:paraId="0000013F">
      <w:pPr>
        <w:pStyle w:val="Heading4"/>
        <w:numPr>
          <w:ilvl w:val="3"/>
          <w:numId w:val="7"/>
        </w:numPr>
        <w:spacing w:after="100" w:line="276" w:lineRule="auto"/>
        <w:ind w:left="1440" w:hanging="450"/>
        <w:rPr/>
      </w:pPr>
      <w:r w:rsidRPr="00000000" w:rsidDel="00000000" w:rsidR="00000000">
        <w:rPr>
          <w:rtl w:val="0"/>
        </w:rPr>
        <w:t xml:space="preserve">hold executive responsibility for the Global AML &amp; Sanctions Program and must ensure effective governance of financial crime enterprise-wide across the Group.  This includes providing oversight on Binance Group’s risk and compliance management framework and controls in relation to financial crime risk;</w:t>
      </w:r>
    </w:p>
    <w:p w:rsidRPr="00000000" w:rsidR="00000000" w:rsidDel="00000000" w:rsidP="00000000" w:rsidRDefault="00000000" w14:paraId="00000140">
      <w:pPr>
        <w:pStyle w:val="Heading4"/>
        <w:numPr>
          <w:ilvl w:val="3"/>
          <w:numId w:val="7"/>
        </w:numPr>
        <w:spacing w:line="276" w:lineRule="auto"/>
        <w:ind w:left="1440" w:hanging="450"/>
        <w:rPr/>
      </w:pPr>
      <w:bookmarkStart w:name="_heading=h.attokil9fn3p" w:colFirst="0" w:colLast="0" w:id="24"/>
      <w:bookmarkEnd w:id="24"/>
      <w:r w:rsidRPr="00000000" w:rsidDel="00000000" w:rsidR="00000000">
        <w:rPr>
          <w:rtl w:val="0"/>
        </w:rPr>
        <w:t xml:space="preserve">must oversee enterprise-wide compliance responsibilities within the Group;</w:t>
      </w:r>
    </w:p>
    <w:p w:rsidRPr="00000000" w:rsidR="00000000" w:rsidDel="00000000" w:rsidP="00000000" w:rsidRDefault="00000000" w14:paraId="00000141">
      <w:pPr>
        <w:pStyle w:val="Heading4"/>
        <w:numPr>
          <w:ilvl w:val="3"/>
          <w:numId w:val="7"/>
        </w:numPr>
        <w:spacing w:line="276" w:lineRule="auto"/>
        <w:ind w:left="1440" w:hanging="450"/>
        <w:rPr/>
      </w:pPr>
      <w:r w:rsidRPr="00000000" w:rsidDel="00000000" w:rsidR="00000000">
        <w:rPr>
          <w:rtl w:val="0"/>
        </w:rPr>
        <w:t xml:space="preserve">be responsible for fostering a strong risk culture and compliance culture in the Group’s effort to prevent financial crime and must clearly communicate and enforce the compliance expectations set from the ‘top’.  Their leadership must demonstrate visible commitment to preventing financial crime and ensuring adherence to applicable laws and regulations, including those of the ADGM and the UAE.</w:t>
      </w:r>
    </w:p>
    <w:p w:rsidRPr="00000000" w:rsidR="00000000" w:rsidDel="00000000" w:rsidP="00000000" w:rsidRDefault="00000000" w14:paraId="00000142">
      <w:pPr>
        <w:numPr>
          <w:ilvl w:val="2"/>
          <w:numId w:val="7"/>
        </w:numPr>
        <w:ind w:left="720" w:hanging="720"/>
      </w:pPr>
      <w:r w:rsidRPr="00000000" w:rsidDel="00000000" w:rsidR="00000000">
        <w:rPr>
          <w:rtl w:val="0"/>
        </w:rPr>
        <w:t xml:space="preserve">Management Information</w:t>
      </w:r>
    </w:p>
    <w:p w:rsidRPr="00000000" w:rsidR="00000000" w:rsidDel="00000000" w:rsidP="00000000" w:rsidRDefault="00000000" w14:paraId="00000143">
      <w:pPr>
        <w:spacing w:line="276" w:lineRule="auto"/>
        <w:ind w:left="720" w:firstLine="0"/>
        <w:rPr/>
      </w:pPr>
      <w:r w:rsidRPr="00000000" w:rsidDel="00000000" w:rsidR="00000000">
        <w:rPr>
          <w:rtl w:val="0"/>
        </w:rPr>
        <w:t xml:space="preserve">The Binance Group recognizes the critical importance of comprehensive Management Information (MI) in overseeing the effectiveness of the AML/CTF program and ensuring the prevention of financial crime. The Global Compliance department shall provide senior management with timely, accurate and relevant MI reports that enable informed governance and strategic decision-making.</w:t>
      </w:r>
    </w:p>
    <w:p w:rsidRPr="00000000" w:rsidR="00000000" w:rsidDel="00000000" w:rsidP="00000000" w:rsidRDefault="00000000" w14:paraId="00000144">
      <w:pPr>
        <w:spacing w:line="276" w:lineRule="auto"/>
        <w:ind w:left="720" w:firstLine="0"/>
        <w:rPr/>
      </w:pPr>
      <w:r w:rsidRPr="00000000" w:rsidDel="00000000" w:rsidR="00000000">
        <w:rPr>
          <w:rtl w:val="0"/>
        </w:rPr>
      </w:r>
    </w:p>
    <w:p w:rsidRPr="00000000" w:rsidR="00000000" w:rsidDel="00000000" w:rsidP="00000000" w:rsidRDefault="00000000" w14:paraId="00000145">
      <w:pPr>
        <w:spacing w:line="276" w:lineRule="auto"/>
        <w:ind w:left="720" w:firstLine="0"/>
        <w:rPr/>
      </w:pPr>
      <w:r w:rsidRPr="00000000" w:rsidDel="00000000" w:rsidR="00000000">
        <w:rPr>
          <w:rtl w:val="0"/>
        </w:rPr>
        <w:t xml:space="preserve">Key MI reports include, but are not limited to, AML/CTF risk assessments, transaction monitoring alert information, Suspicious Activities Reports/Suspicious Transactions Reports (SARs/STRs) filing statistics, Customer Due Diligence (CDD) and Enhanced Due Diligence (EDD) compliance metrics, staff training completion rates, internal audit and compliance review findings and updates on regulatory changes impacting AML/CTF obligations.</w:t>
      </w:r>
    </w:p>
    <w:p w:rsidRPr="00000000" w:rsidR="00000000" w:rsidDel="00000000" w:rsidP="00000000" w:rsidRDefault="00000000" w14:paraId="00000146">
      <w:pPr>
        <w:spacing w:line="276" w:lineRule="auto"/>
        <w:ind w:left="720" w:firstLine="0"/>
        <w:rPr/>
      </w:pPr>
      <w:r w:rsidRPr="00000000" w:rsidDel="00000000" w:rsidR="00000000">
        <w:rPr>
          <w:rtl w:val="0"/>
        </w:rPr>
      </w:r>
    </w:p>
    <w:p w:rsidRPr="00000000" w:rsidR="00000000" w:rsidDel="00000000" w:rsidP="00000000" w:rsidRDefault="00000000" w14:paraId="00000147">
      <w:pPr>
        <w:spacing w:line="276" w:lineRule="auto"/>
        <w:ind w:left="720" w:firstLine="0"/>
        <w:rPr/>
      </w:pPr>
      <w:r w:rsidRPr="00000000" w:rsidDel="00000000" w:rsidR="00000000">
        <w:rPr>
          <w:rtl w:val="0"/>
        </w:rPr>
        <w:t xml:space="preserve">This MI is an essential tool for senior management to monitor the adequacy and effectiveness of AML/CTF controls, identify emerging risks, ensure regulatory compliance and guide resource allocation. Senior management shall regularly review MI to maintain robust oversight and drive continuous improvement of the organization’s AML/CTF framework across the jurisdictions in which it operates.</w:t>
      </w:r>
    </w:p>
    <w:p w:rsidRPr="00000000" w:rsidR="00000000" w:rsidDel="00000000" w:rsidP="00000000" w:rsidRDefault="00000000" w14:paraId="00000148">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6ny6olptguu6" w:colFirst="0" w:colLast="0" w:id="25"/>
      <w:bookmarkEnd w:id="25"/>
      <w:r w:rsidRPr="00000000" w:rsidDel="00000000" w:rsidR="00000000">
        <w:rPr>
          <w:sz w:val="24"/>
          <w:szCs w:val="24"/>
          <w:rtl w:val="0"/>
        </w:rPr>
        <w:t xml:space="preserve">Three Lines of Defense</w:t>
      </w:r>
      <w:r w:rsidRPr="00000000" w:rsidDel="00000000" w:rsidR="00000000">
        <w:rPr>
          <w:rtl w:val="0"/>
        </w:rPr>
      </w:r>
    </w:p>
    <w:p w:rsidRPr="00000000" w:rsidR="00000000" w:rsidDel="00000000" w:rsidP="00000000" w:rsidRDefault="00000000" w14:paraId="00000149">
      <w:pPr>
        <w:numPr>
          <w:ilvl w:val="2"/>
          <w:numId w:val="7"/>
        </w:numPr>
        <w:ind w:left="720" w:hanging="720"/>
      </w:pPr>
      <w:r w:rsidRPr="00000000" w:rsidDel="00000000" w:rsidR="00000000">
        <w:rPr>
          <w:b w:val="1"/>
          <w:bCs w:val="1"/>
          <w:rtl w:val="0"/>
        </w:rPr>
        <w:t xml:space="preserve">First Line of Defense</w:t>
      </w:r>
      <w:r w:rsidRPr="00000000" w:rsidDel="00000000" w:rsidR="00000000">
        <w:rPr>
          <w:rtl w:val="0"/>
        </w:rPr>
      </w:r>
    </w:p>
    <w:p w:rsidRPr="00000000" w:rsidR="00000000" w:rsidDel="00000000" w:rsidP="00000000" w:rsidRDefault="00000000" w14:paraId="0000014A">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100" w:line="276" w:lineRule="auto"/>
        <w:ind w:left="720" w:right="0" w:firstLine="0"/>
        <w:jc w:val="both"/>
        <w:rPr>
          <w:i w:val="0"/>
          <w:iCs w:val="0"/>
          <w:smallCaps w:val="0"/>
          <w:strike w:val="0"/>
          <w:color w:val="000000"/>
          <w:sz w:val="22"/>
          <w:szCs w:val="22"/>
          <w:u w:val="none"/>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The Business Unit Process Owners are responsible for the identification and management of risks relating to Financial Crime Compliance and for the implementation of policies and controls to mitigate these risks.  They are responsible for identifying, assessing and controlling the Financial Crime risk of their business, in close alignment with the Compliance Department which is a part of the Second Line of Defense and sets the general framework for assessing and managing Financial Crime risks.  Front Office and Customer-facing Personnel, in particular, have the responsibility to remain vigilant in detecting and escalating illicit Customer activity, and report any suspicious activity to the Compliance Department.</w:t>
      </w:r>
    </w:p>
    <w:p w:rsidRPr="00000000" w:rsidR="00000000" w:rsidDel="00000000" w:rsidP="00000000" w:rsidRDefault="00000000" w14:paraId="0000014B">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100" w:line="276" w:lineRule="auto"/>
        <w:ind w:left="720" w:right="0" w:firstLine="0"/>
        <w:jc w:val="both"/>
        <w:rPr>
          <w:i w:val="0"/>
          <w:iCs w:val="0"/>
          <w:smallCaps w:val="0"/>
          <w:strike w:val="0"/>
          <w:color w:val="000000"/>
          <w:sz w:val="22"/>
          <w:szCs w:val="22"/>
          <w:u w:val="none"/>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Customer-facing Personnel, which include Relationship Managers, are those who interact with Customers and handle Customer Transactions.  Supervising these Personnel is crucial for preventing and detecting ML, TF, PF, sanctions non-compliance.  The Personnel’s responsibilities include but not limited to:  </w:t>
      </w:r>
    </w:p>
    <w:p w:rsidRPr="00000000" w:rsidR="00000000" w:rsidDel="00000000" w:rsidP="00000000" w:rsidRDefault="00000000" w14:paraId="0000014C">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obtaining the requisite CDD information, including the collection of identification information and undertaking of Customer verification at Customer onboarding in the manner required by the applicable jurisdiction’s laws and regulations; </w:t>
      </w:r>
      <w:r w:rsidRPr="00000000" w:rsidDel="00000000" w:rsidR="00000000">
        <w:rPr>
          <w:rtl w:val="0"/>
        </w:rPr>
      </w:r>
    </w:p>
    <w:p w:rsidRPr="00000000" w:rsidR="00000000" w:rsidDel="00000000" w:rsidP="00000000" w:rsidRDefault="00000000" w14:paraId="0000014D">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engaging with Customer during periodic or event trigger reviews to update their information and profile;</w:t>
      </w:r>
      <w:r w:rsidRPr="00000000" w:rsidDel="00000000" w:rsidR="00000000">
        <w:rPr>
          <w:rtl w:val="0"/>
        </w:rPr>
      </w:r>
    </w:p>
    <w:p w:rsidRPr="00000000" w:rsidR="00000000" w:rsidDel="00000000" w:rsidP="00000000" w:rsidRDefault="00000000" w14:paraId="0000014E">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processing and validating a Customer’s Transaction and remittance instructions; and </w:t>
      </w:r>
      <w:r w:rsidRPr="00000000" w:rsidDel="00000000" w:rsidR="00000000">
        <w:rPr>
          <w:rtl w:val="0"/>
        </w:rPr>
      </w:r>
    </w:p>
    <w:p w:rsidRPr="00000000" w:rsidR="00000000" w:rsidDel="00000000" w:rsidP="00000000" w:rsidRDefault="00000000" w14:paraId="0000014F">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requesting information from a Customer in order to address a Transaction monitoring alert or a potential screening match.</w:t>
      </w:r>
      <w:r w:rsidRPr="00000000" w:rsidDel="00000000" w:rsidR="00000000">
        <w:rPr>
          <w:rtl w:val="0"/>
        </w:rPr>
      </w:r>
    </w:p>
    <w:p w:rsidRPr="00000000" w:rsidR="00000000" w:rsidDel="00000000" w:rsidP="00000000" w:rsidRDefault="00000000" w14:paraId="00000150">
      <w:pPr>
        <w:numPr>
          <w:ilvl w:val="2"/>
          <w:numId w:val="7"/>
        </w:numPr>
        <w:spacing w:before="200" w:lineRule="auto"/>
        <w:ind w:left="720" w:hanging="720"/>
      </w:pPr>
      <w:r w:rsidRPr="00000000" w:rsidDel="00000000" w:rsidR="00000000">
        <w:rPr>
          <w:b w:val="1"/>
          <w:bCs w:val="1"/>
          <w:color w:val="000000"/>
          <w:rtl w:val="0"/>
        </w:rPr>
        <w:t xml:space="preserve">Second Line of Defense</w:t>
      </w:r>
      <w:r w:rsidRPr="00000000" w:rsidDel="00000000" w:rsidR="00000000">
        <w:rPr>
          <w:rtl w:val="0"/>
        </w:rPr>
      </w:r>
    </w:p>
    <w:p w:rsidRPr="00000000" w:rsidR="00000000" w:rsidDel="00000000" w:rsidP="00000000" w:rsidRDefault="00000000" w14:paraId="00000151">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120" w:line="276" w:lineRule="auto"/>
        <w:ind w:left="720" w:right="0" w:firstLine="0"/>
        <w:jc w:val="both"/>
        <w:rPr/>
      </w:pPr>
      <w:r w:rsidRPr="00000000" w:rsidDel="00000000" w:rsidR="00000000">
        <w:rPr>
          <w:i w:val="0"/>
          <w:iCs w:val="0"/>
          <w:smallCaps w:val="0"/>
          <w:strike w:val="0"/>
          <w:color w:val="000000"/>
          <w:sz w:val="22"/>
          <w:szCs w:val="22"/>
          <w:u w:val="none"/>
          <w:shd w:val="clear" w:fill="auto"/>
          <w:vertAlign w:val="baseline"/>
          <w:rtl w:val="0"/>
        </w:rPr>
        <w:t xml:space="preserve">The Global Compliance Department, as the Second Line, is responsible for the establishment and maintenance of effective systems and controls to meet legal and regulatory obligations in respect of Financial Crime.  It has, inter alia, an advisory role to the First Line of Defense but </w:t>
      </w:r>
      <w:r w:rsidRPr="00000000" w:rsidDel="00000000" w:rsidR="00000000">
        <w:rPr>
          <w:rtl w:val="0"/>
        </w:rPr>
        <w:t xml:space="preserve">also oversees</w:t>
      </w:r>
      <w:r w:rsidRPr="00000000" w:rsidDel="00000000" w:rsidR="00000000">
        <w:rPr>
          <w:i w:val="0"/>
          <w:iCs w:val="0"/>
          <w:smallCaps w:val="0"/>
          <w:strike w:val="0"/>
          <w:color w:val="000000"/>
          <w:sz w:val="22"/>
          <w:szCs w:val="22"/>
          <w:u w:val="none"/>
          <w:shd w:val="clear" w:fill="auto"/>
          <w:vertAlign w:val="baseline"/>
          <w:rtl w:val="0"/>
        </w:rPr>
        <w:t xml:space="preserve"> the adequacy and effectiveness of the safeguards implemented by the First Line of Defense for the prevention of Financial Crime. Furthermore, the Global Compliance Department is responsible for ongoing monitoring of the Binance Group’s fulfilment of the Group’s Financial Crime Compliance and regulatory duties.  The Global Compliance Department, Regional/Country MLROs and the investigation teams are the main contact points regarding AML/CTF issues for domestic and foreign authorities, including supervisory authorities, law enforcement authorities, and financial intelligence units. </w:t>
      </w:r>
      <w:r w:rsidRPr="00000000" w:rsidDel="00000000" w:rsidR="00000000">
        <w:rPr>
          <w:rtl w:val="0"/>
        </w:rPr>
      </w:r>
    </w:p>
    <w:p w:rsidRPr="00000000" w:rsidR="00000000" w:rsidDel="00000000" w:rsidP="00000000" w:rsidRDefault="00000000" w14:paraId="00000152">
      <w:pPr>
        <w:numPr>
          <w:ilvl w:val="2"/>
          <w:numId w:val="7"/>
        </w:numPr>
        <w:ind w:left="720" w:hanging="720"/>
      </w:pPr>
      <w:r w:rsidRPr="00000000" w:rsidDel="00000000" w:rsidR="00000000">
        <w:rPr>
          <w:b w:val="1"/>
          <w:bCs w:val="1"/>
          <w:color w:val="000000"/>
          <w:rtl w:val="0"/>
        </w:rPr>
        <w:t xml:space="preserve">Third Line of Defense</w:t>
      </w:r>
      <w:r w:rsidRPr="00000000" w:rsidDel="00000000" w:rsidR="00000000">
        <w:rPr>
          <w:rtl w:val="0"/>
        </w:rPr>
      </w:r>
    </w:p>
    <w:p w:rsidRPr="00000000" w:rsidR="00000000" w:rsidDel="00000000" w:rsidP="00000000" w:rsidRDefault="00000000" w14:paraId="00000153">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100" w:line="276" w:lineRule="auto"/>
        <w:ind w:left="720" w:right="0" w:firstLine="0"/>
        <w:jc w:val="both"/>
        <w:rPr>
          <w:i w:val="0"/>
          <w:iCs w:val="0"/>
          <w:smallCaps w:val="0"/>
          <w:strike w:val="0"/>
          <w:color w:val="000000"/>
          <w:sz w:val="22"/>
          <w:szCs w:val="22"/>
          <w:u w:val="none"/>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The Internal Audit Function, serving as the Third Line, is responsible for independently assessing the adequacy and effectiveness of internal controls of both the First and Second Lines to ensure a robust Financial Crime Compliance Program is in place and effectively implemented.  This includes reviewing the systems, controls, and governance processes established by the First and Second Lines to ensure they align with the requirements of the applicable laws and regulations.</w:t>
      </w:r>
    </w:p>
    <w:p w:rsidRPr="00000000" w:rsidR="00000000" w:rsidDel="00000000" w:rsidP="00000000" w:rsidRDefault="00000000" w14:paraId="00000154">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100" w:line="276" w:lineRule="auto"/>
        <w:ind w:left="720" w:right="0" w:firstLine="0"/>
        <w:jc w:val="both"/>
        <w:rPr>
          <w:i w:val="0"/>
          <w:iCs w:val="0"/>
          <w:smallCaps w:val="0"/>
          <w:strike w:val="0"/>
          <w:color w:val="000000"/>
          <w:sz w:val="22"/>
          <w:szCs w:val="22"/>
          <w:u w:val="none"/>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Group Internal Audit conducts independent assurance testing of First and Second Line activities related to financial crime risk management, identifying design and operational weaknesses and areas for improvement.  Identified control weaknesses, including gaps in AML, CTF, sanctions, or proliferation financing frameworks, must be documented, tracked, and remediated in accordance with the Group’s issue management procedures.</w:t>
      </w:r>
    </w:p>
    <w:p w:rsidRPr="00000000" w:rsidR="00000000" w:rsidDel="00000000" w:rsidP="00000000" w:rsidRDefault="00000000" w14:paraId="00000155">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100" w:line="276" w:lineRule="auto"/>
        <w:ind w:left="720" w:right="0" w:firstLine="0"/>
        <w:jc w:val="both"/>
        <w:rPr>
          <w:i w:val="0"/>
          <w:iCs w:val="0"/>
          <w:smallCaps w:val="0"/>
          <w:strike w:val="0"/>
          <w:color w:val="000000"/>
          <w:sz w:val="22"/>
          <w:szCs w:val="22"/>
          <w:u w:val="none"/>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The Group may engage qualified third parties to independently evaluate the Financial Crime Compliance Program and controls, reporting to Senior Management or related committees.  Global Compliance and local licensed or registered entities may appoint external auditors to provide independent assurance to the Country Board of Directors or local audit/risk committee, as applicable, in lieu of Group Internal Audit, consistent with ADGM expectations for financial institutions.</w:t>
      </w:r>
    </w:p>
    <w:p w:rsidRPr="00000000" w:rsidR="00000000" w:rsidDel="00000000" w:rsidP="00000000" w:rsidRDefault="00000000" w14:paraId="00000156">
      <w:pPr>
        <w:pStyle w:val="Heading1"/>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400" w:after="200" w:line="360" w:lineRule="auto"/>
        <w:ind w:left="720" w:right="0" w:hanging="720"/>
        <w:jc w:val="both"/>
        <w:rPr/>
      </w:pPr>
      <w:bookmarkStart w:name="_heading=h.frz4hys8t33u" w:colFirst="0" w:colLast="0" w:id="26"/>
      <w:bookmarkEnd w:id="26"/>
      <w:r w:rsidRPr="00000000" w:rsidDel="00000000" w:rsidR="00000000">
        <w:rPr>
          <w:sz w:val="28"/>
          <w:szCs w:val="28"/>
          <w:rtl w:val="0"/>
        </w:rPr>
        <w:t xml:space="preserve">ORGANIZATION AND PEOPLE</w:t>
      </w:r>
      <w:r w:rsidRPr="00000000" w:rsidDel="00000000" w:rsidR="00000000">
        <w:rPr>
          <w:rtl w:val="0"/>
        </w:rPr>
      </w:r>
    </w:p>
    <w:p w:rsidRPr="00000000" w:rsidR="00000000" w:rsidDel="00000000" w:rsidP="00000000" w:rsidRDefault="00000000" w14:paraId="00000157">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46npauounigo" w:colFirst="0" w:colLast="0" w:id="27"/>
      <w:bookmarkEnd w:id="27"/>
      <w:r w:rsidRPr="00000000" w:rsidDel="00000000" w:rsidR="00000000">
        <w:rPr>
          <w:sz w:val="24"/>
          <w:szCs w:val="24"/>
          <w:rtl w:val="0"/>
        </w:rPr>
        <w:t xml:space="preserve">Global Compliance Department </w:t>
      </w:r>
      <w:r w:rsidRPr="00000000" w:rsidDel="00000000" w:rsidR="00000000">
        <w:rPr>
          <w:rtl w:val="0"/>
        </w:rPr>
      </w:r>
    </w:p>
    <w:p w:rsidRPr="00000000" w:rsidR="00000000" w:rsidDel="00000000" w:rsidP="00000000" w:rsidRDefault="00000000" w14:paraId="00000158">
      <w:pPr>
        <w:numPr>
          <w:ilvl w:val="2"/>
          <w:numId w:val="7"/>
        </w:numPr>
        <w:spacing w:after="100" w:line="276" w:lineRule="auto"/>
        <w:ind w:left="720" w:hanging="720"/>
      </w:pPr>
      <w:r w:rsidRPr="00000000" w:rsidDel="00000000" w:rsidR="00000000">
        <w:rPr>
          <w:rtl w:val="0"/>
        </w:rPr>
        <w:t xml:space="preserve">The Global Compliance Department is directed by ADGM entities for establishing, implementing, and maintaining the Global Financial Crime Compliance Program for the ADGM entities. This includes ensuring the framework aligns with the ADGM AML Rulebook and UAE AML Law. </w:t>
      </w:r>
    </w:p>
    <w:p w:rsidRPr="00000000" w:rsidR="00000000" w:rsidDel="00000000" w:rsidP="00000000" w:rsidRDefault="00000000" w14:paraId="00000159">
      <w:pPr>
        <w:numPr>
          <w:ilvl w:val="2"/>
          <w:numId w:val="7"/>
        </w:numPr>
        <w:spacing w:after="100" w:line="276" w:lineRule="auto"/>
        <w:ind w:left="720" w:hanging="720"/>
      </w:pPr>
      <w:r w:rsidRPr="00000000" w:rsidDel="00000000" w:rsidR="00000000">
        <w:rPr>
          <w:rtl w:val="0"/>
        </w:rPr>
        <w:t xml:space="preserve">The Global Compliance Department also supports the Group companies, including all other licensed or registered jurisdictions. The department performs a global oversight and advisory role, whilst ensuring the Group’s AML/CFT and sanctions strategies are effective by local and business-level functions.</w:t>
      </w:r>
    </w:p>
    <w:p w:rsidRPr="00000000" w:rsidR="00000000" w:rsidDel="00000000" w:rsidP="00000000" w:rsidRDefault="00000000" w14:paraId="0000015A">
      <w:pPr>
        <w:numPr>
          <w:ilvl w:val="2"/>
          <w:numId w:val="7"/>
        </w:numPr>
        <w:spacing w:after="100" w:line="276" w:lineRule="auto"/>
        <w:ind w:left="720" w:hanging="720"/>
      </w:pPr>
      <w:r w:rsidRPr="00000000" w:rsidDel="00000000" w:rsidR="00000000">
        <w:rPr>
          <w:rtl w:val="0"/>
        </w:rPr>
        <w:t xml:space="preserve">With ADGM MLROs’ governance, the Global Compliance Department is accountable for:</w:t>
      </w:r>
    </w:p>
    <w:p w:rsidRPr="00000000" w:rsidR="00000000" w:rsidDel="00000000" w:rsidP="00000000" w:rsidRDefault="00000000" w14:paraId="0000015B">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developing and maintaining the Group AML/CFT policy, standards, and core control framework;</w:t>
      </w:r>
      <w:r w:rsidRPr="00000000" w:rsidDel="00000000" w:rsidR="00000000">
        <w:rPr>
          <w:rtl w:val="0"/>
        </w:rPr>
      </w:r>
    </w:p>
    <w:p w:rsidRPr="00000000" w:rsidR="00000000" w:rsidDel="00000000" w:rsidP="00000000" w:rsidRDefault="00000000" w14:paraId="0000015C">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providing thematic and technical guidance to Business Units and regional compliance teams;</w:t>
      </w:r>
      <w:r w:rsidRPr="00000000" w:rsidDel="00000000" w:rsidR="00000000">
        <w:rPr>
          <w:rtl w:val="0"/>
        </w:rPr>
      </w:r>
    </w:p>
    <w:p w:rsidRPr="00000000" w:rsidR="00000000" w:rsidDel="00000000" w:rsidP="00000000" w:rsidRDefault="00000000" w14:paraId="0000015D">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conducting independent monitoring, testing, and oversight of implementation by the First Line;</w:t>
      </w:r>
      <w:r w:rsidRPr="00000000" w:rsidDel="00000000" w:rsidR="00000000">
        <w:rPr>
          <w:rtl w:val="0"/>
        </w:rPr>
      </w:r>
    </w:p>
    <w:p w:rsidRPr="00000000" w:rsidR="00000000" w:rsidDel="00000000" w:rsidP="00000000" w:rsidRDefault="00000000" w14:paraId="0000015E">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managing regulatory interactions globally, including engagement with the FSRA and UAE FIU;</w:t>
      </w:r>
      <w:r w:rsidRPr="00000000" w:rsidDel="00000000" w:rsidR="00000000">
        <w:rPr>
          <w:rtl w:val="0"/>
        </w:rPr>
      </w:r>
    </w:p>
    <w:p w:rsidRPr="00000000" w:rsidR="00000000" w:rsidDel="00000000" w:rsidP="00000000" w:rsidRDefault="00000000" w14:paraId="0000015F">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supporting the appointment, training, and operational effectiveness of Regional and Country MLROs; and</w:t>
      </w:r>
      <w:r w:rsidRPr="00000000" w:rsidDel="00000000" w:rsidR="00000000">
        <w:rPr>
          <w:rtl w:val="0"/>
        </w:rPr>
      </w:r>
    </w:p>
    <w:p w:rsidRPr="00000000" w:rsidR="00000000" w:rsidDel="00000000" w:rsidP="00000000" w:rsidRDefault="00000000" w14:paraId="00000160">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coordinating Group-wide financial crime risk assessments, data reporting, and assurance.</w:t>
      </w:r>
      <w:r w:rsidRPr="00000000" w:rsidDel="00000000" w:rsidR="00000000">
        <w:rPr>
          <w:rtl w:val="0"/>
        </w:rPr>
      </w:r>
    </w:p>
    <w:p w:rsidRPr="00000000" w:rsidR="00000000" w:rsidDel="00000000" w:rsidP="00000000" w:rsidRDefault="00000000" w14:paraId="00000161">
      <w:pPr>
        <w:numPr>
          <w:ilvl w:val="2"/>
          <w:numId w:val="7"/>
        </w:numPr>
        <w:spacing w:after="100" w:line="276" w:lineRule="auto"/>
        <w:ind w:left="720" w:hanging="720"/>
      </w:pPr>
      <w:r w:rsidRPr="00000000" w:rsidDel="00000000" w:rsidR="00000000">
        <w:rPr>
          <w:rtl w:val="0"/>
        </w:rPr>
        <w:t xml:space="preserve">This program consists of key components such as:  </w:t>
      </w:r>
    </w:p>
    <w:p w:rsidRPr="00000000" w:rsidR="00000000" w:rsidDel="00000000" w:rsidP="00000000" w:rsidRDefault="00000000" w14:paraId="00000162">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pPr>
      <w:r w:rsidRPr="00000000" w:rsidDel="00000000" w:rsidR="00000000">
        <w:rPr>
          <w:b w:val="1"/>
          <w:bCs w:val="1"/>
          <w:i w:val="0"/>
          <w:iCs w:val="0"/>
          <w:smallCaps w:val="0"/>
          <w:strike w:val="0"/>
          <w:color w:val="000000"/>
          <w:sz w:val="22"/>
          <w:szCs w:val="22"/>
          <w:u w:val="none"/>
          <w:shd w:val="clear" w:fill="auto"/>
          <w:vertAlign w:val="baseline"/>
          <w:rtl w:val="0"/>
        </w:rPr>
        <w:t xml:space="preserve">CDD Governance:  </w:t>
      </w:r>
      <w:r w:rsidRPr="00000000" w:rsidDel="00000000" w:rsidR="00000000">
        <w:rPr>
          <w:i w:val="0"/>
          <w:iCs w:val="0"/>
          <w:smallCaps w:val="0"/>
          <w:strike w:val="0"/>
          <w:color w:val="000000"/>
          <w:sz w:val="22"/>
          <w:szCs w:val="22"/>
          <w:u w:val="none"/>
          <w:shd w:val="clear" w:fill="auto"/>
          <w:vertAlign w:val="baseline"/>
          <w:rtl w:val="0"/>
        </w:rPr>
        <w:t xml:space="preserve">ensures a robust framework for onboarding and verifying Customer identities and mitigating financial crime risks.</w:t>
      </w:r>
      <w:r w:rsidRPr="00000000" w:rsidDel="00000000" w:rsidR="00000000">
        <w:rPr>
          <w:rtl w:val="0"/>
        </w:rPr>
      </w:r>
    </w:p>
    <w:p w:rsidRPr="00000000" w:rsidR="00000000" w:rsidDel="00000000" w:rsidP="00000000" w:rsidRDefault="00000000" w14:paraId="00000163">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pPr>
      <w:r w:rsidRPr="00000000" w:rsidDel="00000000" w:rsidR="00000000">
        <w:rPr>
          <w:b w:val="1"/>
          <w:bCs w:val="1"/>
          <w:i w:val="0"/>
          <w:iCs w:val="0"/>
          <w:smallCaps w:val="0"/>
          <w:strike w:val="0"/>
          <w:color w:val="000000"/>
          <w:sz w:val="22"/>
          <w:szCs w:val="22"/>
          <w:u w:val="none"/>
          <w:shd w:val="clear" w:fill="auto"/>
          <w:vertAlign w:val="baseline"/>
          <w:rtl w:val="0"/>
        </w:rPr>
        <w:t xml:space="preserve">High Risk Customer/EDD: </w:t>
      </w:r>
      <w:r w:rsidRPr="00000000" w:rsidDel="00000000" w:rsidR="00000000">
        <w:rPr>
          <w:i w:val="0"/>
          <w:iCs w:val="0"/>
          <w:smallCaps w:val="0"/>
          <w:strike w:val="0"/>
          <w:color w:val="000000"/>
          <w:sz w:val="22"/>
          <w:szCs w:val="22"/>
          <w:u w:val="none"/>
          <w:shd w:val="clear" w:fill="auto"/>
          <w:vertAlign w:val="baseline"/>
          <w:rtl w:val="0"/>
        </w:rPr>
        <w:t xml:space="preserve">program implements EDD for high-risk clients including escalation protocols and risk mitigation.  This includes mandatory verification of source of funds and wealth, senior management approval, and enhanced ongoing monitoring.</w:t>
      </w:r>
      <w:r w:rsidRPr="00000000" w:rsidDel="00000000" w:rsidR="00000000">
        <w:rPr>
          <w:rtl w:val="0"/>
        </w:rPr>
      </w:r>
    </w:p>
    <w:p w:rsidRPr="00000000" w:rsidR="00000000" w:rsidDel="00000000" w:rsidP="00000000" w:rsidRDefault="00000000" w14:paraId="00000164">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pPr>
      <w:r w:rsidRPr="00000000" w:rsidDel="00000000" w:rsidR="00000000">
        <w:rPr>
          <w:b w:val="1"/>
          <w:bCs w:val="1"/>
          <w:i w:val="0"/>
          <w:iCs w:val="0"/>
          <w:smallCaps w:val="0"/>
          <w:strike w:val="0"/>
          <w:color w:val="000000"/>
          <w:sz w:val="22"/>
          <w:szCs w:val="22"/>
          <w:u w:val="none"/>
          <w:shd w:val="clear" w:fill="auto"/>
          <w:vertAlign w:val="baseline"/>
          <w:rtl w:val="0"/>
        </w:rPr>
        <w:t xml:space="preserve">Sanctions</w:t>
      </w:r>
      <w:r w:rsidRPr="00000000" w:rsidDel="00000000" w:rsidR="00000000">
        <w:rPr>
          <w:i w:val="0"/>
          <w:iCs w:val="0"/>
          <w:smallCaps w:val="0"/>
          <w:strike w:val="0"/>
          <w:color w:val="000000"/>
          <w:sz w:val="22"/>
          <w:szCs w:val="22"/>
          <w:u w:val="none"/>
          <w:shd w:val="clear" w:fill="auto"/>
          <w:vertAlign w:val="baseline"/>
          <w:rtl w:val="0"/>
        </w:rPr>
        <w:t xml:space="preserve"> </w:t>
      </w:r>
      <w:r w:rsidRPr="00000000" w:rsidDel="00000000" w:rsidR="00000000">
        <w:rPr>
          <w:b w:val="1"/>
          <w:bCs w:val="1"/>
          <w:i w:val="0"/>
          <w:iCs w:val="0"/>
          <w:smallCaps w:val="0"/>
          <w:strike w:val="0"/>
          <w:color w:val="000000"/>
          <w:sz w:val="22"/>
          <w:szCs w:val="22"/>
          <w:u w:val="none"/>
          <w:shd w:val="clear" w:fill="auto"/>
          <w:vertAlign w:val="baseline"/>
          <w:rtl w:val="0"/>
        </w:rPr>
        <w:t xml:space="preserve">Compliance</w:t>
      </w:r>
      <w:r w:rsidRPr="00000000" w:rsidDel="00000000" w:rsidR="00000000">
        <w:rPr>
          <w:i w:val="0"/>
          <w:iCs w:val="0"/>
          <w:smallCaps w:val="0"/>
          <w:strike w:val="0"/>
          <w:color w:val="000000"/>
          <w:sz w:val="22"/>
          <w:szCs w:val="22"/>
          <w:u w:val="none"/>
          <w:shd w:val="clear" w:fill="auto"/>
          <w:vertAlign w:val="baseline"/>
          <w:rtl w:val="0"/>
        </w:rPr>
        <w:t xml:space="preserve">: program ensures compliance with international sanctions laws by screening Customers and transactions against global lists.  It establishes and maintains the </w:t>
      </w:r>
      <w:r w:rsidRPr="00000000" w:rsidDel="00000000" w:rsidR="00000000">
        <w:rPr>
          <w:rtl w:val="0"/>
        </w:rPr>
        <w:t xml:space="preserve">BGSP</w:t>
      </w:r>
      <w:r w:rsidRPr="00000000" w:rsidDel="00000000" w:rsidR="00000000">
        <w:rPr>
          <w:i w:val="0"/>
          <w:iCs w:val="0"/>
          <w:smallCaps w:val="0"/>
          <w:strike w:val="0"/>
          <w:color w:val="000000"/>
          <w:sz w:val="22"/>
          <w:szCs w:val="22"/>
          <w:u w:val="none"/>
          <w:shd w:val="clear" w:fill="auto"/>
          <w:vertAlign w:val="baseline"/>
          <w:rtl w:val="0"/>
        </w:rPr>
        <w:t xml:space="preserve">, setting guidelines for managing operational risks to address legal and regulatory requirements related to sanctions risk.  It also oversees adherence to UN, UAE, </w:t>
      </w:r>
      <w:r w:rsidRPr="00000000" w:rsidDel="00000000" w:rsidR="00000000">
        <w:rPr>
          <w:rtl w:val="0"/>
        </w:rPr>
        <w:t xml:space="preserve">the US Treasury Department’s Office of Foreign Assets Control (“</w:t>
      </w:r>
      <w:r w:rsidRPr="00000000" w:rsidDel="00000000" w:rsidR="00000000">
        <w:rPr>
          <w:b w:val="1"/>
          <w:bCs w:val="1"/>
          <w:rtl w:val="0"/>
        </w:rPr>
        <w:t xml:space="preserve">OFAC</w:t>
      </w:r>
      <w:r w:rsidRPr="00000000" w:rsidDel="00000000" w:rsidR="00000000">
        <w:rPr>
          <w:rtl w:val="0"/>
        </w:rPr>
        <w:t xml:space="preserve">”) </w:t>
      </w:r>
      <w:r w:rsidRPr="00000000" w:rsidDel="00000000" w:rsidR="00000000">
        <w:rPr>
          <w:i w:val="0"/>
          <w:iCs w:val="0"/>
          <w:smallCaps w:val="0"/>
          <w:strike w:val="0"/>
          <w:color w:val="000000"/>
          <w:sz w:val="22"/>
          <w:szCs w:val="22"/>
          <w:u w:val="none"/>
          <w:shd w:val="clear" w:fill="auto"/>
          <w:vertAlign w:val="baseline"/>
          <w:rtl w:val="0"/>
        </w:rPr>
        <w:t xml:space="preserve">, and EU TFS requirements.  The program serves an advisory role to the First Line of Defense and assesses the adequacy and effectiveness of the controls proposed and implemented by the Line of Defense, as outlined in the </w:t>
      </w:r>
      <w:r w:rsidRPr="00000000" w:rsidDel="00000000" w:rsidR="00000000">
        <w:rPr>
          <w:rtl w:val="0"/>
        </w:rPr>
        <w:t xml:space="preserve">BGSP</w:t>
      </w:r>
      <w:r w:rsidRPr="00000000" w:rsidDel="00000000" w:rsidR="00000000">
        <w:rPr>
          <w:i w:val="0"/>
          <w:iCs w:val="0"/>
          <w:smallCaps w:val="0"/>
          <w:strike w:val="0"/>
          <w:color w:val="000000"/>
          <w:sz w:val="22"/>
          <w:szCs w:val="22"/>
          <w:u w:val="none"/>
          <w:shd w:val="clear" w:fill="auto"/>
          <w:vertAlign w:val="baseline"/>
          <w:rtl w:val="0"/>
        </w:rPr>
        <w:t xml:space="preserve"> for roles and responsibilities. </w:t>
      </w:r>
      <w:r w:rsidRPr="00000000" w:rsidDel="00000000" w:rsidR="00000000">
        <w:rPr>
          <w:rtl w:val="0"/>
        </w:rPr>
      </w:r>
    </w:p>
    <w:p w:rsidRPr="00000000" w:rsidR="00000000" w:rsidDel="00000000" w:rsidP="00000000" w:rsidRDefault="00000000" w14:paraId="00000165">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pPr>
      <w:r w:rsidRPr="00000000" w:rsidDel="00000000" w:rsidR="00000000">
        <w:rPr>
          <w:b w:val="1"/>
          <w:bCs w:val="1"/>
          <w:i w:val="0"/>
          <w:iCs w:val="0"/>
          <w:smallCaps w:val="0"/>
          <w:strike w:val="0"/>
          <w:color w:val="000000"/>
          <w:sz w:val="22"/>
          <w:szCs w:val="22"/>
          <w:u w:val="none"/>
          <w:shd w:val="clear" w:fill="auto"/>
          <w:vertAlign w:val="baseline"/>
          <w:rtl w:val="0"/>
        </w:rPr>
        <w:t xml:space="preserve">Transaction Monitoring</w:t>
      </w:r>
      <w:r w:rsidRPr="00000000" w:rsidDel="00000000" w:rsidR="00000000">
        <w:rPr>
          <w:i w:val="0"/>
          <w:iCs w:val="0"/>
          <w:smallCaps w:val="0"/>
          <w:strike w:val="0"/>
          <w:color w:val="000000"/>
          <w:sz w:val="22"/>
          <w:szCs w:val="22"/>
          <w:u w:val="none"/>
          <w:shd w:val="clear" w:fill="auto"/>
          <w:vertAlign w:val="baseline"/>
          <w:rtl w:val="0"/>
        </w:rPr>
        <w:t xml:space="preserve">: continuously monitors Transactions to detect and report suspicious Transactions. </w:t>
      </w:r>
      <w:r w:rsidRPr="00000000" w:rsidDel="00000000" w:rsidR="00000000">
        <w:rPr>
          <w:rtl w:val="0"/>
        </w:rPr>
      </w:r>
    </w:p>
    <w:p w:rsidRPr="00000000" w:rsidR="00000000" w:rsidDel="00000000" w:rsidP="00000000" w:rsidRDefault="00000000" w14:paraId="00000166">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pPr>
      <w:r w:rsidRPr="00000000" w:rsidDel="00000000" w:rsidR="00000000">
        <w:rPr>
          <w:b w:val="1"/>
          <w:bCs w:val="1"/>
          <w:i w:val="0"/>
          <w:iCs w:val="0"/>
          <w:smallCaps w:val="0"/>
          <w:strike w:val="0"/>
          <w:color w:val="000000"/>
          <w:sz w:val="22"/>
          <w:szCs w:val="22"/>
          <w:u w:val="none"/>
          <w:shd w:val="clear" w:fill="auto"/>
          <w:vertAlign w:val="baseline"/>
          <w:rtl w:val="0"/>
        </w:rPr>
        <w:t xml:space="preserve">Screening</w:t>
      </w:r>
      <w:r w:rsidRPr="00000000" w:rsidDel="00000000" w:rsidR="00000000">
        <w:rPr>
          <w:i w:val="0"/>
          <w:iCs w:val="0"/>
          <w:smallCaps w:val="0"/>
          <w:strike w:val="0"/>
          <w:color w:val="000000"/>
          <w:sz w:val="22"/>
          <w:szCs w:val="22"/>
          <w:u w:val="none"/>
          <w:shd w:val="clear" w:fill="auto"/>
          <w:vertAlign w:val="baseline"/>
          <w:rtl w:val="0"/>
        </w:rPr>
        <w:t xml:space="preserve">:  oversees name and transaction screening for sanctions, PEP, and adverse media risks.</w:t>
      </w:r>
      <w:r w:rsidRPr="00000000" w:rsidDel="00000000" w:rsidR="00000000">
        <w:rPr>
          <w:rtl w:val="0"/>
        </w:rPr>
      </w:r>
    </w:p>
    <w:p w:rsidRPr="00000000" w:rsidR="00000000" w:rsidDel="00000000" w:rsidP="00000000" w:rsidRDefault="00000000" w14:paraId="0000016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b w:val="1"/>
          <w:bCs w:val="1"/>
          <w:i w:val="0"/>
          <w:iCs w:val="0"/>
          <w:smallCaps w:val="0"/>
          <w:strike w:val="0"/>
          <w:color w:val="000000"/>
          <w:sz w:val="22"/>
          <w:szCs w:val="22"/>
          <w:u w:val="none"/>
          <w:shd w:val="clear" w:fill="auto"/>
          <w:vertAlign w:val="baseline"/>
          <w:rtl w:val="0"/>
        </w:rPr>
        <w:t xml:space="preserve">Market Surveillance</w:t>
      </w:r>
      <w:r w:rsidRPr="00000000" w:rsidDel="00000000" w:rsidR="00000000">
        <w:rPr>
          <w:i w:val="0"/>
          <w:iCs w:val="0"/>
          <w:smallCaps w:val="0"/>
          <w:strike w:val="0"/>
          <w:color w:val="000000"/>
          <w:sz w:val="22"/>
          <w:szCs w:val="22"/>
          <w:u w:val="none"/>
          <w:shd w:val="clear" w:fill="auto"/>
          <w:vertAlign w:val="baseline"/>
          <w:rtl w:val="0"/>
        </w:rPr>
        <w:t xml:space="preserve">: supports the detection of market abuse or insider activity, in collaboration with legal and trading compliance teams.</w:t>
      </w:r>
      <w:r w:rsidRPr="00000000" w:rsidDel="00000000" w:rsidR="00000000">
        <w:rPr>
          <w:rtl w:val="0"/>
        </w:rPr>
      </w:r>
    </w:p>
    <w:p w:rsidRPr="00000000" w:rsidR="00000000" w:rsidDel="00000000" w:rsidP="00000000" w:rsidRDefault="00000000" w14:paraId="00000168">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pPr>
      <w:r w:rsidRPr="00000000" w:rsidDel="00000000" w:rsidR="00000000">
        <w:rPr>
          <w:b w:val="1"/>
          <w:bCs w:val="1"/>
          <w:i w:val="0"/>
          <w:iCs w:val="0"/>
          <w:smallCaps w:val="0"/>
          <w:strike w:val="0"/>
          <w:color w:val="000000"/>
          <w:sz w:val="22"/>
          <w:szCs w:val="22"/>
          <w:u w:val="none"/>
          <w:shd w:val="clear" w:fill="auto"/>
          <w:vertAlign w:val="baseline"/>
          <w:rtl w:val="0"/>
        </w:rPr>
        <w:t xml:space="preserve">Core Compliance</w:t>
      </w:r>
      <w:r w:rsidRPr="00000000" w:rsidDel="00000000" w:rsidR="00000000">
        <w:rPr>
          <w:i w:val="0"/>
          <w:iCs w:val="0"/>
          <w:smallCaps w:val="0"/>
          <w:strike w:val="0"/>
          <w:color w:val="000000"/>
          <w:sz w:val="22"/>
          <w:szCs w:val="22"/>
          <w:u w:val="none"/>
          <w:shd w:val="clear" w:fill="auto"/>
          <w:vertAlign w:val="baseline"/>
          <w:rtl w:val="0"/>
        </w:rPr>
        <w:t xml:space="preserve">: manages the foundational elements of Binance's compliance framework, which include Quality Assurance, Training, Third Party Partner Due Diligence, and </w:t>
      </w:r>
      <w:r w:rsidRPr="00000000" w:rsidDel="00000000" w:rsidR="00000000">
        <w:rPr>
          <w:rtl w:val="0"/>
        </w:rPr>
        <w:t xml:space="preserve">Compliance Issues and Change Management</w:t>
      </w:r>
      <w:r w:rsidRPr="00000000" w:rsidDel="00000000" w:rsidR="00000000">
        <w:rPr>
          <w:i w:val="0"/>
          <w:iCs w:val="0"/>
          <w:smallCaps w:val="0"/>
          <w:strike w:val="0"/>
          <w:color w:val="000000"/>
          <w:sz w:val="22"/>
          <w:szCs w:val="22"/>
          <w:u w:val="none"/>
          <w:shd w:val="clear" w:fill="auto"/>
          <w:vertAlign w:val="baseline"/>
          <w:rtl w:val="0"/>
        </w:rPr>
        <w:t xml:space="preserve">. </w:t>
      </w:r>
      <w:r w:rsidRPr="00000000" w:rsidDel="00000000" w:rsidR="00000000">
        <w:rPr>
          <w:rtl w:val="0"/>
        </w:rPr>
      </w:r>
    </w:p>
    <w:p w:rsidRPr="00000000" w:rsidR="00000000" w:rsidDel="00000000" w:rsidP="00000000" w:rsidRDefault="00000000" w14:paraId="00000169">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pPr>
      <w:r w:rsidRPr="00000000" w:rsidDel="00000000" w:rsidR="00000000">
        <w:rPr>
          <w:b w:val="1"/>
          <w:bCs w:val="1"/>
          <w:i w:val="0"/>
          <w:iCs w:val="0"/>
          <w:smallCaps w:val="0"/>
          <w:strike w:val="0"/>
          <w:color w:val="000000"/>
          <w:sz w:val="22"/>
          <w:szCs w:val="22"/>
          <w:u w:val="none"/>
          <w:shd w:val="clear" w:fill="auto"/>
          <w:vertAlign w:val="baseline"/>
          <w:rtl w:val="0"/>
        </w:rPr>
        <w:t xml:space="preserve">Financial Crime Investigations:</w:t>
      </w:r>
      <w:r w:rsidRPr="00000000" w:rsidDel="00000000" w:rsidR="00000000">
        <w:rPr>
          <w:i w:val="0"/>
          <w:iCs w:val="0"/>
          <w:smallCaps w:val="0"/>
          <w:strike w:val="0"/>
          <w:color w:val="000000"/>
          <w:sz w:val="22"/>
          <w:szCs w:val="22"/>
          <w:u w:val="none"/>
          <w:shd w:val="clear" w:fill="auto"/>
          <w:vertAlign w:val="baseline"/>
          <w:rtl w:val="0"/>
        </w:rPr>
        <w:t xml:space="preserve"> investigates escalated alerts mitigates risks related to fraud, Money Laundering, and Terrorist Financing.</w:t>
      </w:r>
      <w:r w:rsidRPr="00000000" w:rsidDel="00000000" w:rsidR="00000000">
        <w:rPr>
          <w:i w:val="0"/>
          <w:iCs w:val="0"/>
          <w:smallCaps w:val="0"/>
          <w:strike w:val="0"/>
          <w:color w:val="000000"/>
          <w:sz w:val="22"/>
          <w:szCs w:val="22"/>
          <w:u w:val="none"/>
          <w:shd w:val="clear" w:fill="auto"/>
          <w:vertAlign w:val="superscript"/>
        </w:rPr>
        <w:footnoteReference w:customMarkFollows="0" w:id="3"/>
      </w:r>
      <w:r w:rsidRPr="00000000" w:rsidDel="00000000" w:rsidR="00000000">
        <w:rPr>
          <w:rtl w:val="0"/>
        </w:rPr>
      </w:r>
    </w:p>
    <w:p w:rsidRPr="00000000" w:rsidR="00000000" w:rsidDel="00000000" w:rsidP="00000000" w:rsidRDefault="00000000" w14:paraId="0000016A">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100" w:line="276" w:lineRule="auto"/>
        <w:ind w:left="720" w:right="0" w:firstLine="0"/>
        <w:jc w:val="both"/>
        <w:rPr>
          <w:i w:val="0"/>
          <w:iCs w:val="0"/>
          <w:smallCaps w:val="0"/>
          <w:strike w:val="0"/>
          <w:color w:val="000000"/>
          <w:sz w:val="22"/>
          <w:szCs w:val="22"/>
          <w:u w:val="none"/>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The ADGM MLROs</w:t>
      </w:r>
      <w:r w:rsidRPr="00000000" w:rsidDel="00000000" w:rsidR="00000000">
        <w:rPr>
          <w:rtl w:val="0"/>
        </w:rPr>
        <w:t xml:space="preserve">, together with the Global</w:t>
      </w:r>
      <w:r w:rsidRPr="00000000" w:rsidDel="00000000" w:rsidR="00000000">
        <w:rPr>
          <w:i w:val="0"/>
          <w:iCs w:val="0"/>
          <w:smallCaps w:val="0"/>
          <w:strike w:val="0"/>
          <w:color w:val="000000"/>
          <w:sz w:val="22"/>
          <w:szCs w:val="22"/>
          <w:u w:val="none"/>
          <w:shd w:val="clear" w:fill="auto"/>
          <w:vertAlign w:val="baseline"/>
          <w:rtl w:val="0"/>
        </w:rPr>
        <w:t xml:space="preserve"> Compliance </w:t>
      </w:r>
      <w:r w:rsidRPr="00000000" w:rsidDel="00000000" w:rsidR="00000000">
        <w:rPr>
          <w:rtl w:val="0"/>
        </w:rPr>
        <w:t xml:space="preserve">Department, also</w:t>
      </w:r>
      <w:r w:rsidRPr="00000000" w:rsidDel="00000000" w:rsidR="00000000">
        <w:rPr>
          <w:i w:val="0"/>
          <w:iCs w:val="0"/>
          <w:smallCaps w:val="0"/>
          <w:strike w:val="0"/>
          <w:color w:val="000000"/>
          <w:sz w:val="22"/>
          <w:szCs w:val="22"/>
          <w:u w:val="none"/>
          <w:shd w:val="clear" w:fill="auto"/>
          <w:vertAlign w:val="baseline"/>
          <w:rtl w:val="0"/>
        </w:rPr>
        <w:t xml:space="preserve"> </w:t>
      </w:r>
      <w:r w:rsidRPr="00000000" w:rsidDel="00000000" w:rsidR="00000000">
        <w:rPr>
          <w:rtl w:val="0"/>
        </w:rPr>
        <w:t xml:space="preserve">oversee</w:t>
      </w:r>
      <w:r w:rsidRPr="00000000" w:rsidDel="00000000" w:rsidR="00000000">
        <w:rPr>
          <w:i w:val="0"/>
          <w:iCs w:val="0"/>
          <w:smallCaps w:val="0"/>
          <w:strike w:val="0"/>
          <w:color w:val="000000"/>
          <w:sz w:val="22"/>
          <w:szCs w:val="22"/>
          <w:u w:val="none"/>
          <w:shd w:val="clear" w:fill="auto"/>
          <w:vertAlign w:val="baseline"/>
          <w:rtl w:val="0"/>
        </w:rPr>
        <w:t xml:space="preserve"> the activities of the country and regional Compliance teams. </w:t>
      </w:r>
    </w:p>
    <w:p w:rsidRPr="00000000" w:rsidR="00000000" w:rsidDel="00000000" w:rsidP="00000000" w:rsidRDefault="00000000" w14:paraId="0000016B">
      <w:pPr>
        <w:numPr>
          <w:ilvl w:val="2"/>
          <w:numId w:val="7"/>
        </w:numPr>
        <w:spacing w:line="276" w:lineRule="auto"/>
        <w:ind w:left="720" w:hanging="720"/>
      </w:pPr>
      <w:r w:rsidRPr="00000000" w:rsidDel="00000000" w:rsidR="00000000">
        <w:rPr>
          <w:rtl w:val="0"/>
        </w:rPr>
        <w:t xml:space="preserve">The Group’s Chief Compliance Officer heads the Global Compliance Department, and he/she may delegate their authority to the Regional or Country Compliance Officer/MLRO to implement and exercise compliance oversight in the respective jurisdictions where there is a Binance Business Unit or a registered Binance-country entity.</w:t>
      </w:r>
    </w:p>
    <w:p w:rsidRPr="00000000" w:rsidR="00000000" w:rsidDel="00000000" w:rsidP="00000000" w:rsidRDefault="00000000" w14:paraId="0000016C">
      <w:pPr>
        <w:pStyle w:val="Heading2"/>
        <w:numPr>
          <w:ilvl w:val="1"/>
          <w:numId w:val="7"/>
        </w:numPr>
        <w:pBdr>
          <w:top w:val="nil" w:sz="0" w:space="0"/>
          <w:left w:val="nil" w:sz="0" w:space="0"/>
          <w:bottom w:val="nil" w:sz="0" w:space="0"/>
          <w:right w:val="nil" w:sz="0" w:space="0"/>
          <w:between w:val="nil" w:sz="0" w:space="0"/>
        </w:pBdr>
        <w:spacing w:before="200" w:lineRule="auto"/>
        <w:ind w:left="720" w:hanging="720"/>
        <w:rPr/>
      </w:pPr>
      <w:bookmarkStart w:name="_heading=h.94ry1lc05h99" w:colFirst="0" w:colLast="0" w:id="28"/>
      <w:bookmarkEnd w:id="28"/>
      <w:r w:rsidRPr="00000000" w:rsidDel="00000000" w:rsidR="00000000">
        <w:rPr>
          <w:sz w:val="24"/>
          <w:szCs w:val="24"/>
          <w:rtl w:val="0"/>
        </w:rPr>
        <w:t xml:space="preserve">Regional Compliance Officer</w:t>
      </w:r>
      <w:r w:rsidRPr="00000000" w:rsidDel="00000000" w:rsidR="00000000">
        <w:rPr>
          <w:rtl w:val="0"/>
        </w:rPr>
      </w:r>
    </w:p>
    <w:p w:rsidRPr="00000000" w:rsidR="00000000" w:rsidDel="00000000" w:rsidP="00000000" w:rsidRDefault="00000000" w14:paraId="0000016D">
      <w:pPr>
        <w:numPr>
          <w:ilvl w:val="2"/>
          <w:numId w:val="7"/>
        </w:numPr>
        <w:spacing w:after="100" w:line="276" w:lineRule="auto"/>
        <w:ind w:left="720" w:hanging="720"/>
      </w:pPr>
      <w:r w:rsidRPr="00000000" w:rsidDel="00000000" w:rsidR="00000000">
        <w:rPr>
          <w:rtl w:val="0"/>
        </w:rPr>
        <w:t xml:space="preserve">The Regional Compliance Officer supports the Group’s Chief Compliance Officer by overseeing the activities of local Compliance Officers/MLROs and ensures that they provide effective compliance oversight in their respective countries.  The Regional Compliance Officer provides advice and guidance to the Country Compliance Departments and other business units within the region on compliance-related matters. </w:t>
      </w:r>
    </w:p>
    <w:p w:rsidRPr="00000000" w:rsidR="00000000" w:rsidDel="00000000" w:rsidP="00000000" w:rsidRDefault="00000000" w14:paraId="0000016E">
      <w:pPr>
        <w:numPr>
          <w:ilvl w:val="2"/>
          <w:numId w:val="7"/>
        </w:numPr>
        <w:spacing w:after="100" w:line="276" w:lineRule="auto"/>
        <w:ind w:left="720" w:hanging="720"/>
      </w:pPr>
      <w:r w:rsidRPr="00000000" w:rsidDel="00000000" w:rsidR="00000000">
        <w:rPr>
          <w:rtl w:val="0"/>
        </w:rPr>
        <w:t xml:space="preserve">The Regional Compliance Officer provides advisory support, coordinates regional regulatory examinations, supports regional training initiatives, and collaborates with Global Compliance to ensure timely and effective response to audit findings, regulatory requests, and emerging risks.</w:t>
      </w:r>
    </w:p>
    <w:p w:rsidRPr="00000000" w:rsidR="00000000" w:rsidDel="00000000" w:rsidP="00000000" w:rsidRDefault="00000000" w14:paraId="0000016F">
      <w:pPr>
        <w:pStyle w:val="Heading2"/>
        <w:numPr>
          <w:ilvl w:val="1"/>
          <w:numId w:val="7"/>
        </w:numPr>
        <w:spacing w:before="200" w:lineRule="auto"/>
        <w:ind w:left="720" w:hanging="720"/>
        <w:rPr/>
      </w:pPr>
      <w:bookmarkStart w:name="_heading=h.yh3sbbrg7h1i" w:colFirst="0" w:colLast="0" w:id="29"/>
      <w:bookmarkEnd w:id="29"/>
      <w:r w:rsidRPr="00000000" w:rsidDel="00000000" w:rsidR="00000000">
        <w:rPr>
          <w:sz w:val="24"/>
          <w:szCs w:val="24"/>
          <w:rtl w:val="0"/>
        </w:rPr>
        <w:t xml:space="preserve">The Country Compliance Officer / Money Laundering Reporting Officer </w:t>
      </w:r>
      <w:r w:rsidRPr="00000000" w:rsidDel="00000000" w:rsidR="00000000">
        <w:rPr>
          <w:rtl w:val="0"/>
        </w:rPr>
      </w:r>
    </w:p>
    <w:p w:rsidRPr="00000000" w:rsidR="00000000" w:rsidDel="00000000" w:rsidP="00000000" w:rsidRDefault="00000000" w14:paraId="00000170">
      <w:pPr>
        <w:numPr>
          <w:ilvl w:val="2"/>
          <w:numId w:val="7"/>
        </w:numPr>
        <w:spacing w:after="100" w:line="276" w:lineRule="auto"/>
        <w:ind w:left="720" w:hanging="720"/>
      </w:pPr>
      <w:r w:rsidRPr="00000000" w:rsidDel="00000000" w:rsidR="00000000">
        <w:rPr>
          <w:rtl w:val="0"/>
        </w:rPr>
        <w:t xml:space="preserve">The Country Compliance Officer or Money Laundering Reporting Officer (MLRO) is appointed in the local jurisdictions where there is a Binance Business Unit or where there is a Binance-country entity registered as a Digital Asset service provider.  The MLRO may also serve as the Country Compliance Officer.  In the ADGM, the MLRO must meet the qualifications and independence requirements outlined by the ADGM AML Rules including being a UAE resident, possessing sufficient seniority and experience, and being registered with the relevant regulator.  The MLRO must be appointed at the level of the regulated Binance entity and have direct access to Senior Management and Binance’s board.  In certain cases, a Country Compliance Officer may be designated as the MLRO for more than one country. </w:t>
      </w:r>
    </w:p>
    <w:p w:rsidRPr="00000000" w:rsidR="00000000" w:rsidDel="00000000" w:rsidP="00000000" w:rsidRDefault="00000000" w14:paraId="00000171">
      <w:pPr>
        <w:numPr>
          <w:ilvl w:val="2"/>
          <w:numId w:val="7"/>
        </w:numPr>
        <w:spacing w:after="100" w:line="276" w:lineRule="auto"/>
        <w:ind w:left="720" w:hanging="720"/>
      </w:pPr>
      <w:r w:rsidRPr="00000000" w:rsidDel="00000000" w:rsidR="00000000">
        <w:rPr>
          <w:rtl w:val="0"/>
        </w:rPr>
        <w:t xml:space="preserve">The MLRO oversees the implementation of the Global Financial Crime Compliance Program in their local jurisdictions.  The MLRO must act independently in their role, with adequate authority and resources to discharge their statutory obligations.  In some cases, the MLRO is also the Country Compliance Officer and manages the Compliance Department for the locally incorporated Binance entity.  Where the ADGM MLRO is subject to the UAE AML Law, they must also ensure registration with the UAE FIU via goAML.</w:t>
      </w:r>
    </w:p>
    <w:p w:rsidRPr="00000000" w:rsidR="00000000" w:rsidDel="00000000" w:rsidP="00000000" w:rsidRDefault="00000000" w14:paraId="00000172">
      <w:pPr>
        <w:numPr>
          <w:ilvl w:val="2"/>
          <w:numId w:val="7"/>
        </w:numPr>
        <w:spacing w:after="100" w:line="276" w:lineRule="auto"/>
        <w:ind w:left="720" w:hanging="720"/>
      </w:pPr>
      <w:r w:rsidRPr="00000000" w:rsidDel="00000000" w:rsidR="00000000">
        <w:rPr>
          <w:rtl w:val="0"/>
        </w:rPr>
        <w:t xml:space="preserve">The role of the MLRO includes, but is not limited to:  </w:t>
      </w:r>
    </w:p>
    <w:p w:rsidRPr="00000000" w:rsidR="00000000" w:rsidDel="00000000" w:rsidP="00000000" w:rsidRDefault="00000000" w14:paraId="00000173">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Act as the focal point for the oversight of all Financial Crime Compliance activity in for the licensed or registered entity; in cases where there is more than one locally incorporated Binance entity, the CCO shall decide on MLRO/country Compliance Department coverage for each local Binance entity; </w:t>
      </w:r>
      <w:r w:rsidRPr="00000000" w:rsidDel="00000000" w:rsidR="00000000">
        <w:rPr>
          <w:rtl w:val="0"/>
        </w:rPr>
      </w:r>
    </w:p>
    <w:p w:rsidRPr="00000000" w:rsidR="00000000" w:rsidDel="00000000" w:rsidP="00000000" w:rsidRDefault="00000000" w14:paraId="00000174">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Periodically review the local implementation of the AML/CFT Compliance Program for their respective jurisdiction and conduct timely updates in response to changes in regulations, policies and other AML/CFT initiatives;</w:t>
      </w:r>
      <w:r w:rsidRPr="00000000" w:rsidDel="00000000" w:rsidR="00000000">
        <w:rPr>
          <w:rtl w:val="0"/>
        </w:rPr>
      </w:r>
    </w:p>
    <w:p w:rsidRPr="00000000" w:rsidR="00000000" w:rsidDel="00000000" w:rsidP="00000000" w:rsidRDefault="00000000" w14:paraId="00000175">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Subject to the rules on ‘Suspicious Activity Reporting’ and ‘Client Confidentiality and Information Sharing’, as provided in sections 14 and 20, grant the Financial Crime Investigations (FCI) team, for investigation purposes and under confidentiality and data protection constraints, access to information, data, records and systems that could potentially be connected to money laundering and terrorist financing, as well as sufficient powers for the enforcement of compliance with applicable legal provisions; </w:t>
      </w:r>
      <w:r w:rsidRPr="00000000" w:rsidDel="00000000" w:rsidR="00000000">
        <w:rPr>
          <w:rtl w:val="0"/>
        </w:rPr>
      </w:r>
    </w:p>
    <w:p w:rsidRPr="00000000" w:rsidR="00000000" w:rsidDel="00000000" w:rsidP="00000000" w:rsidRDefault="00000000" w14:paraId="00000176">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Maintain a country legal and regulatory inventory and assess, any new local legal or regulatory requirements (including those relating to Financial Crime) associated with the Group’s products, services, delivery channels and/or client types and ensure in coordination with the Global Compliance Team the implementation of effective procedures for complying with these requirements;</w:t>
      </w:r>
      <w:r w:rsidRPr="00000000" w:rsidDel="00000000" w:rsidR="00000000">
        <w:rPr>
          <w:rtl w:val="0"/>
        </w:rPr>
      </w:r>
    </w:p>
    <w:p w:rsidRPr="00000000" w:rsidR="00000000" w:rsidDel="00000000" w:rsidP="00000000" w:rsidRDefault="00000000" w14:paraId="0000017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Be informed of any relevant AML related information or suspicious activity and determine if external suspicious activity or Transaction reporting is warranted, and submitting reports to the FIU via goAML, in accordance with Chapter 14 of the ADGM AML Rulebook; all reports must be properly documented and traceable to allow regulatory inspection;</w:t>
      </w:r>
      <w:r w:rsidRPr="00000000" w:rsidDel="00000000" w:rsidR="00000000">
        <w:rPr>
          <w:rtl w:val="0"/>
        </w:rPr>
      </w:r>
    </w:p>
    <w:p w:rsidRPr="00000000" w:rsidR="00000000" w:rsidDel="00000000" w:rsidP="00000000" w:rsidRDefault="00000000" w14:paraId="00000178">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Review and approve/reject new Business Relations with PEPs of their respective jurisdiction business operations that have been classified as higher risk, or for which a review has been requested by the account manager or compliance ops team member;</w:t>
      </w:r>
      <w:r w:rsidRPr="00000000" w:rsidDel="00000000" w:rsidR="00000000">
        <w:rPr>
          <w:rtl w:val="0"/>
        </w:rPr>
      </w:r>
    </w:p>
    <w:p w:rsidRPr="00000000" w:rsidR="00000000" w:rsidDel="00000000" w:rsidP="00000000" w:rsidRDefault="00000000" w14:paraId="00000179">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Manages the relationship with the local regulatory and supervisory authority; </w:t>
      </w:r>
      <w:r w:rsidRPr="00000000" w:rsidDel="00000000" w:rsidR="00000000">
        <w:rPr>
          <w:rtl w:val="0"/>
        </w:rPr>
      </w:r>
    </w:p>
    <w:p w:rsidRPr="00000000" w:rsidR="00000000" w:rsidDel="00000000" w:rsidP="00000000" w:rsidRDefault="00000000" w14:paraId="0000017A">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Liaises with the relevant local law enforcement agencies; </w:t>
      </w:r>
      <w:r w:rsidRPr="00000000" w:rsidDel="00000000" w:rsidR="00000000">
        <w:rPr>
          <w:rtl w:val="0"/>
        </w:rPr>
      </w:r>
    </w:p>
    <w:p w:rsidRPr="00000000" w:rsidR="00000000" w:rsidDel="00000000" w:rsidP="00000000" w:rsidRDefault="00000000" w14:paraId="0000017B">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In coordination with the Global Audit and Issue Management team, oversee preparation of material for AML/CFT/PF independent reviews or regulatory examinations for their respective jurisdiction;</w:t>
      </w:r>
      <w:r w:rsidRPr="00000000" w:rsidDel="00000000" w:rsidR="00000000">
        <w:rPr>
          <w:rtl w:val="0"/>
        </w:rPr>
      </w:r>
    </w:p>
    <w:p w:rsidRPr="00000000" w:rsidR="00000000" w:rsidDel="00000000" w:rsidP="00000000" w:rsidRDefault="00000000" w14:paraId="0000017C">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Supervise the fulfilment of record keeping requirements applicable under the jurisdiction record retention requirements; and </w:t>
      </w:r>
      <w:r w:rsidRPr="00000000" w:rsidDel="00000000" w:rsidR="00000000">
        <w:rPr>
          <w:rtl w:val="0"/>
        </w:rPr>
      </w:r>
    </w:p>
    <w:p w:rsidRPr="00000000" w:rsidR="00000000" w:rsidDel="00000000" w:rsidP="00000000" w:rsidRDefault="00000000" w14:paraId="0000017D">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Keep informed of and track local and regional (if applicable) regulatory changes. </w:t>
      </w:r>
      <w:r w:rsidRPr="00000000" w:rsidDel="00000000" w:rsidR="00000000">
        <w:rPr>
          <w:rtl w:val="0"/>
        </w:rPr>
      </w:r>
    </w:p>
    <w:p w:rsidRPr="00000000" w:rsidR="00000000" w:rsidDel="00000000" w:rsidP="00000000" w:rsidRDefault="00000000" w14:paraId="0000017E">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gcqdpcxy59ss" w:colFirst="0" w:colLast="0" w:id="30"/>
      <w:bookmarkEnd w:id="30"/>
      <w:r w:rsidRPr="00000000" w:rsidDel="00000000" w:rsidR="00000000">
        <w:rPr>
          <w:sz w:val="24"/>
          <w:szCs w:val="24"/>
          <w:rtl w:val="0"/>
        </w:rPr>
        <w:t xml:space="preserve">Business Compliance </w:t>
      </w:r>
      <w:r w:rsidRPr="00000000" w:rsidDel="00000000" w:rsidR="00000000">
        <w:rPr>
          <w:rtl w:val="0"/>
        </w:rPr>
      </w:r>
    </w:p>
    <w:p w:rsidRPr="00000000" w:rsidR="00000000" w:rsidDel="00000000" w:rsidP="00000000" w:rsidRDefault="00000000" w14:paraId="0000017F">
      <w:pPr>
        <w:numPr>
          <w:ilvl w:val="2"/>
          <w:numId w:val="7"/>
        </w:numPr>
        <w:spacing w:line="276" w:lineRule="auto"/>
        <w:ind w:left="720" w:hanging="720"/>
      </w:pPr>
      <w:r w:rsidRPr="00000000" w:rsidDel="00000000" w:rsidR="00000000">
        <w:rPr>
          <w:rtl w:val="0"/>
        </w:rPr>
        <w:t xml:space="preserve">Business Compliance ensures that all products or services within Binance comply with both internal policies and external regulations. The team supports the First Line of Defense by overseeing the product development and updating processes, ensures proper documentation for legal and regulatory purposes, and collaborates with other relevant Business Units to ensure continued compliance across the product life cycles.  This includes ensuring products and services are subject to financial crime risk assessments and that appropriate controls are applied in accordance with the ADGM AML Rules and UAE AML Laws.</w:t>
      </w:r>
    </w:p>
    <w:p w:rsidRPr="00000000" w:rsidR="00000000" w:rsidDel="00000000" w:rsidP="00000000" w:rsidRDefault="00000000" w14:paraId="00000180">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oifo81nt1fhl" w:colFirst="0" w:colLast="0" w:id="31"/>
      <w:bookmarkEnd w:id="31"/>
      <w:r w:rsidRPr="00000000" w:rsidDel="00000000" w:rsidR="00000000">
        <w:rPr>
          <w:b w:val="1"/>
          <w:bCs w:val="1"/>
          <w:sz w:val="24"/>
          <w:szCs w:val="24"/>
          <w:rtl w:val="0"/>
        </w:rPr>
        <w:t xml:space="preserve">Enterprise Wide Risk Assessment (EWRA)</w:t>
      </w:r>
      <w:r w:rsidRPr="00000000" w:rsidDel="00000000" w:rsidR="00000000">
        <w:rPr>
          <w:rtl w:val="0"/>
        </w:rPr>
      </w:r>
    </w:p>
    <w:p w:rsidRPr="00000000" w:rsidR="00000000" w:rsidDel="00000000" w:rsidP="00000000" w:rsidRDefault="00000000" w14:paraId="00000181">
      <w:pPr>
        <w:spacing w:line="276" w:lineRule="auto"/>
        <w:ind w:left="720" w:firstLine="0"/>
        <w:rPr/>
      </w:pPr>
      <w:bookmarkStart w:name="_heading=h.4oi5rbhhvkjc" w:colFirst="0" w:colLast="0" w:id="32"/>
      <w:bookmarkEnd w:id="32"/>
      <w:r w:rsidRPr="00000000" w:rsidDel="00000000" w:rsidR="00000000">
        <w:rPr>
          <w:rtl w:val="0"/>
        </w:rPr>
        <w:t xml:space="preserve">Binance’s Business Compliance team assists the business with the Anti Financial Crime Enterprise Wide Risk Assessment. The team works closely with the control owners, Global Compliance teams and local MLROs to agree the methodology and complete the exercise to identify and appropriately manage the financial crime risks.</w:t>
      </w:r>
      <w:r w:rsidRPr="00000000" w:rsidDel="00000000" w:rsidR="00000000">
        <w:rPr>
          <w:rtl w:val="0"/>
        </w:rPr>
        <w:t xml:space="preserve"> MLROs of ADGM entities are accountable for supervising the EWRA of ADGM entities. Outside ADGM, MLROs of Binance’s local licensed/registered entities are </w:t>
      </w:r>
      <w:r w:rsidRPr="00000000" w:rsidDel="00000000" w:rsidR="00000000">
        <w:rPr>
          <w:rtl w:val="0"/>
        </w:rPr>
        <w:t xml:space="preserve">accountable</w:t>
      </w:r>
      <w:r w:rsidRPr="00000000" w:rsidDel="00000000" w:rsidR="00000000">
        <w:rPr>
          <w:rtl w:val="0"/>
        </w:rPr>
        <w:t xml:space="preserve"> for supervising the EWRA of their respective local licensed/registered entities.</w:t>
      </w:r>
    </w:p>
    <w:p w:rsidRPr="00000000" w:rsidR="00000000" w:rsidDel="00000000" w:rsidP="00000000" w:rsidRDefault="00000000" w14:paraId="00000182">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nv6a6q6azlff" w:colFirst="0" w:colLast="0" w:id="33"/>
      <w:bookmarkEnd w:id="33"/>
      <w:r w:rsidRPr="00000000" w:rsidDel="00000000" w:rsidR="00000000">
        <w:rPr>
          <w:sz w:val="24"/>
          <w:szCs w:val="24"/>
          <w:rtl w:val="0"/>
        </w:rPr>
        <w:t xml:space="preserve">Central Project Management Office (CPMO)  </w:t>
      </w:r>
      <w:r w:rsidRPr="00000000" w:rsidDel="00000000" w:rsidR="00000000">
        <w:rPr>
          <w:rtl w:val="0"/>
        </w:rPr>
      </w:r>
    </w:p>
    <w:p w:rsidRPr="00000000" w:rsidR="00000000" w:rsidDel="00000000" w:rsidP="00000000" w:rsidRDefault="00000000" w14:paraId="00000183">
      <w:pPr>
        <w:numPr>
          <w:ilvl w:val="2"/>
          <w:numId w:val="7"/>
        </w:numPr>
        <w:spacing w:line="276" w:lineRule="auto"/>
        <w:ind w:left="720" w:hanging="720"/>
      </w:pPr>
      <w:r w:rsidRPr="00000000" w:rsidDel="00000000" w:rsidR="00000000">
        <w:rPr>
          <w:rtl w:val="0"/>
        </w:rPr>
        <w:t xml:space="preserve">The Central Project Management Office works with Compliance Business and Product teams to prioritise resourcing and implement projects within the Compliance domain. The CPMO also also ensures that regulatory change initiatives are implemented in a timely and coordinated manner across impacted functions</w:t>
      </w:r>
    </w:p>
    <w:p w:rsidRPr="00000000" w:rsidR="00000000" w:rsidDel="00000000" w:rsidP="00000000" w:rsidRDefault="00000000" w14:paraId="00000184">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7uzfkjvuvx0h" w:colFirst="0" w:colLast="0" w:id="34"/>
      <w:bookmarkEnd w:id="34"/>
      <w:r w:rsidRPr="00000000" w:rsidDel="00000000" w:rsidR="00000000">
        <w:rPr>
          <w:sz w:val="24"/>
          <w:szCs w:val="24"/>
          <w:rtl w:val="0"/>
        </w:rPr>
        <w:t xml:space="preserve">Global Core Compliance</w:t>
      </w:r>
      <w:r w:rsidRPr="00000000" w:rsidDel="00000000" w:rsidR="00000000">
        <w:rPr>
          <w:rtl w:val="0"/>
        </w:rPr>
      </w:r>
    </w:p>
    <w:p w:rsidRPr="00000000" w:rsidR="00000000" w:rsidDel="00000000" w:rsidP="00000000" w:rsidRDefault="00000000" w14:paraId="00000185">
      <w:pPr>
        <w:numPr>
          <w:ilvl w:val="2"/>
          <w:numId w:val="7"/>
        </w:numPr>
        <w:spacing w:after="100" w:line="276" w:lineRule="auto"/>
        <w:ind w:left="720" w:hanging="720"/>
      </w:pPr>
      <w:r w:rsidRPr="00000000" w:rsidDel="00000000" w:rsidR="00000000">
        <w:rPr>
          <w:rtl w:val="0"/>
        </w:rPr>
        <w:t xml:space="preserve">The Global Core Compliance team supports the Global Compliance Department and the Regional Compliance Officer by implementing and further development of the Global Financial Crime Compliance Program.  This function consists of these different program pillars:</w:t>
      </w:r>
    </w:p>
    <w:p w:rsidRPr="00000000" w:rsidR="00000000" w:rsidDel="00000000" w:rsidP="00000000" w:rsidRDefault="00000000" w14:paraId="00000186">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pPr>
      <w:r w:rsidRPr="00000000" w:rsidDel="00000000" w:rsidR="00000000">
        <w:rPr>
          <w:b w:val="1"/>
          <w:bCs w:val="1"/>
          <w:i w:val="0"/>
          <w:iCs w:val="0"/>
          <w:smallCaps w:val="0"/>
          <w:strike w:val="0"/>
          <w:color w:val="000000"/>
          <w:sz w:val="22"/>
          <w:szCs w:val="22"/>
          <w:u w:val="none"/>
          <w:shd w:val="clear" w:fill="auto"/>
          <w:vertAlign w:val="baseline"/>
          <w:rtl w:val="0"/>
        </w:rPr>
        <w:t xml:space="preserve">Third Party</w:t>
      </w:r>
      <w:r w:rsidRPr="00000000" w:rsidDel="00000000" w:rsidR="00000000">
        <w:rPr>
          <w:b w:val="1"/>
          <w:bCs w:val="1"/>
          <w:rtl w:val="0"/>
        </w:rPr>
        <w:t xml:space="preserve"> </w:t>
      </w:r>
      <w:r w:rsidRPr="00000000" w:rsidDel="00000000" w:rsidR="00000000">
        <w:rPr>
          <w:b w:val="1"/>
          <w:bCs w:val="1"/>
          <w:i w:val="0"/>
          <w:iCs w:val="0"/>
          <w:smallCaps w:val="0"/>
          <w:strike w:val="0"/>
          <w:color w:val="000000"/>
          <w:sz w:val="22"/>
          <w:szCs w:val="22"/>
          <w:u w:val="none"/>
          <w:shd w:val="clear" w:fill="auto"/>
          <w:vertAlign w:val="baseline"/>
          <w:rtl w:val="0"/>
        </w:rPr>
        <w:t xml:space="preserve">Partner Due Diligence</w:t>
      </w:r>
      <w:r w:rsidRPr="00000000" w:rsidDel="00000000" w:rsidR="00000000">
        <w:rPr>
          <w:i w:val="0"/>
          <w:iCs w:val="0"/>
          <w:smallCaps w:val="0"/>
          <w:strike w:val="0"/>
          <w:color w:val="000000"/>
          <w:sz w:val="22"/>
          <w:szCs w:val="22"/>
          <w:u w:val="none"/>
          <w:shd w:val="clear" w:fill="auto"/>
          <w:vertAlign w:val="baseline"/>
          <w:rtl w:val="0"/>
        </w:rPr>
        <w:t xml:space="preserve"> is responsible for assessing and managing risks that may arise from arrangements with third parties, such as vendors or partners.  The team conducts due diligence checks to ensure these third parties comply with Binance's internal policies and relevant laws and regulations.  Additionally, they manage due diligence requests from external vendors and partners.  A risk-based approach is determined to define the requirements for third party due diligence wherever applicable.  This includes defining the requirements for CDD measures, in line with ADGM AML Rule 8.3, to be undertaken for agency arrangements with third parties involved in the introduction of business or referral of Customers to the Group.</w:t>
      </w:r>
      <w:r w:rsidRPr="00000000" w:rsidDel="00000000" w:rsidR="00000000">
        <w:rPr>
          <w:rtl w:val="0"/>
        </w:rPr>
      </w:r>
    </w:p>
    <w:p w:rsidRPr="00000000" w:rsidR="00000000" w:rsidDel="00000000" w:rsidP="00000000" w:rsidRDefault="00000000" w14:paraId="0000018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pPr>
      <w:r w:rsidRPr="00000000" w:rsidDel="00000000" w:rsidR="00000000">
        <w:rPr>
          <w:b w:val="1"/>
          <w:bCs w:val="1"/>
          <w:i w:val="0"/>
          <w:iCs w:val="0"/>
          <w:smallCaps w:val="0"/>
          <w:strike w:val="0"/>
          <w:color w:val="000000"/>
          <w:sz w:val="22"/>
          <w:szCs w:val="22"/>
          <w:u w:val="none"/>
          <w:shd w:val="clear" w:fill="auto"/>
          <w:vertAlign w:val="baseline"/>
          <w:rtl w:val="0"/>
        </w:rPr>
        <w:t xml:space="preserve">Compliance Training</w:t>
      </w:r>
      <w:r w:rsidRPr="00000000" w:rsidDel="00000000" w:rsidR="00000000">
        <w:rPr>
          <w:i w:val="0"/>
          <w:iCs w:val="0"/>
          <w:smallCaps w:val="0"/>
          <w:strike w:val="0"/>
          <w:color w:val="000000"/>
          <w:sz w:val="22"/>
          <w:szCs w:val="22"/>
          <w:u w:val="none"/>
          <w:shd w:val="clear" w:fill="auto"/>
          <w:vertAlign w:val="baseline"/>
          <w:rtl w:val="0"/>
        </w:rPr>
        <w:t xml:space="preserve"> develops and delivers training programs to ensure that all compliance Personnel are aware of the relevant requirements for their roles.  The Team ensures also that Compliance Personnel understand the relevant laws, regulations, and Binance internal policies, and provides regular updates to keep staff informed about relevant changes.  Training must be delivered at least annually and tailored to employee roles.</w:t>
      </w:r>
      <w:r w:rsidRPr="00000000" w:rsidDel="00000000" w:rsidR="00000000">
        <w:rPr>
          <w:rtl w:val="0"/>
        </w:rPr>
      </w:r>
    </w:p>
    <w:p w:rsidRPr="00000000" w:rsidR="00000000" w:rsidDel="00000000" w:rsidP="00000000" w:rsidRDefault="00000000" w14:paraId="00000188">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pPr>
      <w:r w:rsidRPr="00000000" w:rsidDel="00000000" w:rsidR="00000000">
        <w:rPr>
          <w:b w:val="1"/>
          <w:bCs w:val="1"/>
          <w:rtl w:val="0"/>
        </w:rPr>
        <w:t xml:space="preserve">Compliance Issue and Change Management team: </w:t>
      </w:r>
      <w:r w:rsidRPr="00000000" w:rsidDel="00000000" w:rsidR="00000000">
        <w:rPr>
          <w:rtl w:val="0"/>
        </w:rPr>
      </w:r>
    </w:p>
    <w:p w:rsidRPr="00000000" w:rsidR="00000000" w:rsidDel="00000000" w:rsidP="00000000" w:rsidRDefault="00000000" w14:paraId="00000189">
      <w:pPr>
        <w:keepNext w:val="0"/>
        <w:keepLines w:val="0"/>
        <w:pageBreakBefore w:val="0"/>
        <w:widowControl w:val="1"/>
        <w:numPr>
          <w:ilvl w:val="1"/>
          <w:numId w:val="6"/>
        </w:numPr>
        <w:pBdr>
          <w:top w:val="nil" w:sz="0" w:space="0"/>
          <w:left w:val="nil" w:sz="0" w:space="0"/>
          <w:bottom w:val="nil" w:sz="0" w:space="0"/>
          <w:right w:val="nil" w:sz="0" w:space="0"/>
          <w:between w:val="nil" w:sz="0" w:space="0"/>
        </w:pBdr>
        <w:shd w:val="clear" w:fill="auto"/>
        <w:spacing w:before="0" w:after="0" w:line="276" w:lineRule="auto"/>
        <w:ind w:left="1530" w:right="0" w:hanging="270"/>
        <w:jc w:val="both"/>
        <w:rPr>
          <w:u w:val="none"/>
        </w:rPr>
      </w:pPr>
      <w:r w:rsidRPr="00000000" w:rsidDel="00000000" w:rsidR="00000000">
        <w:rPr>
          <w:b w:val="1"/>
          <w:bCs w:val="1"/>
          <w:i w:val="0"/>
          <w:iCs w:val="0"/>
          <w:smallCaps w:val="0"/>
          <w:strike w:val="0"/>
          <w:color w:val="000000"/>
          <w:sz w:val="22"/>
          <w:szCs w:val="22"/>
          <w:u w:val="none"/>
          <w:shd w:val="clear" w:fill="auto"/>
          <w:vertAlign w:val="baseline"/>
          <w:rtl w:val="0"/>
        </w:rPr>
        <w:t xml:space="preserve">The Change Management team </w:t>
      </w:r>
      <w:r w:rsidRPr="00000000" w:rsidDel="00000000" w:rsidR="00000000">
        <w:rPr>
          <w:i w:val="0"/>
          <w:iCs w:val="0"/>
          <w:smallCaps w:val="0"/>
          <w:strike w:val="0"/>
          <w:color w:val="000000"/>
          <w:sz w:val="22"/>
          <w:szCs w:val="22"/>
          <w:u w:val="none"/>
          <w:shd w:val="clear" w:fill="auto"/>
          <w:vertAlign w:val="baseline"/>
          <w:rtl w:val="0"/>
        </w:rPr>
        <w:t xml:space="preserve">is responsible for</w:t>
      </w:r>
      <w:r w:rsidRPr="00000000" w:rsidDel="00000000" w:rsidR="00000000">
        <w:rPr>
          <w:rtl w:val="0"/>
        </w:rPr>
        <w:t xml:space="preserve"> oversight and maintenance of </w:t>
      </w:r>
      <w:r w:rsidRPr="00000000" w:rsidDel="00000000" w:rsidR="00000000">
        <w:rPr>
          <w:i w:val="0"/>
          <w:iCs w:val="0"/>
          <w:smallCaps w:val="0"/>
          <w:strike w:val="0"/>
          <w:color w:val="000000"/>
          <w:sz w:val="22"/>
          <w:szCs w:val="22"/>
          <w:u w:val="none"/>
          <w:shd w:val="clear" w:fill="auto"/>
          <w:vertAlign w:val="baseline"/>
          <w:rtl w:val="0"/>
        </w:rPr>
        <w:t xml:space="preserve"> Binance's Global policies and procedures. </w:t>
      </w:r>
      <w:r w:rsidRPr="00000000" w:rsidDel="00000000" w:rsidR="00000000">
        <w:rPr>
          <w:rtl w:val="0"/>
        </w:rPr>
        <w:t xml:space="preserve">The team also works with MLRO’s and Global compliance teams  to drive the implementation of country specific regulatory requirements. </w:t>
      </w:r>
      <w:r w:rsidRPr="00000000" w:rsidDel="00000000" w:rsidR="00000000">
        <w:rPr>
          <w:i w:val="0"/>
          <w:iCs w:val="0"/>
          <w:smallCaps w:val="0"/>
          <w:strike w:val="0"/>
          <w:color w:val="000000"/>
          <w:sz w:val="22"/>
          <w:szCs w:val="22"/>
          <w:u w:val="none"/>
          <w:shd w:val="clear" w:fill="auto"/>
          <w:vertAlign w:val="baseline"/>
          <w:rtl w:val="0"/>
        </w:rPr>
        <w:t xml:space="preserve"> </w:t>
      </w:r>
      <w:r w:rsidRPr="00000000" w:rsidDel="00000000" w:rsidR="00000000">
        <w:rPr>
          <w:rtl w:val="0"/>
        </w:rPr>
      </w:r>
    </w:p>
    <w:p w:rsidRPr="00000000" w:rsidR="00000000" w:rsidDel="00000000" w:rsidP="00000000" w:rsidRDefault="00000000" w14:paraId="0000018A">
      <w:pPr>
        <w:numPr>
          <w:ilvl w:val="1"/>
          <w:numId w:val="6"/>
        </w:numPr>
        <w:spacing w:after="100" w:line="276" w:lineRule="auto"/>
        <w:ind w:left="1530" w:hanging="270"/>
        <w:rPr>
          <w:u w:val="none"/>
        </w:rPr>
      </w:pPr>
      <w:r w:rsidRPr="00000000" w:rsidDel="00000000" w:rsidR="00000000">
        <w:rPr>
          <w:b w:val="1"/>
          <w:bCs w:val="1"/>
          <w:rtl w:val="0"/>
        </w:rPr>
        <w:t xml:space="preserve">Global Audit Issue Management</w:t>
      </w:r>
      <w:r w:rsidRPr="00000000" w:rsidDel="00000000" w:rsidR="00000000">
        <w:rPr>
          <w:rtl w:val="0"/>
        </w:rPr>
        <w:t xml:space="preserve">, supports the local/regional and global teams in preparation of, during, and after regulatory inspections, examinations and audits. This includes the monitoring of audit-related Compliance issues and coordination with relevant stakeholders to ensure issue resolution. </w:t>
      </w:r>
      <w:r w:rsidRPr="00000000" w:rsidDel="00000000" w:rsidR="00000000">
        <w:rPr>
          <w:rtl w:val="0"/>
        </w:rPr>
      </w:r>
    </w:p>
    <w:p w:rsidRPr="00000000" w:rsidR="00000000" w:rsidDel="00000000" w:rsidP="00000000" w:rsidRDefault="00000000" w14:paraId="0000018B">
      <w:pPr>
        <w:keepNext w:val="0"/>
        <w:keepLines w:val="0"/>
        <w:pageBreakBefore w:val="0"/>
        <w:widowControl w:val="1"/>
        <w:numPr>
          <w:ilvl w:val="0"/>
          <w:numId w:val="16"/>
        </w:numPr>
        <w:pBdr>
          <w:top w:val="nil" w:sz="0" w:space="0"/>
          <w:left w:val="nil" w:sz="0" w:space="0"/>
          <w:bottom w:val="nil" w:sz="0" w:space="0"/>
          <w:right w:val="nil" w:sz="0" w:space="0"/>
          <w:between w:val="nil" w:sz="0" w:space="0"/>
        </w:pBdr>
        <w:shd w:val="clear" w:fill="auto"/>
        <w:spacing w:before="100" w:after="60" w:line="276" w:lineRule="auto"/>
        <w:ind w:left="720" w:right="0" w:hanging="360"/>
        <w:jc w:val="both"/>
        <w:rPr>
          <w:u w:val="none"/>
        </w:rPr>
      </w:pPr>
      <w:r w:rsidRPr="00000000" w:rsidDel="00000000" w:rsidR="00000000">
        <w:rPr>
          <w:b w:val="1"/>
          <w:bCs w:val="1"/>
          <w:rtl w:val="0"/>
        </w:rPr>
        <w:t xml:space="preserve">Quality Assurance and Controls Effectiveness testing </w:t>
      </w:r>
      <w:r w:rsidRPr="00000000" w:rsidDel="00000000" w:rsidR="00000000">
        <w:rPr>
          <w:i w:val="0"/>
          <w:iCs w:val="0"/>
          <w:smallCaps w:val="0"/>
          <w:strike w:val="0"/>
          <w:color w:val="000000"/>
          <w:sz w:val="22"/>
          <w:szCs w:val="22"/>
          <w:u w:val="none"/>
          <w:shd w:val="clear" w:fill="auto"/>
          <w:vertAlign w:val="baseline"/>
          <w:rtl w:val="0"/>
        </w:rPr>
        <w:t xml:space="preserve"> must consider jurisdiction-specific regulatory standards.  It consists of two main teams:  Global Quality Assurance (GQA) and Global Compliance Controls Testing (GCCT):</w:t>
      </w:r>
      <w:r w:rsidRPr="00000000" w:rsidDel="00000000" w:rsidR="00000000">
        <w:rPr>
          <w:rtl w:val="0"/>
        </w:rPr>
      </w:r>
    </w:p>
    <w:p w:rsidRPr="00000000" w:rsidR="00000000" w:rsidDel="00000000" w:rsidP="00000000" w:rsidRDefault="00000000" w14:paraId="0000018C">
      <w:pPr>
        <w:keepNext w:val="0"/>
        <w:keepLines w:val="0"/>
        <w:pageBreakBefore w:val="0"/>
        <w:widowControl w:val="1"/>
        <w:numPr>
          <w:ilvl w:val="1"/>
          <w:numId w:val="6"/>
        </w:numPr>
        <w:pBdr>
          <w:top w:val="nil" w:sz="0" w:space="0"/>
          <w:left w:val="nil" w:sz="0" w:space="0"/>
          <w:bottom w:val="nil" w:sz="0" w:space="0"/>
          <w:right w:val="nil" w:sz="0" w:space="0"/>
          <w:between w:val="nil" w:sz="0" w:space="0"/>
        </w:pBdr>
        <w:shd w:val="clear" w:fill="auto"/>
        <w:spacing w:before="0" w:after="60" w:line="276" w:lineRule="auto"/>
        <w:ind w:left="1530" w:right="0" w:hanging="270"/>
        <w:jc w:val="both"/>
        <w:rPr/>
      </w:pPr>
      <w:r w:rsidRPr="00000000" w:rsidDel="00000000" w:rsidR="00000000">
        <w:rPr>
          <w:b w:val="1"/>
          <w:bCs w:val="1"/>
          <w:rtl w:val="0"/>
        </w:rPr>
        <w:t xml:space="preserve">Global</w:t>
      </w:r>
      <w:r w:rsidRPr="00000000" w:rsidDel="00000000" w:rsidR="00000000">
        <w:rPr>
          <w:i w:val="0"/>
          <w:iCs w:val="0"/>
          <w:smallCaps w:val="0"/>
          <w:strike w:val="0"/>
          <w:color w:val="000000"/>
          <w:sz w:val="22"/>
          <w:szCs w:val="22"/>
          <w:u w:val="none"/>
          <w:shd w:val="clear" w:fill="auto"/>
          <w:vertAlign w:val="baseline"/>
          <w:rtl w:val="0"/>
        </w:rPr>
        <w:t xml:space="preserve"> </w:t>
      </w:r>
      <w:r w:rsidRPr="00000000" w:rsidDel="00000000" w:rsidR="00000000">
        <w:rPr>
          <w:b w:val="1"/>
          <w:bCs w:val="1"/>
          <w:rtl w:val="0"/>
        </w:rPr>
        <w:t xml:space="preserve">Quality Assurance (GQA):</w:t>
      </w:r>
      <w:r w:rsidRPr="00000000" w:rsidDel="00000000" w:rsidR="00000000">
        <w:rPr>
          <w:i w:val="0"/>
          <w:iCs w:val="0"/>
          <w:smallCaps w:val="0"/>
          <w:strike w:val="0"/>
          <w:color w:val="000000"/>
          <w:sz w:val="22"/>
          <w:szCs w:val="22"/>
          <w:u w:val="none"/>
          <w:shd w:val="clear" w:fill="auto"/>
          <w:vertAlign w:val="baseline"/>
          <w:rtl w:val="0"/>
        </w:rPr>
        <w:t xml:space="preserve">  Global Compliance has established an independent Quality Assurance framework that periodically assesses the operational effectiveness of compliance controls, staff, systems, processes and procedures.  It also identifies thematic issues and deficiencies where relevant.  Any errors or issues identified during reviews are communicated to the responsible stakeholders and teams responsible for rectification, and the results of reviews are reported to Management on a periodic basis.</w:t>
      </w:r>
      <w:r w:rsidRPr="00000000" w:rsidDel="00000000" w:rsidR="00000000">
        <w:rPr>
          <w:rtl w:val="0"/>
        </w:rPr>
      </w:r>
    </w:p>
    <w:p w:rsidRPr="00000000" w:rsidR="00000000" w:rsidDel="00000000" w:rsidP="00000000" w:rsidRDefault="00000000" w14:paraId="0000018D">
      <w:pPr>
        <w:keepNext w:val="0"/>
        <w:keepLines w:val="0"/>
        <w:pageBreakBefore w:val="0"/>
        <w:widowControl w:val="1"/>
        <w:numPr>
          <w:ilvl w:val="1"/>
          <w:numId w:val="6"/>
        </w:numPr>
        <w:pBdr>
          <w:top w:val="nil" w:sz="0" w:space="0"/>
          <w:left w:val="nil" w:sz="0" w:space="0"/>
          <w:bottom w:val="nil" w:sz="0" w:space="0"/>
          <w:right w:val="nil" w:sz="0" w:space="0"/>
          <w:between w:val="nil" w:sz="0" w:space="0"/>
        </w:pBdr>
        <w:shd w:val="clear" w:fill="auto"/>
        <w:spacing w:before="0" w:after="100" w:line="276" w:lineRule="auto"/>
        <w:ind w:left="1530" w:right="0" w:hanging="270"/>
        <w:jc w:val="both"/>
        <w:rPr/>
      </w:pPr>
      <w:r w:rsidRPr="00000000" w:rsidDel="00000000" w:rsidR="00000000">
        <w:rPr>
          <w:b w:val="1"/>
          <w:bCs w:val="1"/>
          <w:rtl w:val="0"/>
        </w:rPr>
        <w:t xml:space="preserve">Global</w:t>
      </w:r>
      <w:r w:rsidRPr="00000000" w:rsidDel="00000000" w:rsidR="00000000">
        <w:rPr>
          <w:i w:val="0"/>
          <w:iCs w:val="0"/>
          <w:smallCaps w:val="0"/>
          <w:strike w:val="0"/>
          <w:color w:val="000000"/>
          <w:sz w:val="22"/>
          <w:szCs w:val="22"/>
          <w:u w:val="none"/>
          <w:shd w:val="clear" w:fill="auto"/>
          <w:vertAlign w:val="baseline"/>
          <w:rtl w:val="0"/>
        </w:rPr>
        <w:t xml:space="preserve"> </w:t>
      </w:r>
      <w:r w:rsidRPr="00000000" w:rsidDel="00000000" w:rsidR="00000000">
        <w:rPr>
          <w:b w:val="1"/>
          <w:bCs w:val="1"/>
          <w:rtl w:val="0"/>
        </w:rPr>
        <w:t xml:space="preserve">Compliance Controls Testing (GCCT)</w:t>
      </w:r>
      <w:r w:rsidRPr="00000000" w:rsidDel="00000000" w:rsidR="00000000">
        <w:rPr>
          <w:i w:val="0"/>
          <w:iCs w:val="0"/>
          <w:smallCaps w:val="0"/>
          <w:strike w:val="0"/>
          <w:color w:val="000000"/>
          <w:sz w:val="22"/>
          <w:szCs w:val="22"/>
          <w:u w:val="none"/>
          <w:shd w:val="clear" w:fill="auto"/>
          <w:vertAlign w:val="baseline"/>
          <w:rtl w:val="0"/>
        </w:rPr>
        <w:t xml:space="preserve">:  Global Compliance </w:t>
      </w:r>
      <w:r w:rsidRPr="00000000" w:rsidDel="00000000" w:rsidR="00000000">
        <w:rPr>
          <w:rtl w:val="0"/>
        </w:rPr>
        <w:t xml:space="preserve">has built a </w:t>
      </w:r>
      <w:r w:rsidRPr="00000000" w:rsidDel="00000000" w:rsidR="00000000">
        <w:rPr>
          <w:i w:val="0"/>
          <w:iCs w:val="0"/>
          <w:smallCaps w:val="0"/>
          <w:strike w:val="0"/>
          <w:color w:val="000000"/>
          <w:sz w:val="22"/>
          <w:szCs w:val="22"/>
          <w:u w:val="none"/>
          <w:shd w:val="clear" w:fill="auto"/>
          <w:vertAlign w:val="baseline"/>
          <w:rtl w:val="0"/>
        </w:rPr>
        <w:t xml:space="preserve">team that will conduct in-depth examinations of key compliance controls listed in the Global Compliance Controls Inventory.  The key deliverables include evaluating the operational and design effectiveness of the Group’s AML/CTF controls and related systems and processes within the first and second lines of defense.  The periodic examinations will also ensure that the controls align with the regulatory requirements of licensed jurisdictions, while adhering to industry best practices and global guidelines issued by international organizations such as FATF.</w:t>
      </w:r>
      <w:r w:rsidRPr="00000000" w:rsidDel="00000000" w:rsidR="00000000">
        <w:rPr>
          <w:rtl w:val="0"/>
        </w:rPr>
      </w:r>
    </w:p>
    <w:p w:rsidRPr="00000000" w:rsidR="00000000" w:rsidDel="00000000" w:rsidP="00000000" w:rsidRDefault="00000000" w14:paraId="0000018E">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7c0nf3p5u50f" w:colFirst="0" w:colLast="0" w:id="35"/>
      <w:bookmarkEnd w:id="35"/>
      <w:r w:rsidRPr="00000000" w:rsidDel="00000000" w:rsidR="00000000">
        <w:rPr>
          <w:sz w:val="24"/>
          <w:szCs w:val="24"/>
          <w:rtl w:val="0"/>
        </w:rPr>
        <w:t xml:space="preserve">Business Development Lead / Business Line Managers </w:t>
      </w:r>
      <w:r w:rsidRPr="00000000" w:rsidDel="00000000" w:rsidR="00000000">
        <w:rPr>
          <w:rtl w:val="0"/>
        </w:rPr>
      </w:r>
    </w:p>
    <w:p w:rsidRPr="00000000" w:rsidR="00000000" w:rsidDel="00000000" w:rsidP="00000000" w:rsidRDefault="00000000" w14:paraId="0000018F">
      <w:pPr>
        <w:numPr>
          <w:ilvl w:val="2"/>
          <w:numId w:val="7"/>
        </w:numPr>
        <w:spacing w:line="276" w:lineRule="auto"/>
        <w:ind w:left="720" w:hanging="720"/>
      </w:pPr>
      <w:r w:rsidRPr="00000000" w:rsidDel="00000000" w:rsidR="00000000">
        <w:rPr>
          <w:rtl w:val="0"/>
        </w:rPr>
        <w:t xml:space="preserve">Business Development Lead, including Business Line Managers are responsible for complying and adhering to the ADGM &amp; Global AML Program for the respective business unit.  They must cooperate with the MLRO and Compliance functions, and set a robust Compliance ‘Tone from the Top’ by communicating the importance of complying with the ADGM &amp; Global AML Program.  They must also lead by example in demonstrating a strong Culture of Compliance when discussing Customers and account activities with heightened financial crime risk.</w:t>
      </w:r>
    </w:p>
    <w:p w:rsidRPr="00000000" w:rsidR="00000000" w:rsidDel="00000000" w:rsidP="00000000" w:rsidRDefault="00000000" w14:paraId="00000190">
      <w:pPr>
        <w:pStyle w:val="Heading1"/>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400" w:after="200" w:line="360" w:lineRule="auto"/>
        <w:ind w:left="720" w:right="0" w:hanging="720"/>
        <w:jc w:val="both"/>
        <w:rPr/>
      </w:pPr>
      <w:bookmarkStart w:name="_heading=h.sb6yxaa211yr" w:colFirst="0" w:colLast="0" w:id="36"/>
      <w:bookmarkEnd w:id="36"/>
      <w:r w:rsidRPr="00000000" w:rsidDel="00000000" w:rsidR="00000000">
        <w:rPr>
          <w:sz w:val="28"/>
          <w:szCs w:val="28"/>
          <w:rtl w:val="0"/>
        </w:rPr>
        <w:t xml:space="preserve">GLOBAL FINANCIAL CRIMES RISK APPROACH </w:t>
      </w:r>
      <w:r w:rsidRPr="00000000" w:rsidDel="00000000" w:rsidR="00000000">
        <w:rPr>
          <w:rtl w:val="0"/>
        </w:rPr>
      </w:r>
    </w:p>
    <w:p w:rsidRPr="00000000" w:rsidR="00000000" w:rsidDel="00000000" w:rsidP="00000000" w:rsidRDefault="00000000" w14:paraId="00000191">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8v3n9y9bans6" w:colFirst="0" w:colLast="0" w:id="37"/>
      <w:bookmarkEnd w:id="37"/>
      <w:r w:rsidRPr="00000000" w:rsidDel="00000000" w:rsidR="00000000">
        <w:rPr>
          <w:sz w:val="24"/>
          <w:szCs w:val="24"/>
          <w:rtl w:val="0"/>
        </w:rPr>
        <w:t xml:space="preserve">Overview</w:t>
      </w:r>
      <w:r w:rsidRPr="00000000" w:rsidDel="00000000" w:rsidR="00000000">
        <w:rPr>
          <w:rtl w:val="0"/>
        </w:rPr>
      </w:r>
    </w:p>
    <w:p w:rsidRPr="00000000" w:rsidR="00000000" w:rsidDel="00000000" w:rsidP="00000000" w:rsidRDefault="00000000" w14:paraId="00000192">
      <w:pPr>
        <w:numPr>
          <w:ilvl w:val="2"/>
          <w:numId w:val="7"/>
        </w:numPr>
        <w:spacing w:line="276" w:lineRule="auto"/>
        <w:ind w:left="720" w:hanging="720"/>
      </w:pPr>
      <w:r w:rsidRPr="00000000" w:rsidDel="00000000" w:rsidR="00000000">
        <w:rPr>
          <w:rtl w:val="0"/>
        </w:rPr>
        <w:t xml:space="preserve">The Group has adopted a risk-based approach to AML, CTF and CPF.  The Group defines its Global Compliance Risk Appetite Statement, with supporting metrics or tolerances subject to review by the CCO and ADGM MLROs as the Policy owner of the Group AML Program.</w:t>
      </w:r>
    </w:p>
    <w:p w:rsidRPr="00000000" w:rsidR="00000000" w:rsidDel="00000000" w:rsidP="00000000" w:rsidRDefault="00000000" w14:paraId="00000193">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3w2ph5b63i64" w:colFirst="0" w:colLast="0" w:id="38"/>
      <w:bookmarkEnd w:id="38"/>
      <w:r w:rsidRPr="00000000" w:rsidDel="00000000" w:rsidR="00000000">
        <w:rPr>
          <w:sz w:val="24"/>
          <w:szCs w:val="24"/>
          <w:rtl w:val="0"/>
        </w:rPr>
        <w:t xml:space="preserve">Key Principles</w:t>
      </w:r>
      <w:r w:rsidRPr="00000000" w:rsidDel="00000000" w:rsidR="00000000">
        <w:rPr>
          <w:rtl w:val="0"/>
        </w:rPr>
      </w:r>
    </w:p>
    <w:p w:rsidRPr="00000000" w:rsidR="00000000" w:rsidDel="00000000" w:rsidP="00000000" w:rsidRDefault="00000000" w14:paraId="00000194">
      <w:pPr>
        <w:numPr>
          <w:ilvl w:val="2"/>
          <w:numId w:val="7"/>
        </w:numPr>
        <w:spacing w:after="100" w:line="276" w:lineRule="auto"/>
        <w:ind w:left="720" w:hanging="720"/>
      </w:pPr>
      <w:r w:rsidRPr="00000000" w:rsidDel="00000000" w:rsidR="00000000">
        <w:rPr>
          <w:rtl w:val="0"/>
        </w:rPr>
        <w:t xml:space="preserve">In order to effectively manage the financial crime risk across the Binance ecosystem and franchise, the Group:</w:t>
      </w:r>
    </w:p>
    <w:p w:rsidRPr="00000000" w:rsidR="00000000" w:rsidDel="00000000" w:rsidP="00000000" w:rsidRDefault="00000000" w14:paraId="00000195">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Ensures that Compliance Department has authority and independence within the Group, and access to resources and information to enable them to carry out their responsibilities;</w:t>
      </w:r>
      <w:r w:rsidRPr="00000000" w:rsidDel="00000000" w:rsidR="00000000">
        <w:rPr>
          <w:rtl w:val="0"/>
        </w:rPr>
      </w:r>
    </w:p>
    <w:p w:rsidRPr="00000000" w:rsidR="00000000" w:rsidDel="00000000" w:rsidP="00000000" w:rsidRDefault="00000000" w14:paraId="00000196">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Ensures that there are adequate resources, including Personnel who possess appropriate skills, knowledge and expertise in all three lines of defenses to manage financial crime risk within the Group’s risk appetite;</w:t>
      </w:r>
      <w:r w:rsidRPr="00000000" w:rsidDel="00000000" w:rsidR="00000000">
        <w:rPr>
          <w:rtl w:val="0"/>
        </w:rPr>
      </w:r>
    </w:p>
    <w:p w:rsidRPr="00000000" w:rsidR="00000000" w:rsidDel="00000000" w:rsidP="00000000" w:rsidRDefault="00000000" w14:paraId="0000019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Performs an enterprise-wide Financial Crime risk assessment at least annually (inclusive of business risks) - this includes periodic reviews upon material change; </w:t>
      </w:r>
      <w:r w:rsidRPr="00000000" w:rsidDel="00000000" w:rsidR="00000000">
        <w:rPr>
          <w:rtl w:val="0"/>
        </w:rPr>
      </w:r>
    </w:p>
    <w:p w:rsidRPr="00000000" w:rsidR="00000000" w:rsidDel="00000000" w:rsidP="00000000" w:rsidRDefault="00000000" w14:paraId="00000198">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Operates a Group-wide risk-based approach to CDD at onboarding and on an ongoing basis and also includes EDD for high-risk Customers;</w:t>
      </w:r>
      <w:r w:rsidRPr="00000000" w:rsidDel="00000000" w:rsidR="00000000">
        <w:rPr>
          <w:rtl w:val="0"/>
        </w:rPr>
      </w:r>
    </w:p>
    <w:p w:rsidRPr="00000000" w:rsidR="00000000" w:rsidDel="00000000" w:rsidP="00000000" w:rsidRDefault="00000000" w14:paraId="00000199">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Operates a Group-wide risk-based approach to Surveillance of the Customer activity throughout the life cycle of the Customer relationship with the Group, and may restrict any Transactions known or reasonably suspected to involve ML, TF, PF or a serious crime;</w:t>
      </w:r>
      <w:r w:rsidRPr="00000000" w:rsidDel="00000000" w:rsidR="00000000">
        <w:rPr>
          <w:rtl w:val="0"/>
        </w:rPr>
      </w:r>
    </w:p>
    <w:p w:rsidRPr="00000000" w:rsidR="00000000" w:rsidDel="00000000" w:rsidP="00000000" w:rsidRDefault="00000000" w14:paraId="0000019A">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Ensures all Global policies, controls and procedures are established and performed in alignment with data protection legislations and sharing of information restricted for the purpose of Financial Crime Compliance within the Group;</w:t>
      </w:r>
      <w:r w:rsidRPr="00000000" w:rsidDel="00000000" w:rsidR="00000000">
        <w:rPr>
          <w:rtl w:val="0"/>
        </w:rPr>
      </w:r>
    </w:p>
    <w:p w:rsidRPr="00000000" w:rsidR="00000000" w:rsidDel="00000000" w:rsidP="00000000" w:rsidRDefault="00000000" w14:paraId="0000019B">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Develops and maintain robust procedures to ensure that suspicious activity is reported in accordance with local laws and regulations, as applicable, and share, where legally permissible and relevant, within the Group – this includes compliance with STR/SAR requirements the applicable regulatory requirements;</w:t>
      </w:r>
      <w:r w:rsidRPr="00000000" w:rsidDel="00000000" w:rsidR="00000000">
        <w:rPr>
          <w:rtl w:val="0"/>
        </w:rPr>
      </w:r>
    </w:p>
    <w:p w:rsidRPr="00000000" w:rsidR="00000000" w:rsidDel="00000000" w:rsidP="00000000" w:rsidRDefault="00000000" w14:paraId="0000019C">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Cooperates with and support law enforcement agencies and international bodies in combating the use of cryptocurrencies and Digital Asset platforms for ML, TF, PF and sanctions non-compliance;</w:t>
      </w:r>
      <w:r w:rsidRPr="00000000" w:rsidDel="00000000" w:rsidR="00000000">
        <w:rPr>
          <w:rtl w:val="0"/>
        </w:rPr>
      </w:r>
    </w:p>
    <w:p w:rsidRPr="00000000" w:rsidR="00000000" w:rsidDel="00000000" w:rsidP="00000000" w:rsidRDefault="00000000" w14:paraId="0000019D">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Maintains a robust training program on international and key local AML/CTF laws and regulations, data protection and the requirements of this Policy, targeted as appropriate to Personnel with Financial Crime Compliance facing roles and duties; </w:t>
      </w:r>
      <w:r w:rsidRPr="00000000" w:rsidDel="00000000" w:rsidR="00000000">
        <w:rPr>
          <w:rtl w:val="0"/>
        </w:rPr>
      </w:r>
    </w:p>
    <w:p w:rsidRPr="00000000" w:rsidR="00000000" w:rsidDel="00000000" w:rsidP="00000000" w:rsidRDefault="00000000" w14:paraId="0000019E">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Maintains accessible records of due diligence, Transactions, </w:t>
      </w:r>
      <w:r w:rsidRPr="00000000" w:rsidDel="00000000" w:rsidR="00000000">
        <w:rPr>
          <w:rtl w:val="0"/>
        </w:rPr>
        <w:t xml:space="preserve">training</w:t>
      </w:r>
      <w:r w:rsidRPr="00000000" w:rsidDel="00000000" w:rsidR="00000000">
        <w:rPr>
          <w:i w:val="0"/>
          <w:iCs w:val="0"/>
          <w:smallCaps w:val="0"/>
          <w:strike w:val="0"/>
          <w:color w:val="000000"/>
          <w:sz w:val="22"/>
          <w:szCs w:val="22"/>
          <w:u w:val="none"/>
          <w:shd w:val="clear" w:fill="auto"/>
          <w:vertAlign w:val="baseline"/>
          <w:rtl w:val="0"/>
        </w:rPr>
        <w:t xml:space="preserve">, assurance activities and incident reports relating to Financial Crime Compliance.  Recordkeeping obligations are maintained in accordance with Rule 4.5.1 of the ADGM AML Rulebook and equivalent UAE record retention requirements; and </w:t>
      </w:r>
      <w:r w:rsidRPr="00000000" w:rsidDel="00000000" w:rsidR="00000000">
        <w:rPr>
          <w:rtl w:val="0"/>
        </w:rPr>
      </w:r>
    </w:p>
    <w:p w:rsidRPr="00000000" w:rsidR="00000000" w:rsidDel="00000000" w:rsidP="00000000" w:rsidRDefault="00000000" w14:paraId="0000019F">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Has an appropriate assurance program to assess compliance with this Policy.</w:t>
      </w:r>
      <w:r w:rsidRPr="00000000" w:rsidDel="00000000" w:rsidR="00000000">
        <w:rPr>
          <w:rtl w:val="0"/>
        </w:rPr>
      </w:r>
    </w:p>
    <w:p w:rsidRPr="00000000" w:rsidR="00000000" w:rsidDel="00000000" w:rsidP="00000000" w:rsidRDefault="00000000" w14:paraId="000001A0">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4evie1jyvym" w:colFirst="0" w:colLast="0" w:id="39"/>
      <w:bookmarkEnd w:id="39"/>
      <w:r w:rsidRPr="00000000" w:rsidDel="00000000" w:rsidR="00000000">
        <w:rPr>
          <w:sz w:val="24"/>
          <w:szCs w:val="24"/>
          <w:rtl w:val="0"/>
        </w:rPr>
        <w:t xml:space="preserve">Risk Appetite Statement</w:t>
      </w:r>
      <w:r w:rsidRPr="00000000" w:rsidDel="00000000" w:rsidR="00000000">
        <w:rPr>
          <w:rtl w:val="0"/>
        </w:rPr>
      </w:r>
    </w:p>
    <w:p w:rsidRPr="00000000" w:rsidR="00000000" w:rsidDel="00000000" w:rsidP="00000000" w:rsidRDefault="00000000" w14:paraId="000001A1">
      <w:pPr>
        <w:numPr>
          <w:ilvl w:val="2"/>
          <w:numId w:val="7"/>
        </w:numPr>
        <w:spacing w:after="100" w:line="276" w:lineRule="auto"/>
        <w:ind w:left="720" w:hanging="720"/>
      </w:pPr>
      <w:r w:rsidRPr="00000000" w:rsidDel="00000000" w:rsidR="00000000">
        <w:rPr>
          <w:rtl w:val="0"/>
        </w:rPr>
        <w:t xml:space="preserve">Senior Management has established the Global Compliance Risk Appetite Statement (“</w:t>
      </w:r>
      <w:r w:rsidRPr="00000000" w:rsidDel="00000000" w:rsidR="00000000">
        <w:rPr>
          <w:b w:val="1"/>
          <w:bCs w:val="1"/>
          <w:rtl w:val="0"/>
        </w:rPr>
        <w:t xml:space="preserve">Global Compliance RAS</w:t>
      </w:r>
      <w:r w:rsidRPr="00000000" w:rsidDel="00000000" w:rsidR="00000000">
        <w:rPr>
          <w:rtl w:val="0"/>
        </w:rPr>
        <w:t xml:space="preserve">”) for the Group.  This formal statement acknowledges the presence of financial crime risk within Binance’s business and products, and recognizes that certain Customers may pose a higher risk to the Group.  The Global Compliance RAS outlines the level of risk that is acceptable to the Group and reaffirms the Group‘s commitment to complying with international standards and applicable local regulations in mitigating high risks through effective risk management and controls. </w:t>
      </w:r>
    </w:p>
    <w:p w:rsidRPr="00000000" w:rsidR="00000000" w:rsidDel="00000000" w:rsidP="00000000" w:rsidRDefault="00000000" w14:paraId="000001A2">
      <w:pPr>
        <w:numPr>
          <w:ilvl w:val="2"/>
          <w:numId w:val="7"/>
        </w:numPr>
        <w:spacing w:after="100" w:line="276" w:lineRule="auto"/>
        <w:ind w:left="720" w:hanging="720"/>
      </w:pPr>
      <w:r w:rsidRPr="00000000" w:rsidDel="00000000" w:rsidR="00000000">
        <w:rPr>
          <w:rtl w:val="0"/>
        </w:rPr>
        <w:t xml:space="preserve">Binance Group is required to consider the Global Compliance RAS when making decisions in the performance of their duties.  The Global Compliance RAS is operationalized through the business units and must be reviewed at least on an annual basis.  The Global Compliance</w:t>
      </w:r>
      <w:r w:rsidRPr="00000000" w:rsidDel="00000000" w:rsidR="00000000">
        <w:rPr>
          <w:b w:val="1"/>
          <w:bCs w:val="1"/>
          <w:rtl w:val="0"/>
        </w:rPr>
        <w:t xml:space="preserve"> </w:t>
      </w:r>
      <w:r w:rsidRPr="00000000" w:rsidDel="00000000" w:rsidR="00000000">
        <w:rPr>
          <w:rtl w:val="0"/>
        </w:rPr>
        <w:t xml:space="preserve">RAS must be approved by Group and ADGM’s Senior Management, and relevant risk tolerances should align with the Group's enterprise-wide risk assessment process.</w:t>
      </w:r>
    </w:p>
    <w:p w:rsidRPr="00000000" w:rsidR="00000000" w:rsidDel="00000000" w:rsidP="00000000" w:rsidRDefault="00000000" w14:paraId="000001A3">
      <w:pPr>
        <w:numPr>
          <w:ilvl w:val="2"/>
          <w:numId w:val="7"/>
        </w:numPr>
        <w:spacing w:after="100" w:line="276" w:lineRule="auto"/>
        <w:ind w:left="720" w:hanging="720"/>
      </w:pPr>
      <w:r w:rsidRPr="00000000" w:rsidDel="00000000" w:rsidR="00000000">
        <w:rPr>
          <w:rtl w:val="0"/>
        </w:rPr>
        <w:t xml:space="preserve">Where a risk is identified as exceeding Binance Group’s risk appetite, Senior Management may formally accept the risk using the defined Risk Appetite Statement.  The relevant business unit or function shall seek CCO and ADGM MLROs’ or their delegate’s support for their request for risk acceptance.  The risk acceptance criteria will involve senior management consideration of the required short- and long-term mitigating measures and impact.</w:t>
      </w:r>
    </w:p>
    <w:p w:rsidRPr="00000000" w:rsidR="00000000" w:rsidDel="00000000" w:rsidP="00000000" w:rsidRDefault="00000000" w14:paraId="000001A4">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l68qeg6iuxx1" w:colFirst="0" w:colLast="0" w:id="40"/>
      <w:bookmarkEnd w:id="40"/>
      <w:r w:rsidRPr="00000000" w:rsidDel="00000000" w:rsidR="00000000">
        <w:rPr>
          <w:sz w:val="24"/>
          <w:szCs w:val="24"/>
          <w:rtl w:val="0"/>
        </w:rPr>
        <w:t xml:space="preserve">Enterprise Wide Risk Assessment</w:t>
      </w:r>
      <w:r w:rsidRPr="00000000" w:rsidDel="00000000" w:rsidR="00000000">
        <w:rPr>
          <w:rtl w:val="0"/>
        </w:rPr>
      </w:r>
    </w:p>
    <w:p w:rsidRPr="00000000" w:rsidR="00000000" w:rsidDel="00000000" w:rsidP="00000000" w:rsidRDefault="00000000" w14:paraId="000001A5">
      <w:pPr>
        <w:numPr>
          <w:ilvl w:val="2"/>
          <w:numId w:val="7"/>
        </w:numPr>
        <w:spacing w:after="100" w:line="276" w:lineRule="auto"/>
        <w:ind w:left="720" w:hanging="720"/>
      </w:pPr>
      <w:r w:rsidRPr="00000000" w:rsidDel="00000000" w:rsidR="00000000">
        <w:rPr>
          <w:rtl w:val="0"/>
        </w:rPr>
        <w:t xml:space="preserve">As part of effective financial crime risk management, Binance takes appropriate steps to identify, assess, and understand both its inherent and residual financial crime risks.  The Group will undertake anti financial crime enterprise-wide risk assessments (AFC EWRA) at least annually and must also be reviewed upon any material change in risk exposure.</w:t>
      </w:r>
    </w:p>
    <w:p w:rsidRPr="00000000" w:rsidR="00000000" w:rsidDel="00000000" w:rsidP="00000000" w:rsidRDefault="00000000" w14:paraId="000001A6">
      <w:pPr>
        <w:numPr>
          <w:ilvl w:val="2"/>
          <w:numId w:val="7"/>
        </w:numPr>
        <w:spacing w:after="100" w:line="276" w:lineRule="auto"/>
        <w:ind w:left="720" w:hanging="720"/>
      </w:pPr>
      <w:r w:rsidRPr="00000000" w:rsidDel="00000000" w:rsidR="00000000">
        <w:rPr>
          <w:rtl w:val="0"/>
        </w:rPr>
        <w:t xml:space="preserve">The results of these assessments are available to the relevant regulators, supervisory authorities and relevant business partners on request.  The Group maintains supporting documentation and a clear audit trail to demonstrate that the assessment process and results are consistent with regulatory expectations, which must be made available to the regulator upon request.</w:t>
      </w:r>
    </w:p>
    <w:p w:rsidRPr="00000000" w:rsidR="00000000" w:rsidDel="00000000" w:rsidP="00000000" w:rsidRDefault="00000000" w14:paraId="000001A7">
      <w:pPr>
        <w:numPr>
          <w:ilvl w:val="2"/>
          <w:numId w:val="7"/>
        </w:numPr>
        <w:spacing w:after="100" w:line="276" w:lineRule="auto"/>
        <w:ind w:left="720" w:hanging="720"/>
      </w:pPr>
      <w:r w:rsidRPr="00000000" w:rsidDel="00000000" w:rsidR="00000000">
        <w:rPr>
          <w:rtl w:val="0"/>
        </w:rPr>
        <w:t xml:space="preserve">Binance applies a risk-based Financial Crime Compliance approach to ensure that measures are taken to prevent or mitigate the related Financial Crime risks.  The EWRA results will further inform the improvements that will be required by the Group to ensure the continued effectiveness of the Global Financial Crime Compliance Program. </w:t>
      </w:r>
    </w:p>
    <w:p w:rsidRPr="00000000" w:rsidR="00000000" w:rsidDel="00000000" w:rsidP="00000000" w:rsidRDefault="00000000" w14:paraId="000001A8">
      <w:pPr>
        <w:numPr>
          <w:ilvl w:val="2"/>
          <w:numId w:val="7"/>
        </w:numPr>
        <w:spacing w:after="100" w:line="276" w:lineRule="auto"/>
        <w:ind w:left="720" w:hanging="720"/>
      </w:pPr>
      <w:r w:rsidRPr="00000000" w:rsidDel="00000000" w:rsidR="00000000">
        <w:rPr>
          <w:rtl w:val="0"/>
        </w:rPr>
        <w:t xml:space="preserve">The EWRA is performed at the .COM level (ADGM entities’ level) and sets the baseline for all licensed and/or registered jurisdictions/regions. Each licensed Binance entity must also ensure local implementation aligns with jurisdiction-specific risk exposures and legal requirements.</w:t>
      </w:r>
    </w:p>
    <w:p w:rsidRPr="00000000" w:rsidR="00000000" w:rsidDel="00000000" w:rsidP="00000000" w:rsidRDefault="00000000" w14:paraId="000001A9">
      <w:pPr>
        <w:numPr>
          <w:ilvl w:val="2"/>
          <w:numId w:val="7"/>
        </w:numPr>
        <w:spacing w:after="100" w:line="276" w:lineRule="auto"/>
        <w:ind w:left="720" w:hanging="720"/>
      </w:pPr>
      <w:r w:rsidRPr="00000000" w:rsidDel="00000000" w:rsidR="00000000">
        <w:rPr>
          <w:rtl w:val="0"/>
        </w:rPr>
        <w:t xml:space="preserve">Country Compliance has the flexibility to tailor the inputs into their individual periodic country risk assessments as required by the local regulation.  Such adjustments are subject to an exceptions approval process.  Any such exceptions must be documented and reviewed by Global Compliance in line with the Group Risk Governance Framework.</w:t>
      </w:r>
    </w:p>
    <w:p w:rsidRPr="00000000" w:rsidR="00000000" w:rsidDel="00000000" w:rsidP="00000000" w:rsidRDefault="00000000" w14:paraId="000001AA">
      <w:pPr>
        <w:numPr>
          <w:ilvl w:val="2"/>
          <w:numId w:val="7"/>
        </w:numPr>
        <w:spacing w:after="100" w:line="276" w:lineRule="auto"/>
        <w:ind w:left="720" w:hanging="720"/>
      </w:pPr>
      <w:r w:rsidRPr="00000000" w:rsidDel="00000000" w:rsidR="00000000">
        <w:rPr>
          <w:rtl w:val="0"/>
        </w:rPr>
        <w:t xml:space="preserve">The EWRA consists of a global products risk assessment across the Group’s product offering and a global business risk assessment, which assesses the risk exposures from the business units operational elements, which will be refreshed annually. </w:t>
      </w:r>
    </w:p>
    <w:p w:rsidRPr="00000000" w:rsidR="00000000" w:rsidDel="00000000" w:rsidP="00000000" w:rsidRDefault="00000000" w14:paraId="000001AB">
      <w:pPr>
        <w:pStyle w:val="Heading1"/>
        <w:numPr>
          <w:ilvl w:val="0"/>
          <w:numId w:val="7"/>
        </w:numPr>
        <w:spacing w:before="400" w:after="200" w:lineRule="auto"/>
        <w:ind w:left="720" w:hanging="720"/>
        <w:rPr/>
      </w:pPr>
      <w:bookmarkStart w:name="_heading=h.obdp9wntf3lk" w:colFirst="0" w:colLast="0" w:id="41"/>
      <w:bookmarkEnd w:id="41"/>
      <w:r w:rsidRPr="00000000" w:rsidDel="00000000" w:rsidR="00000000">
        <w:rPr>
          <w:sz w:val="28"/>
          <w:szCs w:val="28"/>
          <w:rtl w:val="0"/>
        </w:rPr>
        <w:t xml:space="preserve">NEW PRODUCTS, PRACTISES, AND TECHNOLOGIES</w:t>
      </w:r>
      <w:r w:rsidRPr="00000000" w:rsidDel="00000000" w:rsidR="00000000">
        <w:rPr>
          <w:rtl w:val="0"/>
        </w:rPr>
      </w:r>
    </w:p>
    <w:p w:rsidRPr="00000000" w:rsidR="00000000" w:rsidDel="00000000" w:rsidP="00000000" w:rsidRDefault="00000000" w14:paraId="000001AC">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b3tdz7fmwq47" w:colFirst="0" w:colLast="0" w:id="42"/>
      <w:bookmarkEnd w:id="42"/>
      <w:r w:rsidRPr="00000000" w:rsidDel="00000000" w:rsidR="00000000">
        <w:rPr>
          <w:sz w:val="24"/>
          <w:szCs w:val="24"/>
          <w:rtl w:val="0"/>
        </w:rPr>
        <w:t xml:space="preserve">Product Approvals and Change Approvals  </w:t>
      </w:r>
      <w:r w:rsidRPr="00000000" w:rsidDel="00000000" w:rsidR="00000000">
        <w:rPr>
          <w:rtl w:val="0"/>
        </w:rPr>
      </w:r>
    </w:p>
    <w:p w:rsidRPr="00000000" w:rsidR="00000000" w:rsidDel="00000000" w:rsidP="00000000" w:rsidRDefault="00000000" w14:paraId="000001AD">
      <w:pPr>
        <w:numPr>
          <w:ilvl w:val="2"/>
          <w:numId w:val="7"/>
        </w:numPr>
        <w:spacing w:after="100" w:line="276" w:lineRule="auto"/>
        <w:ind w:left="720" w:hanging="720"/>
      </w:pPr>
      <w:r w:rsidRPr="00000000" w:rsidDel="00000000" w:rsidR="00000000">
        <w:rPr>
          <w:rtl w:val="0"/>
        </w:rPr>
        <w:t xml:space="preserve">The Group has established a Global Product Governance Framework per FSRA’s requirements to review and assess t</w:t>
      </w:r>
      <w:r w:rsidRPr="00000000" w:rsidDel="00000000" w:rsidR="00000000">
        <w:rPr>
          <w:highlight w:val="white"/>
          <w:rtl w:val="0"/>
        </w:rPr>
        <w:t xml:space="preserve">he risks before the launch and use of new products, new practices, including new delivery mechanisms that may involve new or developing technologies.  </w:t>
      </w:r>
      <w:r w:rsidRPr="00000000" w:rsidDel="00000000" w:rsidR="00000000">
        <w:rPr>
          <w:rtl w:val="0"/>
        </w:rPr>
        <w:t xml:space="preserve">This includes the identification of any new ML/TF/ PF risks.</w:t>
      </w:r>
    </w:p>
    <w:p w:rsidRPr="00000000" w:rsidR="00000000" w:rsidDel="00000000" w:rsidP="00000000" w:rsidRDefault="00000000" w14:paraId="000001AE">
      <w:pPr>
        <w:numPr>
          <w:ilvl w:val="2"/>
          <w:numId w:val="7"/>
        </w:numPr>
        <w:spacing w:after="100" w:line="276" w:lineRule="auto"/>
        <w:ind w:left="720" w:hanging="720"/>
      </w:pPr>
      <w:r w:rsidRPr="00000000" w:rsidDel="00000000" w:rsidR="00000000">
        <w:rPr>
          <w:rtl w:val="0"/>
        </w:rPr>
        <w:t xml:space="preserve">There may be specific products offered within the Binance platform which function as its own business unit and operating entities.  These Business Units are required to apply the ADGM &amp; Global AML policy, where applicable.  The Business Unit may also take guidance from the ADGM &amp; Global AML policy when designing its own AML/CTF program.  Where required, licensed entities must ensure that new product approval processes also align with local regulatory expectations.</w:t>
      </w:r>
    </w:p>
    <w:p w:rsidRPr="00000000" w:rsidR="00000000" w:rsidDel="00000000" w:rsidP="00000000" w:rsidRDefault="00000000" w14:paraId="000001AF">
      <w:pPr>
        <w:numPr>
          <w:ilvl w:val="2"/>
          <w:numId w:val="7"/>
        </w:numPr>
        <w:spacing w:after="100" w:line="276" w:lineRule="auto"/>
        <w:ind w:left="720" w:hanging="720"/>
      </w:pPr>
      <w:r w:rsidRPr="00000000" w:rsidDel="00000000" w:rsidR="00000000">
        <w:rPr>
          <w:rtl w:val="0"/>
        </w:rPr>
        <w:t xml:space="preserve">Business Compliance undertakes a New Product/Service Application Assessment, completed via the Assessment Approval Document, prior to the launch of a new product and services, use of such products, practices and shall define the appropriate measures to manage and mitigate the risks.  The Business Compliance team works with the relevant business units and Country Compliance Department, to effectively manage and mitigate any potential ML/TF risks that are identified, taking into consideration any new risk, threats or development identified by local regulations and the in-country National Risk Assessments, where applicable.  Documentation of these assessments must be retained and made available to regulatory authorities on request.</w:t>
      </w:r>
    </w:p>
    <w:p w:rsidRPr="00000000" w:rsidR="00000000" w:rsidDel="00000000" w:rsidP="00000000" w:rsidRDefault="00000000" w14:paraId="000001B0">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9l63il9i534q" w:colFirst="0" w:colLast="0" w:id="43"/>
      <w:bookmarkEnd w:id="43"/>
      <w:r w:rsidRPr="00000000" w:rsidDel="00000000" w:rsidR="00000000">
        <w:rPr>
          <w:b w:val="1"/>
          <w:bCs w:val="1"/>
          <w:sz w:val="24"/>
          <w:szCs w:val="24"/>
          <w:rtl w:val="0"/>
        </w:rPr>
        <w:t xml:space="preserve">Product Family Risk Assessment (“P(F)RA”)</w:t>
      </w:r>
    </w:p>
    <w:p w:rsidRPr="00000000" w:rsidR="00000000" w:rsidDel="00000000" w:rsidP="00000000" w:rsidRDefault="00000000" w14:paraId="000001B1">
      <w:pPr>
        <w:keepNext w:val="0"/>
        <w:keepLines w:val="0"/>
        <w:pageBreakBefore w:val="0"/>
        <w:widowControl w:val="1"/>
        <w:numPr>
          <w:ilvl w:val="2"/>
          <w:numId w:val="7"/>
        </w:numPr>
        <w:pBdr>
          <w:top w:val="nil" w:sz="0" w:space="0"/>
          <w:left w:val="nil" w:sz="0" w:space="0"/>
          <w:bottom w:val="nil" w:sz="0" w:space="0"/>
          <w:right w:val="nil" w:sz="0" w:space="0"/>
          <w:between w:val="nil" w:sz="0" w:space="0"/>
        </w:pBdr>
        <w:shd w:val="clear" w:fill="auto"/>
        <w:spacing w:before="0" w:after="100" w:line="276" w:lineRule="auto"/>
        <w:ind w:left="720" w:right="0" w:hanging="720"/>
        <w:jc w:val="both"/>
      </w:pPr>
      <w:r w:rsidRPr="00000000" w:rsidDel="00000000" w:rsidR="00000000">
        <w:rPr>
          <w:rtl w:val="0"/>
        </w:rPr>
        <w:t xml:space="preserve">Product Compliance works with the business units to identify and assess the risks of Financial Crime  that may arise in relation to the new and existing products and services.</w:t>
      </w:r>
    </w:p>
    <w:p w:rsidRPr="00000000" w:rsidR="00000000" w:rsidDel="00000000" w:rsidP="00000000" w:rsidRDefault="00000000" w14:paraId="000001B2">
      <w:pPr>
        <w:pStyle w:val="Heading1"/>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400" w:after="200" w:line="360" w:lineRule="auto"/>
        <w:ind w:left="720" w:right="0" w:hanging="720"/>
        <w:jc w:val="both"/>
        <w:rPr/>
      </w:pPr>
      <w:bookmarkStart w:name="_heading=h.vrhrvy9fkivx" w:colFirst="0" w:colLast="0" w:id="44"/>
      <w:bookmarkEnd w:id="44"/>
      <w:r w:rsidRPr="00000000" w:rsidDel="00000000" w:rsidR="00000000">
        <w:rPr>
          <w:sz w:val="28"/>
          <w:szCs w:val="28"/>
          <w:rtl w:val="0"/>
        </w:rPr>
        <w:t xml:space="preserve">PROHIBITED CUSTOMERS AND TRANSACTIONS </w:t>
      </w:r>
      <w:r w:rsidRPr="00000000" w:rsidDel="00000000" w:rsidR="00000000">
        <w:rPr>
          <w:rtl w:val="0"/>
        </w:rPr>
      </w:r>
    </w:p>
    <w:p w:rsidRPr="00000000" w:rsidR="00000000" w:rsidDel="00000000" w:rsidP="00000000" w:rsidRDefault="00000000" w14:paraId="000001B3">
      <w:pPr>
        <w:numPr>
          <w:ilvl w:val="1"/>
          <w:numId w:val="7"/>
        </w:numPr>
        <w:spacing w:after="100" w:line="276" w:lineRule="auto"/>
        <w:ind w:left="720"/>
        <w:rPr/>
      </w:pPr>
      <w:r w:rsidRPr="00000000" w:rsidDel="00000000" w:rsidR="00000000">
        <w:rPr>
          <w:rtl w:val="0"/>
        </w:rPr>
        <w:t xml:space="preserve">Binance Group will not establish a Customer relationship or provide any products and services to or in the following scenarios:  </w:t>
      </w:r>
    </w:p>
    <w:p w:rsidRPr="00000000" w:rsidR="00000000" w:rsidDel="00000000" w:rsidP="00000000" w:rsidRDefault="00000000" w14:paraId="000001B4">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Individuals and/or entities prohibited by the applicable sanctions laws and regulations, including the ADGM, UAE and UN sanctions regimes, and the </w:t>
      </w:r>
      <w:r w:rsidRPr="00000000" w:rsidDel="00000000" w:rsidR="00000000">
        <w:rPr>
          <w:rtl w:val="0"/>
        </w:rPr>
        <w:t xml:space="preserve">BGSP</w:t>
      </w:r>
      <w:r w:rsidRPr="00000000" w:rsidDel="00000000" w:rsidR="00000000">
        <w:rPr>
          <w:i w:val="0"/>
          <w:iCs w:val="0"/>
          <w:smallCaps w:val="0"/>
          <w:strike w:val="0"/>
          <w:color w:val="000000"/>
          <w:sz w:val="22"/>
          <w:szCs w:val="22"/>
          <w:u w:val="none"/>
          <w:shd w:val="clear" w:fill="auto"/>
          <w:vertAlign w:val="baseline"/>
          <w:rtl w:val="0"/>
        </w:rPr>
        <w:t xml:space="preserve">;</w:t>
      </w:r>
      <w:r w:rsidRPr="00000000" w:rsidDel="00000000" w:rsidR="00000000">
        <w:rPr>
          <w:rtl w:val="0"/>
        </w:rPr>
      </w:r>
    </w:p>
    <w:p w:rsidRPr="00000000" w:rsidR="00000000" w:rsidDel="00000000" w:rsidP="00000000" w:rsidRDefault="00000000" w14:paraId="000001B5">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Shell Banks or Shell Financial Institutions; Companies that issue bearer shares;</w:t>
      </w:r>
      <w:r w:rsidRPr="00000000" w:rsidDel="00000000" w:rsidR="00000000">
        <w:rPr>
          <w:rtl w:val="0"/>
        </w:rPr>
      </w:r>
    </w:p>
    <w:p w:rsidRPr="00000000" w:rsidR="00000000" w:rsidDel="00000000" w:rsidP="00000000" w:rsidRDefault="00000000" w14:paraId="000001B6">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Entities that provide banking services to unlicensed banks; Entities that provide services to shell banks;</w:t>
      </w:r>
      <w:r w:rsidRPr="00000000" w:rsidDel="00000000" w:rsidR="00000000">
        <w:rPr>
          <w:rtl w:val="0"/>
        </w:rPr>
      </w:r>
    </w:p>
    <w:p w:rsidRPr="00000000" w:rsidR="00000000" w:rsidDel="00000000" w:rsidP="00000000" w:rsidRDefault="00000000" w14:paraId="000001B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Individuals (including entities with exposure to such individuals) determined to be a U.S Person for onboarding purposes due to a US indicia;</w:t>
      </w:r>
      <w:r w:rsidRPr="00000000" w:rsidDel="00000000" w:rsidR="00000000">
        <w:rPr>
          <w:i w:val="0"/>
          <w:iCs w:val="0"/>
          <w:smallCaps w:val="0"/>
          <w:strike w:val="0"/>
          <w:color w:val="000000"/>
          <w:sz w:val="22"/>
          <w:szCs w:val="22"/>
          <w:u w:val="none"/>
          <w:shd w:val="clear" w:fill="auto"/>
          <w:vertAlign w:val="superscript"/>
        </w:rPr>
        <w:footnoteReference w:customMarkFollows="0" w:id="4"/>
      </w:r>
      <w:r w:rsidRPr="00000000" w:rsidDel="00000000" w:rsidR="00000000">
        <w:rPr>
          <w:i w:val="0"/>
          <w:iCs w:val="0"/>
          <w:smallCaps w:val="0"/>
          <w:strike w:val="0"/>
          <w:color w:val="000000"/>
          <w:sz w:val="22"/>
          <w:szCs w:val="22"/>
          <w:u w:val="none"/>
          <w:shd w:val="clear" w:fill="auto"/>
          <w:vertAlign w:val="baseline"/>
          <w:rtl w:val="0"/>
        </w:rPr>
        <w:t xml:space="preserve"> </w:t>
      </w:r>
      <w:r w:rsidRPr="00000000" w:rsidDel="00000000" w:rsidR="00000000">
        <w:rPr>
          <w:rtl w:val="0"/>
        </w:rPr>
      </w:r>
    </w:p>
    <w:p w:rsidRPr="00000000" w:rsidR="00000000" w:rsidDel="00000000" w:rsidP="00000000" w:rsidRDefault="00000000" w14:paraId="000001B8">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Request for an anonymous account, or an account in a fictitious name, or numbered account;</w:t>
      </w:r>
      <w:r w:rsidRPr="00000000" w:rsidDel="00000000" w:rsidR="00000000">
        <w:rPr>
          <w:rtl w:val="0"/>
        </w:rPr>
      </w:r>
    </w:p>
    <w:p w:rsidRPr="00000000" w:rsidR="00000000" w:rsidDel="00000000" w:rsidP="00000000" w:rsidRDefault="00000000" w14:paraId="000001B9">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Unlicensed money lender or money service operator;</w:t>
      </w:r>
      <w:r w:rsidRPr="00000000" w:rsidDel="00000000" w:rsidR="00000000">
        <w:rPr>
          <w:rtl w:val="0"/>
        </w:rPr>
      </w:r>
    </w:p>
    <w:p w:rsidRPr="00000000" w:rsidR="00000000" w:rsidDel="00000000" w:rsidP="00000000" w:rsidRDefault="00000000" w14:paraId="000001BA">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Unlicensed casino (whether land-based or online) and unlicensed online gambling or betting platforms; </w:t>
      </w:r>
      <w:r w:rsidRPr="00000000" w:rsidDel="00000000" w:rsidR="00000000">
        <w:rPr>
          <w:rtl w:val="0"/>
        </w:rPr>
      </w:r>
    </w:p>
    <w:p w:rsidRPr="00000000" w:rsidR="00000000" w:rsidDel="00000000" w:rsidP="00000000" w:rsidRDefault="00000000" w14:paraId="000001BB">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Casino cruise ship; </w:t>
      </w:r>
      <w:r w:rsidRPr="00000000" w:rsidDel="00000000" w:rsidR="00000000">
        <w:rPr>
          <w:rtl w:val="0"/>
        </w:rPr>
      </w:r>
    </w:p>
    <w:p w:rsidRPr="00000000" w:rsidR="00000000" w:rsidDel="00000000" w:rsidP="00000000" w:rsidRDefault="00000000" w14:paraId="000001BC">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Residents of the Netherlands including entities incorporated in the Netherlands;</w:t>
      </w:r>
      <w:r w:rsidRPr="00000000" w:rsidDel="00000000" w:rsidR="00000000">
        <w:rPr>
          <w:rtl w:val="0"/>
        </w:rPr>
      </w:r>
    </w:p>
    <w:p w:rsidRPr="00000000" w:rsidR="00000000" w:rsidDel="00000000" w:rsidP="00000000" w:rsidRDefault="00000000" w14:paraId="000001BD">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Individuals (including entities with exposure to such individuals) determined to have Canada touchpoints for onboarding purposes; and</w:t>
      </w:r>
      <w:r w:rsidRPr="00000000" w:rsidDel="00000000" w:rsidR="00000000">
        <w:rPr>
          <w:rtl w:val="0"/>
        </w:rPr>
      </w:r>
    </w:p>
    <w:p w:rsidRPr="00000000" w:rsidR="00000000" w:rsidDel="00000000" w:rsidP="00000000" w:rsidRDefault="00000000" w14:paraId="000001BE">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Unlicensed casino junket (aka International Casino Market Agency).</w:t>
      </w:r>
      <w:r w:rsidRPr="00000000" w:rsidDel="00000000" w:rsidR="00000000">
        <w:rPr>
          <w:rtl w:val="0"/>
        </w:rPr>
      </w:r>
    </w:p>
    <w:p w:rsidRPr="00000000" w:rsidR="00000000" w:rsidDel="00000000" w:rsidP="00000000" w:rsidRDefault="00000000" w14:paraId="000001BF">
      <w:pPr>
        <w:keepNext w:val="0"/>
        <w:keepLines w:val="0"/>
        <w:pageBreakBefore w:val="0"/>
        <w:widowControl w:val="1"/>
        <w:numPr>
          <w:ilvl w:val="1"/>
          <w:numId w:val="7"/>
        </w:numPr>
        <w:pBdr>
          <w:top w:val="nil" w:sz="0" w:space="0"/>
          <w:left w:val="nil" w:sz="0" w:space="0"/>
          <w:bottom w:val="nil" w:sz="0" w:space="0"/>
          <w:right w:val="nil" w:sz="0" w:space="0"/>
          <w:between w:val="nil" w:sz="0" w:space="0"/>
        </w:pBdr>
        <w:shd w:val="clear" w:fill="auto"/>
        <w:spacing w:before="0" w:after="100" w:line="276" w:lineRule="auto"/>
        <w:ind w:left="720" w:right="0" w:hanging="720"/>
        <w:jc w:val="both"/>
        <w:rPr/>
      </w:pPr>
      <w:r w:rsidRPr="00000000" w:rsidDel="00000000" w:rsidR="00000000">
        <w:rPr>
          <w:rtl w:val="0"/>
        </w:rPr>
        <w:t xml:space="preserve">If during the process of establishing Business Relations or undertaking any Transaction, Binance Group has any reasonable grounds to believe or suspicion that:</w:t>
      </w:r>
    </w:p>
    <w:p w:rsidRPr="00000000" w:rsidR="00000000" w:rsidDel="00000000" w:rsidP="00000000" w:rsidRDefault="00000000" w14:paraId="000001C0">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the activity is related to ML, TF or PF; or</w:t>
      </w:r>
      <w:r w:rsidRPr="00000000" w:rsidDel="00000000" w:rsidR="00000000">
        <w:rPr>
          <w:rtl w:val="0"/>
        </w:rPr>
      </w:r>
    </w:p>
    <w:p w:rsidRPr="00000000" w:rsidR="00000000" w:rsidDel="00000000" w:rsidP="00000000" w:rsidRDefault="00000000" w14:paraId="000001C1">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the Customer’s assets are the proceeds of predicate offence under the applicable laws and regulations, including but not limited to, including wilful and fraudulent tax evasion, bribery and corruption, the Group shall:</w:t>
      </w:r>
      <w:r w:rsidRPr="00000000" w:rsidDel="00000000" w:rsidR="00000000">
        <w:rPr>
          <w:rtl w:val="0"/>
        </w:rPr>
      </w:r>
    </w:p>
    <w:p w:rsidRPr="00000000" w:rsidR="00000000" w:rsidDel="00000000" w:rsidP="00000000" w:rsidRDefault="00000000" w14:paraId="000001C2">
      <w:pPr>
        <w:keepNext w:val="0"/>
        <w:keepLines w:val="0"/>
        <w:pageBreakBefore w:val="0"/>
        <w:widowControl w:val="1"/>
        <w:numPr>
          <w:ilvl w:val="0"/>
          <w:numId w:val="9"/>
        </w:numPr>
        <w:pBdr>
          <w:top w:val="nil" w:sz="0" w:space="0"/>
          <w:left w:val="nil" w:sz="0" w:space="0"/>
          <w:bottom w:val="nil" w:sz="0" w:space="0"/>
          <w:right w:val="nil" w:sz="0" w:space="0"/>
          <w:between w:val="nil" w:sz="0" w:space="0"/>
        </w:pBdr>
        <w:shd w:val="clear" w:fill="auto"/>
        <w:spacing w:before="0" w:after="100" w:line="276" w:lineRule="auto"/>
        <w:ind w:left="144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not establish Business Relations with, or undertake a Transaction for the Customer; and</w:t>
      </w:r>
      <w:r w:rsidRPr="00000000" w:rsidDel="00000000" w:rsidR="00000000">
        <w:rPr>
          <w:rtl w:val="0"/>
        </w:rPr>
      </w:r>
    </w:p>
    <w:p w:rsidRPr="00000000" w:rsidR="00000000" w:rsidDel="00000000" w:rsidP="00000000" w:rsidRDefault="00000000" w14:paraId="000001C3">
      <w:pPr>
        <w:keepNext w:val="0"/>
        <w:keepLines w:val="0"/>
        <w:pageBreakBefore w:val="0"/>
        <w:widowControl w:val="1"/>
        <w:numPr>
          <w:ilvl w:val="0"/>
          <w:numId w:val="9"/>
        </w:numPr>
        <w:pBdr>
          <w:top w:val="nil" w:sz="0" w:space="0"/>
          <w:left w:val="nil" w:sz="0" w:space="0"/>
          <w:bottom w:val="nil" w:sz="0" w:space="0"/>
          <w:right w:val="nil" w:sz="0" w:space="0"/>
          <w:between w:val="nil" w:sz="0" w:space="0"/>
        </w:pBdr>
        <w:shd w:val="clear" w:fill="auto"/>
        <w:spacing w:before="0" w:after="100" w:line="276" w:lineRule="auto"/>
        <w:ind w:left="144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escalate to the Financial Crime Investigations Team for investigation and determination if external reporting is warranted, in line with suspicious activity reporting obligations under the ADGM, FSRA and UAE AML frameworks.</w:t>
      </w:r>
      <w:r w:rsidRPr="00000000" w:rsidDel="00000000" w:rsidR="00000000">
        <w:rPr>
          <w:rtl w:val="0"/>
        </w:rPr>
      </w:r>
    </w:p>
    <w:p w:rsidRPr="00000000" w:rsidR="00000000" w:rsidDel="00000000" w:rsidP="00000000" w:rsidRDefault="00000000" w14:paraId="000001C4">
      <w:pPr>
        <w:keepNext w:val="0"/>
        <w:keepLines w:val="0"/>
        <w:pageBreakBefore w:val="0"/>
        <w:widowControl w:val="1"/>
        <w:numPr>
          <w:ilvl w:val="1"/>
          <w:numId w:val="7"/>
        </w:numPr>
        <w:pBdr>
          <w:top w:val="nil" w:sz="0" w:space="0"/>
          <w:left w:val="nil" w:sz="0" w:space="0"/>
          <w:bottom w:val="nil" w:sz="0" w:space="0"/>
          <w:right w:val="nil" w:sz="0" w:space="0"/>
          <w:between w:val="nil" w:sz="0" w:space="0"/>
        </w:pBdr>
        <w:shd w:val="clear" w:fill="auto"/>
        <w:spacing w:before="0" w:after="100" w:line="276" w:lineRule="auto"/>
        <w:ind w:left="720" w:right="0" w:hanging="720"/>
        <w:jc w:val="both"/>
        <w:rPr/>
      </w:pPr>
      <w:r w:rsidRPr="00000000" w:rsidDel="00000000" w:rsidR="00000000">
        <w:rPr>
          <w:rtl w:val="0"/>
        </w:rPr>
        <w:t xml:space="preserve">Binance Group shall not conduct Transactions for non-account holders or Customers who have not established a Business Relation or completed the onboarding process in accordance with CDD requirements.</w:t>
      </w:r>
    </w:p>
    <w:p w:rsidRPr="00000000" w:rsidR="00000000" w:rsidDel="00000000" w:rsidP="00000000" w:rsidRDefault="00000000" w14:paraId="000001C5">
      <w:pPr>
        <w:keepNext w:val="0"/>
        <w:keepLines w:val="0"/>
        <w:pageBreakBefore w:val="0"/>
        <w:widowControl w:val="1"/>
        <w:numPr>
          <w:ilvl w:val="1"/>
          <w:numId w:val="7"/>
        </w:numPr>
        <w:pBdr>
          <w:top w:val="nil" w:sz="0" w:space="0"/>
          <w:left w:val="nil" w:sz="0" w:space="0"/>
          <w:bottom w:val="nil" w:sz="0" w:space="0"/>
          <w:right w:val="nil" w:sz="0" w:space="0"/>
          <w:between w:val="nil" w:sz="0" w:space="0"/>
        </w:pBdr>
        <w:shd w:val="clear" w:fill="auto"/>
        <w:spacing w:before="0" w:after="100" w:line="276" w:lineRule="auto"/>
        <w:ind w:left="720" w:right="0" w:hanging="720"/>
        <w:jc w:val="both"/>
        <w:rPr/>
      </w:pPr>
      <w:r w:rsidRPr="00000000" w:rsidDel="00000000" w:rsidR="00000000">
        <w:rPr>
          <w:rtl w:val="0"/>
        </w:rPr>
        <w:t xml:space="preserve">Binance prohibits all Transactions involving Cash and Cash equivalent (i.e., bearer negotiable instruments).  Any products, services or delivery channels involving such Transactions are strictly prohibited unless explicitly permitted by applicable law and authorised by the FSRA or UAE competent authority.</w:t>
      </w:r>
      <w:r w:rsidRPr="00000000" w:rsidDel="00000000" w:rsidR="00000000">
        <w:rPr>
          <w:rtl w:val="0"/>
        </w:rPr>
      </w:r>
    </w:p>
    <w:p w:rsidRPr="00000000" w:rsidR="00000000" w:rsidDel="00000000" w:rsidP="00000000" w:rsidRDefault="00000000" w14:paraId="000001C6">
      <w:pPr>
        <w:pStyle w:val="Heading1"/>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400" w:after="200" w:line="360" w:lineRule="auto"/>
        <w:ind w:left="720" w:right="0" w:hanging="720"/>
        <w:jc w:val="both"/>
        <w:rPr/>
      </w:pPr>
      <w:bookmarkStart w:name="_heading=h.c9x8971z6v72" w:colFirst="0" w:colLast="0" w:id="45"/>
      <w:bookmarkEnd w:id="45"/>
      <w:r w:rsidRPr="00000000" w:rsidDel="00000000" w:rsidR="00000000">
        <w:rPr>
          <w:sz w:val="28"/>
          <w:szCs w:val="28"/>
          <w:rtl w:val="0"/>
        </w:rPr>
        <w:t xml:space="preserve">CUSTOMER DUE DILIGENCE (CDD)</w:t>
      </w:r>
      <w:r w:rsidRPr="00000000" w:rsidDel="00000000" w:rsidR="00000000">
        <w:rPr>
          <w:rtl w:val="0"/>
        </w:rPr>
      </w:r>
    </w:p>
    <w:p w:rsidRPr="00000000" w:rsidR="00000000" w:rsidDel="00000000" w:rsidP="00000000" w:rsidRDefault="00000000" w14:paraId="000001C7">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f0dit72h9gl4" w:colFirst="0" w:colLast="0" w:id="46"/>
      <w:bookmarkEnd w:id="46"/>
      <w:r w:rsidRPr="00000000" w:rsidDel="00000000" w:rsidR="00000000">
        <w:rPr>
          <w:sz w:val="24"/>
          <w:szCs w:val="24"/>
          <w:rtl w:val="0"/>
        </w:rPr>
        <w:t xml:space="preserve">Overview</w:t>
      </w:r>
      <w:r w:rsidRPr="00000000" w:rsidDel="00000000" w:rsidR="00000000">
        <w:rPr>
          <w:rtl w:val="0"/>
        </w:rPr>
      </w:r>
    </w:p>
    <w:p w:rsidRPr="00000000" w:rsidR="00000000" w:rsidDel="00000000" w:rsidP="00000000" w:rsidRDefault="00000000" w14:paraId="000001C8">
      <w:pPr>
        <w:numPr>
          <w:ilvl w:val="2"/>
          <w:numId w:val="7"/>
        </w:numPr>
        <w:spacing w:after="100" w:line="276" w:lineRule="auto"/>
        <w:ind w:left="720" w:hanging="720"/>
      </w:pPr>
      <w:r w:rsidRPr="00000000" w:rsidDel="00000000" w:rsidR="00000000">
        <w:rPr>
          <w:rtl w:val="0"/>
        </w:rPr>
        <w:t xml:space="preserve">Binance Group is able to mitigate the risk of transacting business with, or on behalf of, a criminal actor by transacting only with reputable Customers who are known to Binance Group through Customer risk assessment and risk-based due diligence efforts.  Reputable Customers are those who are engaged in legitimate business activities and those who derive their income, funds, and investable assets from legitimate sources and use for legitimate purposes.</w:t>
      </w:r>
    </w:p>
    <w:p w:rsidRPr="00000000" w:rsidR="00000000" w:rsidDel="00000000" w:rsidP="00000000" w:rsidRDefault="00000000" w14:paraId="000001C9">
      <w:pPr>
        <w:numPr>
          <w:ilvl w:val="2"/>
          <w:numId w:val="7"/>
        </w:numPr>
        <w:spacing w:after="100" w:line="276" w:lineRule="auto"/>
        <w:ind w:left="720" w:hanging="720"/>
      </w:pPr>
      <w:r w:rsidRPr="00000000" w:rsidDel="00000000" w:rsidR="00000000">
        <w:rPr>
          <w:rtl w:val="0"/>
        </w:rPr>
        <w:t xml:space="preserve">To that end, before accepting a Customer or processing a new Transaction for an existing Customer, Binance Group’s Personnel with the help of automated systems must:  </w:t>
      </w:r>
    </w:p>
    <w:p w:rsidRPr="00000000" w:rsidR="00000000" w:rsidDel="00000000" w:rsidP="00000000" w:rsidRDefault="00000000" w14:paraId="000001CA">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Comply with all applicable policies and procedures for opening accounts; </w:t>
      </w:r>
      <w:r w:rsidRPr="00000000" w:rsidDel="00000000" w:rsidR="00000000">
        <w:rPr>
          <w:rtl w:val="0"/>
        </w:rPr>
      </w:r>
    </w:p>
    <w:p w:rsidRPr="00000000" w:rsidR="00000000" w:rsidDel="00000000" w:rsidP="00000000" w:rsidRDefault="00000000" w14:paraId="000001CB">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Conduct a documented risk assessment; and</w:t>
      </w:r>
      <w:r w:rsidRPr="00000000" w:rsidDel="00000000" w:rsidR="00000000">
        <w:rPr>
          <w:rtl w:val="0"/>
        </w:rPr>
      </w:r>
    </w:p>
    <w:p w:rsidRPr="00000000" w:rsidR="00000000" w:rsidDel="00000000" w:rsidP="00000000" w:rsidRDefault="00000000" w14:paraId="000001CC">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Perform sufficient risk-based CDD or EDD in accordance with the ADGM, FSRA and UAE AML/CFT requirements.</w:t>
      </w:r>
      <w:r w:rsidRPr="00000000" w:rsidDel="00000000" w:rsidR="00000000">
        <w:rPr>
          <w:rtl w:val="0"/>
        </w:rPr>
      </w:r>
    </w:p>
    <w:p w:rsidRPr="00000000" w:rsidR="00000000" w:rsidDel="00000000" w:rsidP="00000000" w:rsidRDefault="00000000" w14:paraId="000001CD">
      <w:pPr>
        <w:numPr>
          <w:ilvl w:val="2"/>
          <w:numId w:val="7"/>
        </w:numPr>
        <w:spacing w:after="100" w:line="276" w:lineRule="auto"/>
        <w:ind w:left="720" w:hanging="720"/>
      </w:pPr>
      <w:r w:rsidRPr="00000000" w:rsidDel="00000000" w:rsidR="00000000">
        <w:rPr>
          <w:rtl w:val="0"/>
        </w:rPr>
        <w:t xml:space="preserve">Binance Group will not open an account, establish or continue any Business Relation if the identity of a prospective Customer or counterparty is not properly authenticated through a verification process to substantiate the Customer’s information and validate their identity</w:t>
      </w:r>
      <w:r w:rsidRPr="00000000" w:rsidDel="00000000" w:rsidR="00000000">
        <w:rPr>
          <w:sz w:val="24"/>
          <w:szCs w:val="24"/>
          <w:rtl w:val="0"/>
        </w:rPr>
        <w:t xml:space="preserve">.  </w:t>
      </w:r>
      <w:r w:rsidRPr="00000000" w:rsidDel="00000000" w:rsidR="00000000">
        <w:rPr>
          <w:rtl w:val="0"/>
        </w:rPr>
        <w:t xml:space="preserve">Either because the requisite information is unavailable, inconsistent or questionable, or there are questions about the legitimacy of the prospective Customer’s sources(s) of funds or wealth that cannot be resolved to a reasonable level of understanding. </w:t>
      </w:r>
    </w:p>
    <w:p w:rsidRPr="00000000" w:rsidR="00000000" w:rsidDel="00000000" w:rsidP="00000000" w:rsidRDefault="00000000" w14:paraId="000001CE">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o5wqing6wrah" w:colFirst="0" w:colLast="0" w:id="47"/>
      <w:bookmarkEnd w:id="47"/>
      <w:r w:rsidRPr="00000000" w:rsidDel="00000000" w:rsidR="00000000">
        <w:rPr>
          <w:sz w:val="24"/>
          <w:szCs w:val="24"/>
          <w:rtl w:val="0"/>
        </w:rPr>
        <w:t xml:space="preserve">Group CDD Procedures</w:t>
      </w:r>
      <w:r w:rsidRPr="00000000" w:rsidDel="00000000" w:rsidR="00000000">
        <w:rPr>
          <w:rtl w:val="0"/>
        </w:rPr>
      </w:r>
    </w:p>
    <w:p w:rsidRPr="00000000" w:rsidR="00000000" w:rsidDel="00000000" w:rsidP="00000000" w:rsidRDefault="00000000" w14:paraId="000001CF">
      <w:pPr>
        <w:numPr>
          <w:ilvl w:val="2"/>
          <w:numId w:val="7"/>
        </w:numPr>
        <w:spacing w:after="100" w:line="276" w:lineRule="auto"/>
        <w:ind w:left="720" w:hanging="720"/>
      </w:pPr>
      <w:r w:rsidRPr="00000000" w:rsidDel="00000000" w:rsidR="00000000">
        <w:rPr>
          <w:rtl w:val="0"/>
        </w:rPr>
        <w:t xml:space="preserve">The Group has established a CDD Program and Procedures to identify and manage financial crime risk and ensure that the Group reasonably knows its Customers at the time of onboarding, and through the life cycle of the Customer relationship.  The Program and Procedures:</w:t>
      </w:r>
    </w:p>
    <w:p w:rsidRPr="00000000" w:rsidR="00000000" w:rsidDel="00000000" w:rsidP="00000000" w:rsidRDefault="00000000" w14:paraId="000001D0">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Prohibit certain relationships including relationships with entities and individuals known to be involved with ML, TF or PF activity, including but not limited to corruption, cybercrimes, fraud, human trafficking and engagement with child sexual abuse materials; </w:t>
      </w:r>
      <w:r w:rsidRPr="00000000" w:rsidDel="00000000" w:rsidR="00000000">
        <w:rPr>
          <w:rtl w:val="0"/>
        </w:rPr>
      </w:r>
    </w:p>
    <w:p w:rsidRPr="00000000" w:rsidR="00000000" w:rsidDel="00000000" w:rsidP="00000000" w:rsidRDefault="00000000" w14:paraId="000001D1">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Determine how to assess the Customer’s financial crime risk; </w:t>
      </w:r>
      <w:r w:rsidRPr="00000000" w:rsidDel="00000000" w:rsidR="00000000">
        <w:rPr>
          <w:rtl w:val="0"/>
        </w:rPr>
      </w:r>
    </w:p>
    <w:p w:rsidRPr="00000000" w:rsidR="00000000" w:rsidDel="00000000" w:rsidP="00000000" w:rsidRDefault="00000000" w14:paraId="000001D2">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Require that the Group does not allow Customers to trade until due diligence has been completed unless permitted in strictly limited circumstances under applicable laws and regulations;</w:t>
      </w:r>
      <w:r w:rsidRPr="00000000" w:rsidDel="00000000" w:rsidR="00000000">
        <w:rPr>
          <w:rtl w:val="0"/>
        </w:rPr>
      </w:r>
    </w:p>
    <w:p w:rsidRPr="00000000" w:rsidR="00000000" w:rsidDel="00000000" w:rsidP="00000000" w:rsidRDefault="00000000" w14:paraId="000001D3">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Determine a risk-based approach that is used to collect sufficient information to identify and verify the Customers, their Beneficial Owners and any related parties in line with the requirements under applicable ADGM, FSRA and UAE frameworks;</w:t>
      </w:r>
      <w:r w:rsidRPr="00000000" w:rsidDel="00000000" w:rsidR="00000000">
        <w:rPr>
          <w:rtl w:val="0"/>
        </w:rPr>
      </w:r>
    </w:p>
    <w:p w:rsidRPr="00000000" w:rsidR="00000000" w:rsidDel="00000000" w:rsidP="00000000" w:rsidRDefault="00000000" w14:paraId="000001D4">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Implement reasonable and robust measures for the onboarding and retention of non-face-to-face Business Relations and address the specific risks associated with such relations; </w:t>
      </w:r>
      <w:r w:rsidRPr="00000000" w:rsidDel="00000000" w:rsidR="00000000">
        <w:rPr>
          <w:rtl w:val="0"/>
        </w:rPr>
      </w:r>
    </w:p>
    <w:p w:rsidRPr="00000000" w:rsidR="00000000" w:rsidDel="00000000" w:rsidP="00000000" w:rsidRDefault="00000000" w14:paraId="000001D5">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Determine a risk-based approach that is used to determine the level of due diligence required to reasonably establish a profile for the Customer and to understand the purpose, intended nature of the Group‘s relationship with the Customer and the Customer’s anticipated activity with their accounts with the Group;</w:t>
      </w:r>
      <w:r w:rsidRPr="00000000" w:rsidDel="00000000" w:rsidR="00000000">
        <w:rPr>
          <w:rtl w:val="0"/>
        </w:rPr>
      </w:r>
    </w:p>
    <w:p w:rsidRPr="00000000" w:rsidR="00000000" w:rsidDel="00000000" w:rsidP="00000000" w:rsidRDefault="00000000" w14:paraId="000001D6">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Define requirements for Group’s reliance on third parties in respect of CDD measures and the circumstances where reliance is permitted only in accordance with applicable AML/CFT laws and with documented assurances on the adequacy of the third party’s measures;</w:t>
      </w:r>
      <w:r w:rsidRPr="00000000" w:rsidDel="00000000" w:rsidR="00000000">
        <w:rPr>
          <w:rtl w:val="0"/>
        </w:rPr>
      </w:r>
    </w:p>
    <w:p w:rsidRPr="00000000" w:rsidR="00000000" w:rsidDel="00000000" w:rsidP="00000000" w:rsidRDefault="00000000" w14:paraId="000001D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Define requirements and controls when the Group establishes a correspondent relationship with correspondent partner and carries out Transactions on behalf of their Customers in compliance with correspondent banking obligations under the applicable ADGM, FSRA and UAE frameworks; </w:t>
      </w:r>
      <w:r w:rsidRPr="00000000" w:rsidDel="00000000" w:rsidR="00000000">
        <w:rPr>
          <w:rtl w:val="0"/>
        </w:rPr>
      </w:r>
    </w:p>
    <w:p w:rsidRPr="00000000" w:rsidR="00000000" w:rsidDel="00000000" w:rsidP="00000000" w:rsidRDefault="00000000" w14:paraId="000001D8">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Determine consistent escalations and approval requirements for Customers based on risk;</w:t>
      </w:r>
      <w:r w:rsidRPr="00000000" w:rsidDel="00000000" w:rsidR="00000000">
        <w:rPr>
          <w:rtl w:val="0"/>
        </w:rPr>
      </w:r>
    </w:p>
    <w:p w:rsidRPr="00000000" w:rsidR="00000000" w:rsidDel="00000000" w:rsidP="00000000" w:rsidRDefault="00000000" w14:paraId="000001D9">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Define requirements for ongoing periodic and trigger CDD reviews to ensure that the CDD information is kept up to date and the Customer’s risk rating remains appropriate, including when there is new or incremental risk information about the Customer following screening (name and Transaction) or Transaction monitoring; define higher risk categories of Customers for EDD and enhanced ongoing monitoring;</w:t>
      </w:r>
      <w:r w:rsidRPr="00000000" w:rsidDel="00000000" w:rsidR="00000000">
        <w:rPr>
          <w:rtl w:val="0"/>
        </w:rPr>
      </w:r>
    </w:p>
    <w:p w:rsidRPr="00000000" w:rsidR="00000000" w:rsidDel="00000000" w:rsidP="00000000" w:rsidRDefault="00000000" w14:paraId="000001DA">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Determine a risk-based approach to be applied in relation to the onboarding of PEPs or Customers connected to PEPs;</w:t>
      </w:r>
      <w:r w:rsidRPr="00000000" w:rsidDel="00000000" w:rsidR="00000000">
        <w:rPr>
          <w:rtl w:val="0"/>
        </w:rPr>
      </w:r>
    </w:p>
    <w:p w:rsidRPr="00000000" w:rsidR="00000000" w:rsidDel="00000000" w:rsidP="00000000" w:rsidRDefault="00000000" w14:paraId="000001DB">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Defines the criteria for the determination of higher risk Customers and the EDD measures required to be undertaken to manage their risk;</w:t>
      </w:r>
      <w:r w:rsidRPr="00000000" w:rsidDel="00000000" w:rsidR="00000000">
        <w:rPr>
          <w:rtl w:val="0"/>
        </w:rPr>
      </w:r>
    </w:p>
    <w:p w:rsidRPr="00000000" w:rsidR="00000000" w:rsidDel="00000000" w:rsidP="00000000" w:rsidRDefault="00000000" w14:paraId="000001DC">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Provide a mechanism to ensure compliance with any additional country requirements that go beyond the Group CDD procedures;</w:t>
      </w:r>
      <w:r w:rsidRPr="00000000" w:rsidDel="00000000" w:rsidR="00000000">
        <w:rPr>
          <w:rtl w:val="0"/>
        </w:rPr>
      </w:r>
    </w:p>
    <w:p w:rsidRPr="00000000" w:rsidR="00000000" w:rsidDel="00000000" w:rsidP="00000000" w:rsidRDefault="00000000" w14:paraId="000001DD">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Provide a mechanism for Customer exits and account restrictions to be effected as part of the Group’s financial crime risk management;</w:t>
      </w:r>
      <w:r w:rsidRPr="00000000" w:rsidDel="00000000" w:rsidR="00000000">
        <w:rPr>
          <w:rtl w:val="0"/>
        </w:rPr>
      </w:r>
    </w:p>
    <w:p w:rsidRPr="00000000" w:rsidR="00000000" w:rsidDel="00000000" w:rsidP="00000000" w:rsidRDefault="00000000" w14:paraId="000001DE">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Provide for the suspension of the CDD process if suspicion of a crime has been formed and there are reasonable grounds to believe that undertaking the CDD process will tip off the Customer; and </w:t>
      </w:r>
      <w:r w:rsidRPr="00000000" w:rsidDel="00000000" w:rsidR="00000000">
        <w:rPr>
          <w:rtl w:val="0"/>
        </w:rPr>
      </w:r>
    </w:p>
    <w:p w:rsidRPr="00000000" w:rsidR="00000000" w:rsidDel="00000000" w:rsidP="00000000" w:rsidRDefault="00000000" w14:paraId="000001DF">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Enforce account restrictions where there is a failure to complete CDD by the Customer.</w:t>
      </w:r>
      <w:r w:rsidRPr="00000000" w:rsidDel="00000000" w:rsidR="00000000">
        <w:rPr>
          <w:rtl w:val="0"/>
        </w:rPr>
      </w:r>
    </w:p>
    <w:p w:rsidRPr="00000000" w:rsidR="00000000" w:rsidDel="00000000" w:rsidP="00000000" w:rsidRDefault="00000000" w14:paraId="000001E0">
      <w:pPr>
        <w:pStyle w:val="Heading1"/>
        <w:keepNext w:val="0"/>
        <w:keepLines w:val="0"/>
        <w:pageBreakBefore w:val="1"/>
        <w:widowControl w:val="1"/>
        <w:numPr>
          <w:ilvl w:val="0"/>
          <w:numId w:val="7"/>
        </w:numPr>
        <w:pBdr>
          <w:top w:val="nil" w:sz="0" w:space="0"/>
          <w:left w:val="nil" w:sz="0" w:space="0"/>
          <w:bottom w:val="nil" w:sz="0" w:space="0"/>
          <w:right w:val="nil" w:sz="0" w:space="0"/>
          <w:between w:val="nil" w:sz="0" w:space="0"/>
        </w:pBdr>
        <w:shd w:val="clear" w:fill="auto"/>
        <w:spacing w:before="400" w:after="200" w:line="360" w:lineRule="auto"/>
        <w:ind w:left="720" w:right="0" w:hanging="720"/>
        <w:jc w:val="both"/>
        <w:rPr/>
      </w:pPr>
      <w:bookmarkStart w:name="_heading=h.uyr92pnbeosf" w:colFirst="0" w:colLast="0" w:id="48"/>
      <w:bookmarkEnd w:id="48"/>
      <w:r w:rsidRPr="00000000" w:rsidDel="00000000" w:rsidR="00000000">
        <w:rPr>
          <w:sz w:val="28"/>
          <w:szCs w:val="28"/>
          <w:rtl w:val="0"/>
        </w:rPr>
        <w:t xml:space="preserve">ENHANCED DUE DILIGENCE (EDD)</w:t>
      </w:r>
      <w:r w:rsidRPr="00000000" w:rsidDel="00000000" w:rsidR="00000000">
        <w:rPr>
          <w:rtl w:val="0"/>
        </w:rPr>
      </w:r>
    </w:p>
    <w:p w:rsidRPr="00000000" w:rsidR="00000000" w:rsidDel="00000000" w:rsidP="00000000" w:rsidRDefault="00000000" w14:paraId="000001E1">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seb66mqb5kk9" w:colFirst="0" w:colLast="0" w:id="49"/>
      <w:bookmarkEnd w:id="49"/>
      <w:r w:rsidRPr="00000000" w:rsidDel="00000000" w:rsidR="00000000">
        <w:rPr>
          <w:sz w:val="24"/>
          <w:szCs w:val="24"/>
          <w:rtl w:val="0"/>
        </w:rPr>
        <w:t xml:space="preserve">Overview</w:t>
      </w:r>
      <w:r w:rsidRPr="00000000" w:rsidDel="00000000" w:rsidR="00000000">
        <w:rPr>
          <w:rtl w:val="0"/>
        </w:rPr>
      </w:r>
    </w:p>
    <w:p w:rsidRPr="00000000" w:rsidR="00000000" w:rsidDel="00000000" w:rsidP="00000000" w:rsidRDefault="00000000" w14:paraId="000001E2">
      <w:pPr>
        <w:numPr>
          <w:ilvl w:val="2"/>
          <w:numId w:val="7"/>
        </w:numPr>
        <w:spacing w:after="100" w:line="276" w:lineRule="auto"/>
        <w:ind w:left="720" w:hanging="720"/>
      </w:pPr>
      <w:r w:rsidRPr="00000000" w:rsidDel="00000000" w:rsidR="00000000">
        <w:rPr>
          <w:rtl w:val="0"/>
        </w:rPr>
        <w:t xml:space="preserve">Binance and its global subsidiaries are committed to maintaining comprehensive and risk-based CDD policies and procedures that are designed to prevent its services from being used for illegal activity and are compliant with AML and CTF laws and regulations in the jurisdictions in which it operates, where applicable, in line with the applicable ADGM, FSRA and UAE requirements.</w:t>
      </w:r>
    </w:p>
    <w:p w:rsidRPr="00000000" w:rsidR="00000000" w:rsidDel="00000000" w:rsidP="00000000" w:rsidRDefault="00000000" w14:paraId="000001E3">
      <w:pPr>
        <w:numPr>
          <w:ilvl w:val="2"/>
          <w:numId w:val="7"/>
        </w:numPr>
        <w:spacing w:after="100" w:line="276" w:lineRule="auto"/>
        <w:ind w:left="720" w:hanging="720"/>
      </w:pPr>
      <w:r w:rsidRPr="00000000" w:rsidDel="00000000" w:rsidR="00000000">
        <w:rPr>
          <w:rtl w:val="0"/>
        </w:rPr>
        <w:t xml:space="preserve">Binance has therefore adopted risk-based EDD procedures to enable it to understand the nature and purpose of its Customer relationships and undertake enhanced measures to manage and mitigate risks where the Business Relation with the Customer is assessed to pose an increased financial crime risk.  EDD refers to the additional measures that are applied in addition to the standard CDD measures and are designed to provide Binance with additional comfort as to the identity of the Customer and the legitimacy of their funds and source of wealth and potential activities.</w:t>
      </w:r>
    </w:p>
    <w:p w:rsidRPr="00000000" w:rsidR="00000000" w:rsidDel="00000000" w:rsidP="00000000" w:rsidRDefault="00000000" w14:paraId="000001E4">
      <w:pPr>
        <w:numPr>
          <w:ilvl w:val="2"/>
          <w:numId w:val="7"/>
        </w:numPr>
        <w:spacing w:after="100" w:line="276" w:lineRule="auto"/>
        <w:ind w:left="720" w:hanging="720"/>
      </w:pPr>
      <w:r w:rsidRPr="00000000" w:rsidDel="00000000" w:rsidR="00000000">
        <w:rPr>
          <w:rtl w:val="0"/>
        </w:rPr>
        <w:t xml:space="preserve">This means that all subsidiaries and affiliates are required to collect and assess additional information and/or documentation in relation to the Customer to ensure that identified risks have been assessed and mitigated.  The EDD process may require additional requirements in line with applicable AML/CFT laws and the relevant Country Addendum.</w:t>
      </w:r>
    </w:p>
    <w:p w:rsidRPr="00000000" w:rsidR="00000000" w:rsidDel="00000000" w:rsidP="00000000" w:rsidRDefault="00000000" w14:paraId="000001E5">
      <w:pPr>
        <w:numPr>
          <w:ilvl w:val="2"/>
          <w:numId w:val="7"/>
        </w:numPr>
        <w:spacing w:after="100" w:line="276" w:lineRule="auto"/>
        <w:ind w:left="720" w:hanging="720"/>
      </w:pPr>
      <w:r w:rsidRPr="00000000" w:rsidDel="00000000" w:rsidR="00000000">
        <w:rPr>
          <w:rtl w:val="0"/>
        </w:rPr>
        <w:t xml:space="preserve">As part of its risk-based approach to combating financial crime, this policy also sets out considerations related to the onboarding and monitoring of specific individuals deemed as PEP, as well as individuals or entities linked to a PEP in line with applicable legal requirements for PEPs.</w:t>
      </w:r>
    </w:p>
    <w:p w:rsidRPr="00000000" w:rsidR="00000000" w:rsidDel="00000000" w:rsidP="00000000" w:rsidRDefault="00000000" w14:paraId="000001E6">
      <w:pPr>
        <w:numPr>
          <w:ilvl w:val="2"/>
          <w:numId w:val="7"/>
        </w:numPr>
        <w:spacing w:after="100" w:line="276" w:lineRule="auto"/>
        <w:ind w:left="720" w:hanging="720"/>
      </w:pPr>
      <w:r w:rsidRPr="00000000" w:rsidDel="00000000" w:rsidR="00000000">
        <w:rPr>
          <w:rtl w:val="0"/>
        </w:rPr>
        <w:t xml:space="preserve">One of the key purposes of conducting EDD is to ensure that the increased risk posed by Customers remains within Binance risk appetite.  Where a Customer is outside risk appetite, even after EDD, the relationship should be either rejected or exited.  </w:t>
      </w:r>
    </w:p>
    <w:p w:rsidRPr="00000000" w:rsidR="00000000" w:rsidDel="00000000" w:rsidP="00000000" w:rsidRDefault="00000000" w14:paraId="000001E7">
      <w:pPr>
        <w:pStyle w:val="Heading2"/>
        <w:numPr>
          <w:ilvl w:val="1"/>
          <w:numId w:val="7"/>
        </w:numPr>
        <w:ind w:left="720" w:hanging="720"/>
        <w:rPr/>
      </w:pPr>
      <w:bookmarkStart w:name="_heading=h.ni6b0gbwr8ax" w:colFirst="0" w:colLast="0" w:id="50"/>
      <w:bookmarkEnd w:id="50"/>
      <w:r w:rsidRPr="00000000" w:rsidDel="00000000" w:rsidR="00000000">
        <w:rPr>
          <w:sz w:val="24"/>
          <w:szCs w:val="24"/>
          <w:rtl w:val="0"/>
        </w:rPr>
        <w:t xml:space="preserve">Scope and Application</w:t>
      </w:r>
      <w:r w:rsidRPr="00000000" w:rsidDel="00000000" w:rsidR="00000000">
        <w:rPr>
          <w:rtl w:val="0"/>
        </w:rPr>
      </w:r>
    </w:p>
    <w:p w:rsidRPr="00000000" w:rsidR="00000000" w:rsidDel="00000000" w:rsidP="00000000" w:rsidRDefault="00000000" w14:paraId="000001E8">
      <w:pPr>
        <w:numPr>
          <w:ilvl w:val="2"/>
          <w:numId w:val="7"/>
        </w:numPr>
        <w:spacing w:after="100" w:line="276" w:lineRule="auto"/>
        <w:ind w:left="720" w:hanging="720"/>
      </w:pPr>
      <w:r w:rsidRPr="00000000" w:rsidDel="00000000" w:rsidR="00000000">
        <w:rPr>
          <w:rtl w:val="0"/>
        </w:rPr>
        <w:t xml:space="preserve">The Global EDD program sets out Binance’s approach for compliance with AML and CTF related laws, regulations and other requirements that are applicable to the entire Group and its Customers.  This process applies to all Customers who pose a higher risk of ML/TF/PF, including PEPs with adverse media as well as account holders who wish to increase their daily trading limits.  For a list of Customers or situations where EDD is applicable, please refer to the high-risk Customer Monitoring Program and EDD General Standard Operating Procedure (SOP), which must be consistent with applicable ADGM, FSRA and UAE requirements.</w:t>
      </w:r>
    </w:p>
    <w:p w:rsidRPr="00000000" w:rsidR="00000000" w:rsidDel="00000000" w:rsidP="00000000" w:rsidRDefault="00000000" w14:paraId="000001E9">
      <w:pPr>
        <w:numPr>
          <w:ilvl w:val="2"/>
          <w:numId w:val="7"/>
        </w:numPr>
        <w:spacing w:after="100" w:line="276" w:lineRule="auto"/>
        <w:ind w:left="720" w:hanging="720"/>
      </w:pPr>
      <w:r w:rsidRPr="00000000" w:rsidDel="00000000" w:rsidR="00000000">
        <w:rPr>
          <w:rtl w:val="0"/>
        </w:rPr>
        <w:t xml:space="preserve">Ongoing assessment must also be conducted through EWRA to determine whether there should be additional circumstances where EDD should be applied. </w:t>
      </w:r>
    </w:p>
    <w:p w:rsidRPr="00000000" w:rsidR="00000000" w:rsidDel="00000000" w:rsidP="00000000" w:rsidRDefault="00000000" w14:paraId="000001EA">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c7wtft7jigr4" w:colFirst="0" w:colLast="0" w:id="51"/>
      <w:bookmarkEnd w:id="51"/>
      <w:r w:rsidRPr="00000000" w:rsidDel="00000000" w:rsidR="00000000">
        <w:rPr>
          <w:sz w:val="24"/>
          <w:szCs w:val="24"/>
          <w:rtl w:val="0"/>
        </w:rPr>
        <w:t xml:space="preserve">Enhanced Due Diligence</w:t>
      </w:r>
      <w:r w:rsidRPr="00000000" w:rsidDel="00000000" w:rsidR="00000000">
        <w:rPr>
          <w:rtl w:val="0"/>
        </w:rPr>
      </w:r>
    </w:p>
    <w:p w:rsidRPr="00000000" w:rsidR="00000000" w:rsidDel="00000000" w:rsidP="00000000" w:rsidRDefault="00000000" w14:paraId="000001EB">
      <w:pPr>
        <w:numPr>
          <w:ilvl w:val="2"/>
          <w:numId w:val="7"/>
        </w:numPr>
        <w:spacing w:after="100" w:line="276" w:lineRule="auto"/>
        <w:ind w:left="720" w:hanging="720"/>
      </w:pPr>
      <w:r w:rsidRPr="00000000" w:rsidDel="00000000" w:rsidR="00000000">
        <w:rPr>
          <w:rtl w:val="0"/>
        </w:rPr>
        <w:t xml:space="preserve">Where EDD is required, it must be performed at the time of the onboarding and on an ongoing basis as mandated under applicable AML/CFT frameworks. </w:t>
      </w:r>
    </w:p>
    <w:p w:rsidRPr="00000000" w:rsidR="00000000" w:rsidDel="00000000" w:rsidP="00000000" w:rsidRDefault="00000000" w14:paraId="000001EC">
      <w:pPr>
        <w:numPr>
          <w:ilvl w:val="2"/>
          <w:numId w:val="7"/>
        </w:numPr>
        <w:spacing w:after="100" w:line="276" w:lineRule="auto"/>
        <w:ind w:left="720" w:hanging="720"/>
      </w:pPr>
      <w:r w:rsidRPr="00000000" w:rsidDel="00000000" w:rsidR="00000000">
        <w:rPr>
          <w:rtl w:val="0"/>
        </w:rPr>
        <w:t xml:space="preserve">There may be exceptional circumstances where EDD cannot be fully completed prior to onboarding, in which case the client is provided a defined period to provide the requisite documentation and failing to do so would result in the account being restricted for outward transactions (i.e. withdrawal) only.  An example of such a situation may be that a Customer does not have a copy of the required document to substantiate either CDD or EDD but is able to provide it within a short time frame.  Reasons for not being able to provide a specific document must be clearly documented and justified. </w:t>
      </w:r>
    </w:p>
    <w:p w:rsidRPr="00000000" w:rsidR="00000000" w:rsidDel="00000000" w:rsidP="00000000" w:rsidRDefault="00000000" w14:paraId="000001ED">
      <w:pPr>
        <w:numPr>
          <w:ilvl w:val="2"/>
          <w:numId w:val="7"/>
        </w:numPr>
        <w:spacing w:after="100" w:line="276" w:lineRule="auto"/>
        <w:ind w:left="720" w:hanging="720"/>
      </w:pPr>
      <w:r w:rsidRPr="00000000" w:rsidDel="00000000" w:rsidR="00000000">
        <w:rPr>
          <w:rtl w:val="0"/>
        </w:rPr>
        <w:t xml:space="preserve">EDD must always align with the level of risk identified through the risk assessment process at the time of onboarding and on an ongoing basis.  In some cases, it will be necessary to conduct extensive due diligence after onboarding.  For example, extensive EDD will be required where Binance becomes aware that a Customer substantially changed the services it provides to its Customers or expands geographical reach.  This is particularly relevant in the case of Virtual Asset Providers (VASPs).</w:t>
      </w:r>
    </w:p>
    <w:p w:rsidRPr="00000000" w:rsidR="00000000" w:rsidDel="00000000" w:rsidP="00000000" w:rsidRDefault="00000000" w14:paraId="000001EE">
      <w:pPr>
        <w:numPr>
          <w:ilvl w:val="2"/>
          <w:numId w:val="7"/>
        </w:numPr>
        <w:spacing w:after="100" w:line="276" w:lineRule="auto"/>
        <w:ind w:left="720" w:hanging="720"/>
      </w:pPr>
      <w:r w:rsidRPr="00000000" w:rsidDel="00000000" w:rsidR="00000000">
        <w:rPr>
          <w:rtl w:val="0"/>
        </w:rPr>
        <w:t xml:space="preserve">EDD supporting analysis must be clearly documented and all information and documents stored on the Customer file in accordance with record-keeping requirements under applicable AML/CFT laws.</w:t>
      </w:r>
    </w:p>
    <w:p w:rsidRPr="00000000" w:rsidR="00000000" w:rsidDel="00000000" w:rsidP="00000000" w:rsidRDefault="00000000" w14:paraId="000001EF">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egbalml4zhcc" w:colFirst="0" w:colLast="0" w:id="52"/>
      <w:bookmarkEnd w:id="52"/>
      <w:r w:rsidRPr="00000000" w:rsidDel="00000000" w:rsidR="00000000">
        <w:rPr>
          <w:sz w:val="24"/>
          <w:szCs w:val="24"/>
          <w:rtl w:val="0"/>
        </w:rPr>
        <w:t xml:space="preserve">Ongoing Monitoring</w:t>
      </w:r>
      <w:r w:rsidRPr="00000000" w:rsidDel="00000000" w:rsidR="00000000">
        <w:rPr>
          <w:rtl w:val="0"/>
        </w:rPr>
      </w:r>
    </w:p>
    <w:p w:rsidRPr="00000000" w:rsidR="00000000" w:rsidDel="00000000" w:rsidP="00000000" w:rsidRDefault="00000000" w14:paraId="000001F0">
      <w:pPr>
        <w:numPr>
          <w:ilvl w:val="2"/>
          <w:numId w:val="7"/>
        </w:numPr>
        <w:spacing w:after="100" w:line="276" w:lineRule="auto"/>
        <w:ind w:left="720" w:hanging="720"/>
      </w:pPr>
      <w:r w:rsidRPr="00000000" w:rsidDel="00000000" w:rsidR="00000000">
        <w:rPr>
          <w:rtl w:val="0"/>
        </w:rPr>
        <w:t xml:space="preserve">Binance must conduct on-going due diligence and monitoring of Business Relations and identify, and report known or suspected suspicious activity or Transactions in line with suspicious activity reporting obligations under the applicable ADGM, FSRA and UAE frameworks.  Risk-based monitoring must be undertaken for all Customers without exception.  Ongoing due diligence refers to the process by which Binance assesses and ensures that the information and risks associated with an existing Customer remain accurate, relevant and up to date.</w:t>
      </w:r>
    </w:p>
    <w:p w:rsidRPr="00000000" w:rsidR="00000000" w:rsidDel="00000000" w:rsidP="00000000" w:rsidRDefault="00000000" w14:paraId="000001F1">
      <w:pPr>
        <w:numPr>
          <w:ilvl w:val="2"/>
          <w:numId w:val="7"/>
        </w:numPr>
        <w:spacing w:after="100" w:line="276" w:lineRule="auto"/>
        <w:ind w:left="720" w:hanging="720"/>
      </w:pPr>
      <w:r w:rsidRPr="00000000" w:rsidDel="00000000" w:rsidR="00000000">
        <w:rPr>
          <w:rtl w:val="0"/>
        </w:rPr>
        <w:t xml:space="preserve">Binance conducts ongoing monitoring of relationships through periodic and trigger event reviews of Customer information, Transaction monitoring, holistic Transaction look-backs and PEP, sanctions and adverse media screening.  This enables Binance to assess whether the Customer’s activities correlate with the information provided by the Customer at on-boarding or when ongoing due diligence was last performed, and to detect any suspicious Customer activity.  Performing ongoing due diligence also enables Binance to ensure that the controls and due diligence measures applied on the relationship continue to be accurate.</w:t>
      </w:r>
    </w:p>
    <w:p w:rsidRPr="00000000" w:rsidR="00000000" w:rsidDel="00000000" w:rsidP="00000000" w:rsidRDefault="00000000" w14:paraId="000001F2">
      <w:pPr>
        <w:numPr>
          <w:ilvl w:val="2"/>
          <w:numId w:val="7"/>
        </w:numPr>
        <w:spacing w:after="100" w:line="276" w:lineRule="auto"/>
        <w:ind w:left="720" w:hanging="720"/>
      </w:pPr>
      <w:r w:rsidRPr="00000000" w:rsidDel="00000000" w:rsidR="00000000">
        <w:rPr>
          <w:rtl w:val="0"/>
        </w:rPr>
        <w:t xml:space="preserve">The frequency of the monitoring is driven by risks associated with each Customer.  It is a Binance policy to review all high risk and PEP Customers annually.  There may be instances where in addition to annual ongoing monitoring, there will be a need to conduct an enhanced ongoing monitoring.  The type and frequency will be set on a case by cases basis but may include the following:</w:t>
      </w:r>
    </w:p>
    <w:p w:rsidRPr="00000000" w:rsidR="00000000" w:rsidDel="00000000" w:rsidP="00000000" w:rsidRDefault="00000000" w14:paraId="000001F3">
      <w:pPr>
        <w:numPr>
          <w:ilvl w:val="0"/>
          <w:numId w:val="14"/>
        </w:numPr>
        <w:spacing w:before="200" w:after="120" w:line="276" w:lineRule="auto"/>
        <w:ind w:left="1440" w:hanging="360"/>
        <w:rPr>
          <w:b w:val="1"/>
          <w:bCs w:val="1"/>
          <w:u w:val="none"/>
        </w:rPr>
      </w:pPr>
      <w:r w:rsidRPr="00000000" w:rsidDel="00000000" w:rsidR="00000000">
        <w:rPr>
          <w:b w:val="1"/>
          <w:bCs w:val="1"/>
          <w:u w:val="single"/>
          <w:rtl w:val="0"/>
        </w:rPr>
        <w:t xml:space="preserve">Periodic Review</w:t>
      </w:r>
      <w:r w:rsidRPr="00000000" w:rsidDel="00000000" w:rsidR="00000000">
        <w:rPr>
          <w:rtl w:val="0"/>
        </w:rPr>
      </w:r>
    </w:p>
    <w:p w:rsidRPr="00000000" w:rsidR="00000000" w:rsidDel="00000000" w:rsidP="00000000" w:rsidRDefault="00000000" w14:paraId="000001F4">
      <w:pPr>
        <w:numPr>
          <w:ilvl w:val="2"/>
          <w:numId w:val="7"/>
        </w:numPr>
        <w:spacing w:after="100" w:line="276" w:lineRule="auto"/>
        <w:ind w:left="720" w:hanging="720"/>
      </w:pPr>
      <w:r w:rsidRPr="00000000" w:rsidDel="00000000" w:rsidR="00000000">
        <w:rPr>
          <w:rtl w:val="0"/>
        </w:rPr>
        <w:t xml:space="preserve">Periodic review refers to the review and refresh of due diligence information and Customer’s risk rating.  All high risk Customers are required to undergo a Periodic Review annually. </w:t>
      </w:r>
    </w:p>
    <w:p w:rsidRPr="00000000" w:rsidR="00000000" w:rsidDel="00000000" w:rsidP="00000000" w:rsidRDefault="00000000" w14:paraId="000001F5">
      <w:pPr>
        <w:numPr>
          <w:ilvl w:val="2"/>
          <w:numId w:val="7"/>
        </w:numPr>
        <w:spacing w:after="100" w:line="276" w:lineRule="auto"/>
        <w:ind w:left="720" w:hanging="720"/>
      </w:pPr>
      <w:r w:rsidRPr="00000000" w:rsidDel="00000000" w:rsidR="00000000">
        <w:rPr>
          <w:rtl w:val="0"/>
        </w:rPr>
        <w:t xml:space="preserve">A non-exhaustive list of steps that should be taken as part of the periodic review process is set out in the Retail Know Your Customer (KYC) and Corporate Know Your Business (KYB) Procedures and align with ongoing CDD and periodic review requirements under the ADGM and UAE applicable requirements.</w:t>
      </w:r>
    </w:p>
    <w:p w:rsidRPr="00000000" w:rsidR="00000000" w:rsidDel="00000000" w:rsidP="00000000" w:rsidRDefault="00000000" w14:paraId="000001F6">
      <w:pPr>
        <w:numPr>
          <w:ilvl w:val="2"/>
          <w:numId w:val="7"/>
        </w:numPr>
        <w:spacing w:after="100" w:line="276" w:lineRule="auto"/>
        <w:ind w:left="720" w:hanging="720"/>
      </w:pPr>
      <w:r w:rsidRPr="00000000" w:rsidDel="00000000" w:rsidR="00000000">
        <w:rPr>
          <w:rtl w:val="0"/>
        </w:rPr>
        <w:t xml:space="preserve">Any new risks identified as part of the Periodic Review should be investigated and to the extent possible, mitigated.  Where this is not possible, cases should be escalated following the regular operational process.</w:t>
      </w:r>
    </w:p>
    <w:p w:rsidRPr="00000000" w:rsidR="00000000" w:rsidDel="00000000" w:rsidP="00000000" w:rsidRDefault="00000000" w14:paraId="000001F7">
      <w:pPr>
        <w:keepNext w:val="0"/>
        <w:keepLines w:val="0"/>
        <w:pageBreakBefore w:val="0"/>
        <w:widowControl w:val="1"/>
        <w:numPr>
          <w:ilvl w:val="0"/>
          <w:numId w:val="14"/>
        </w:numPr>
        <w:pBdr>
          <w:top w:val="nil" w:sz="0" w:space="0"/>
          <w:left w:val="nil" w:sz="0" w:space="0"/>
          <w:bottom w:val="nil" w:sz="0" w:space="0"/>
          <w:right w:val="nil" w:sz="0" w:space="0"/>
          <w:between w:val="nil" w:sz="0" w:space="0"/>
        </w:pBdr>
        <w:shd w:val="clear" w:fill="auto"/>
        <w:spacing w:before="200" w:after="120" w:line="276" w:lineRule="auto"/>
        <w:ind w:left="1440" w:right="0" w:hanging="360"/>
        <w:jc w:val="both"/>
        <w:rPr>
          <w:b w:val="1"/>
          <w:bCs w:val="1"/>
        </w:rPr>
      </w:pPr>
      <w:r w:rsidRPr="00000000" w:rsidDel="00000000" w:rsidR="00000000">
        <w:rPr>
          <w:b w:val="1"/>
          <w:bCs w:val="1"/>
          <w:u w:val="single"/>
          <w:rtl w:val="0"/>
        </w:rPr>
        <w:t xml:space="preserve"> Trigger Events</w:t>
      </w:r>
      <w:r w:rsidRPr="00000000" w:rsidDel="00000000" w:rsidR="00000000">
        <w:rPr>
          <w:rtl w:val="0"/>
        </w:rPr>
      </w:r>
    </w:p>
    <w:p w:rsidRPr="00000000" w:rsidR="00000000" w:rsidDel="00000000" w:rsidP="00000000" w:rsidRDefault="00000000" w14:paraId="000001F8">
      <w:pPr>
        <w:numPr>
          <w:ilvl w:val="2"/>
          <w:numId w:val="7"/>
        </w:numPr>
        <w:spacing w:after="100" w:line="276" w:lineRule="auto"/>
        <w:ind w:left="720" w:hanging="720"/>
      </w:pPr>
      <w:r w:rsidRPr="00000000" w:rsidDel="00000000" w:rsidR="00000000">
        <w:rPr>
          <w:rtl w:val="0"/>
        </w:rPr>
        <w:t xml:space="preserve">Changes and/or events that occur after the on-boarding of the Customer are considered Trigger Events and must result in a review of the Customer file and the risk rating in line with the periodic review requirements above.  A list of trigger events are available in the KYC and KYB program. </w:t>
      </w:r>
    </w:p>
    <w:p w:rsidRPr="00000000" w:rsidR="00000000" w:rsidDel="00000000" w:rsidP="00000000" w:rsidRDefault="00000000" w14:paraId="000001F9">
      <w:pPr>
        <w:keepNext w:val="0"/>
        <w:keepLines w:val="0"/>
        <w:pageBreakBefore w:val="0"/>
        <w:widowControl w:val="1"/>
        <w:numPr>
          <w:ilvl w:val="0"/>
          <w:numId w:val="14"/>
        </w:numPr>
        <w:pBdr>
          <w:top w:val="nil" w:sz="0" w:space="0"/>
          <w:left w:val="nil" w:sz="0" w:space="0"/>
          <w:bottom w:val="nil" w:sz="0" w:space="0"/>
          <w:right w:val="nil" w:sz="0" w:space="0"/>
          <w:between w:val="nil" w:sz="0" w:space="0"/>
        </w:pBdr>
        <w:shd w:val="clear" w:fill="auto"/>
        <w:spacing w:before="200" w:after="120" w:line="276" w:lineRule="auto"/>
        <w:ind w:left="1440" w:right="0" w:hanging="360"/>
        <w:jc w:val="both"/>
        <w:rPr>
          <w:b w:val="1"/>
          <w:bCs w:val="1"/>
        </w:rPr>
      </w:pPr>
      <w:r w:rsidRPr="00000000" w:rsidDel="00000000" w:rsidR="00000000">
        <w:rPr>
          <w:b w:val="1"/>
          <w:bCs w:val="1"/>
          <w:u w:val="single"/>
          <w:rtl w:val="0"/>
        </w:rPr>
        <w:t xml:space="preserve">Transactional Look Back </w:t>
      </w:r>
      <w:r w:rsidRPr="00000000" w:rsidDel="00000000" w:rsidR="00000000">
        <w:rPr>
          <w:rtl w:val="0"/>
        </w:rPr>
      </w:r>
    </w:p>
    <w:p w:rsidRPr="00000000" w:rsidR="00000000" w:rsidDel="00000000" w:rsidP="00000000" w:rsidRDefault="00000000" w14:paraId="000001FA">
      <w:pPr>
        <w:numPr>
          <w:ilvl w:val="2"/>
          <w:numId w:val="7"/>
        </w:numPr>
        <w:spacing w:after="100" w:line="276" w:lineRule="auto"/>
        <w:ind w:left="720" w:hanging="720"/>
      </w:pPr>
      <w:r w:rsidRPr="00000000" w:rsidDel="00000000" w:rsidR="00000000">
        <w:rPr>
          <w:rtl w:val="0"/>
        </w:rPr>
        <w:t xml:space="preserve">Binance applies a risk-based approach for transactional lookback as a part of periodic or trigger event reviews.  Binance identifies unusual Transactions and regularly reviews the information it holds to ensure that any new or emerging information that could affect the risk assessment is identified in a timely fashion.  </w:t>
      </w:r>
    </w:p>
    <w:p w:rsidRPr="00000000" w:rsidR="00000000" w:rsidDel="00000000" w:rsidP="00000000" w:rsidRDefault="00000000" w14:paraId="000001FB">
      <w:pPr>
        <w:numPr>
          <w:ilvl w:val="2"/>
          <w:numId w:val="7"/>
        </w:numPr>
        <w:spacing w:after="100" w:line="276" w:lineRule="auto"/>
        <w:ind w:left="720" w:hanging="720"/>
      </w:pPr>
      <w:r w:rsidRPr="00000000" w:rsidDel="00000000" w:rsidR="00000000">
        <w:rPr>
          <w:rtl w:val="0"/>
        </w:rPr>
        <w:t xml:space="preserve">As part of the periodic review or trigger event review, Binance must collect and analyse all available information on transactions undertaken in the period under review so that it has sufficient information to understand whether any unusual activities (or patterns of activity) have taken place.  As part of this review, consideration needs to be given whether the activity was in line with expected activity and the profile of the Customer.</w:t>
      </w:r>
    </w:p>
    <w:p w:rsidRPr="00000000" w:rsidR="00000000" w:rsidDel="00000000" w:rsidP="00000000" w:rsidRDefault="00000000" w14:paraId="000001FC">
      <w:pPr>
        <w:numPr>
          <w:ilvl w:val="2"/>
          <w:numId w:val="7"/>
        </w:numPr>
        <w:spacing w:after="100" w:line="276" w:lineRule="auto"/>
        <w:ind w:left="720" w:hanging="720"/>
      </w:pPr>
      <w:r w:rsidRPr="00000000" w:rsidDel="00000000" w:rsidR="00000000">
        <w:rPr>
          <w:rtl w:val="0"/>
        </w:rPr>
        <w:t xml:space="preserve"> Transactional look back is a step required over and above basic ongoing Transaction monitoring for all high-risk and PEP Customers.</w:t>
      </w:r>
    </w:p>
    <w:p w:rsidRPr="00000000" w:rsidR="00000000" w:rsidDel="00000000" w:rsidP="00000000" w:rsidRDefault="00000000" w14:paraId="000001FD">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z45c1nd3r2m9" w:colFirst="0" w:colLast="0" w:id="53"/>
      <w:bookmarkEnd w:id="53"/>
      <w:r w:rsidRPr="00000000" w:rsidDel="00000000" w:rsidR="00000000">
        <w:rPr>
          <w:sz w:val="24"/>
          <w:szCs w:val="24"/>
          <w:rtl w:val="0"/>
        </w:rPr>
        <w:t xml:space="preserve">Escalation</w:t>
      </w:r>
      <w:r w:rsidRPr="00000000" w:rsidDel="00000000" w:rsidR="00000000">
        <w:rPr>
          <w:rtl w:val="0"/>
        </w:rPr>
      </w:r>
    </w:p>
    <w:p w:rsidRPr="00000000" w:rsidR="00000000" w:rsidDel="00000000" w:rsidP="00000000" w:rsidRDefault="00000000" w14:paraId="000001FE">
      <w:pPr>
        <w:numPr>
          <w:ilvl w:val="2"/>
          <w:numId w:val="7"/>
        </w:numPr>
        <w:spacing w:line="276" w:lineRule="auto"/>
        <w:ind w:left="720" w:hanging="720"/>
      </w:pPr>
      <w:r w:rsidRPr="00000000" w:rsidDel="00000000" w:rsidR="00000000">
        <w:rPr>
          <w:rtl w:val="0"/>
        </w:rPr>
        <w:t xml:space="preserve">Any failure to provide required information must be escalated to the Country Compliance team or MLRO, as applicable, if the user is from a regulated/registered/licensed jurisdiction.</w:t>
      </w:r>
    </w:p>
    <w:p w:rsidRPr="00000000" w:rsidR="00000000" w:rsidDel="00000000" w:rsidP="00000000" w:rsidRDefault="00000000" w14:paraId="000001FF">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xznydbc5gv4m" w:colFirst="0" w:colLast="0" w:id="54"/>
      <w:bookmarkEnd w:id="54"/>
      <w:r w:rsidRPr="00000000" w:rsidDel="00000000" w:rsidR="00000000">
        <w:rPr>
          <w:sz w:val="24"/>
          <w:szCs w:val="24"/>
          <w:rtl w:val="0"/>
        </w:rPr>
        <w:t xml:space="preserve">Approval of High Risk and PEP Customers</w:t>
      </w:r>
      <w:r w:rsidRPr="00000000" w:rsidDel="00000000" w:rsidR="00000000">
        <w:rPr>
          <w:rtl w:val="0"/>
        </w:rPr>
      </w:r>
    </w:p>
    <w:p w:rsidRPr="00000000" w:rsidR="00000000" w:rsidDel="00000000" w:rsidP="00000000" w:rsidRDefault="00000000" w14:paraId="00000200">
      <w:pPr>
        <w:numPr>
          <w:ilvl w:val="2"/>
          <w:numId w:val="7"/>
        </w:numPr>
        <w:spacing w:after="100" w:line="276" w:lineRule="auto"/>
        <w:ind w:left="720" w:hanging="720"/>
      </w:pPr>
      <w:r w:rsidRPr="00000000" w:rsidDel="00000000" w:rsidR="00000000">
        <w:rPr>
          <w:rtl w:val="0"/>
        </w:rPr>
        <w:t xml:space="preserve">Senior Management or/and MLROs or their delegate(s) must approve the onboarding of all PEP Customers or legal entities and high risk KYB Customers according to the KYB Program and in line with senior management approval and documentation requirements under the ADGM AML Rulebook and UAE AML Law.</w:t>
      </w:r>
    </w:p>
    <w:p w:rsidRPr="00000000" w:rsidR="00000000" w:rsidDel="00000000" w:rsidP="00000000" w:rsidRDefault="00000000" w14:paraId="00000201">
      <w:pPr>
        <w:numPr>
          <w:ilvl w:val="2"/>
          <w:numId w:val="7"/>
        </w:numPr>
        <w:spacing w:after="100" w:line="276" w:lineRule="auto"/>
        <w:ind w:left="720" w:hanging="720"/>
      </w:pPr>
      <w:r w:rsidRPr="00000000" w:rsidDel="00000000" w:rsidR="00000000">
        <w:rPr>
          <w:rtl w:val="0"/>
        </w:rPr>
        <w:t xml:space="preserve">The PEP approval or reassessment should always include a risk assessment based on publicly available information as well as information obtained from the Customer.  This means the assessment should be well substantiated and not based on assumptions.  </w:t>
      </w:r>
    </w:p>
    <w:p w:rsidRPr="00000000" w:rsidR="00000000" w:rsidDel="00000000" w:rsidP="00000000" w:rsidRDefault="00000000" w14:paraId="00000202">
      <w:pPr>
        <w:numPr>
          <w:ilvl w:val="2"/>
          <w:numId w:val="7"/>
        </w:numPr>
        <w:spacing w:after="100" w:line="276" w:lineRule="auto"/>
        <w:ind w:left="720" w:hanging="720"/>
      </w:pPr>
      <w:r w:rsidRPr="00000000" w:rsidDel="00000000" w:rsidR="00000000">
        <w:rPr>
          <w:rtl w:val="0"/>
        </w:rPr>
        <w:t xml:space="preserve">Any issues related to high risk or PEP Customers that may affect the reputation of Binance must be reported to the Regional Compliance Officer/MLRO and Senior Management.</w:t>
      </w:r>
    </w:p>
    <w:p w:rsidRPr="00000000" w:rsidR="00000000" w:rsidDel="00000000" w:rsidP="00000000" w:rsidRDefault="00000000" w14:paraId="00000203">
      <w:pPr>
        <w:pStyle w:val="Heading1"/>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400" w:after="200" w:line="360" w:lineRule="auto"/>
        <w:ind w:left="720" w:right="0" w:hanging="720"/>
        <w:jc w:val="both"/>
        <w:rPr/>
      </w:pPr>
      <w:bookmarkStart w:name="_heading=h.vo38106ydbu" w:colFirst="0" w:colLast="0" w:id="55"/>
      <w:bookmarkEnd w:id="55"/>
      <w:r w:rsidRPr="00000000" w:rsidDel="00000000" w:rsidR="00000000">
        <w:rPr>
          <w:sz w:val="28"/>
          <w:szCs w:val="28"/>
          <w:rtl w:val="0"/>
        </w:rPr>
        <w:t xml:space="preserve">POLITICALLY EXPOSED PERSONS</w:t>
      </w:r>
      <w:r w:rsidRPr="00000000" w:rsidDel="00000000" w:rsidR="00000000">
        <w:rPr>
          <w:rtl w:val="0"/>
        </w:rPr>
      </w:r>
    </w:p>
    <w:p w:rsidRPr="00000000" w:rsidR="00000000" w:rsidDel="00000000" w:rsidP="00000000" w:rsidRDefault="00000000" w14:paraId="00000204">
      <w:pPr>
        <w:pStyle w:val="Heading2"/>
        <w:numPr>
          <w:ilvl w:val="1"/>
          <w:numId w:val="7"/>
        </w:numPr>
        <w:ind w:left="720" w:hanging="720"/>
        <w:rPr/>
      </w:pPr>
      <w:bookmarkStart w:name="_heading=h.l9wkt87oejvo" w:colFirst="0" w:colLast="0" w:id="56"/>
      <w:bookmarkEnd w:id="56"/>
      <w:r w:rsidRPr="00000000" w:rsidDel="00000000" w:rsidR="00000000">
        <w:rPr>
          <w:sz w:val="24"/>
          <w:szCs w:val="24"/>
          <w:rtl w:val="0"/>
        </w:rPr>
        <w:t xml:space="preserve">Overview</w:t>
      </w:r>
      <w:r w:rsidRPr="00000000" w:rsidDel="00000000" w:rsidR="00000000">
        <w:rPr>
          <w:rtl w:val="0"/>
        </w:rPr>
      </w:r>
    </w:p>
    <w:p w:rsidRPr="00000000" w:rsidR="00000000" w:rsidDel="00000000" w:rsidP="00000000" w:rsidRDefault="00000000" w14:paraId="00000205">
      <w:pPr>
        <w:numPr>
          <w:ilvl w:val="2"/>
          <w:numId w:val="7"/>
        </w:numPr>
        <w:spacing w:after="100" w:line="276" w:lineRule="auto"/>
        <w:ind w:left="720" w:hanging="720"/>
      </w:pPr>
      <w:r w:rsidRPr="00000000" w:rsidDel="00000000" w:rsidR="00000000">
        <w:rPr>
          <w:rtl w:val="0"/>
        </w:rPr>
        <w:t xml:space="preserve">By their very nature Politically Exposed Persons (“</w:t>
      </w:r>
      <w:r w:rsidRPr="00000000" w:rsidDel="00000000" w:rsidR="00000000">
        <w:rPr>
          <w:b w:val="1"/>
          <w:bCs w:val="1"/>
          <w:rtl w:val="0"/>
        </w:rPr>
        <w:t xml:space="preserve">PEP</w:t>
      </w:r>
      <w:r w:rsidRPr="00000000" w:rsidDel="00000000" w:rsidR="00000000">
        <w:rPr>
          <w:rtl w:val="0"/>
        </w:rPr>
        <w:t xml:space="preserve">”)s, and those individuals or entities who have certain relationships with PEPs, may present additional AML/CFT risks, as well as reputational risks, to the institution and therefore may be required to undergo additional scrutiny in line with the applicable UAE and ADGM laws and regulations..</w:t>
      </w:r>
    </w:p>
    <w:p w:rsidRPr="00000000" w:rsidR="00000000" w:rsidDel="00000000" w:rsidP="00000000" w:rsidRDefault="00000000" w14:paraId="00000206">
      <w:pPr>
        <w:numPr>
          <w:ilvl w:val="2"/>
          <w:numId w:val="7"/>
        </w:numPr>
        <w:spacing w:after="100" w:line="276" w:lineRule="auto"/>
        <w:ind w:left="720" w:hanging="720"/>
      </w:pPr>
      <w:r w:rsidRPr="00000000" w:rsidDel="00000000" w:rsidR="00000000">
        <w:rPr>
          <w:rtl w:val="0"/>
        </w:rPr>
        <w:t xml:space="preserve">PEP status alone does not automatically deem that the individual should not be onboarded as a Customer or alternatively should be offboarded if they gain PEP status.  However, an appropriate level of due diligence and Senior Management approval is required whenever a PEP is identified.</w:t>
      </w:r>
    </w:p>
    <w:p w:rsidRPr="00000000" w:rsidR="00000000" w:rsidDel="00000000" w:rsidP="00000000" w:rsidRDefault="00000000" w14:paraId="00000207">
      <w:pPr>
        <w:pStyle w:val="Heading2"/>
        <w:numPr>
          <w:ilvl w:val="1"/>
          <w:numId w:val="7"/>
        </w:numPr>
        <w:spacing w:before="200" w:lineRule="auto"/>
        <w:ind w:left="720" w:hanging="720"/>
        <w:rPr/>
      </w:pPr>
      <w:bookmarkStart w:name="_heading=h.6qjltled316h" w:colFirst="0" w:colLast="0" w:id="57"/>
      <w:bookmarkEnd w:id="57"/>
      <w:r w:rsidRPr="00000000" w:rsidDel="00000000" w:rsidR="00000000">
        <w:rPr>
          <w:sz w:val="24"/>
          <w:szCs w:val="24"/>
          <w:rtl w:val="0"/>
        </w:rPr>
        <w:t xml:space="preserve">Individual Country Addenda</w:t>
      </w:r>
      <w:r w:rsidRPr="00000000" w:rsidDel="00000000" w:rsidR="00000000">
        <w:rPr>
          <w:rtl w:val="0"/>
        </w:rPr>
      </w:r>
    </w:p>
    <w:p w:rsidRPr="00000000" w:rsidR="00000000" w:rsidDel="00000000" w:rsidP="00000000" w:rsidRDefault="00000000" w14:paraId="00000208">
      <w:pPr>
        <w:numPr>
          <w:ilvl w:val="2"/>
          <w:numId w:val="7"/>
        </w:numPr>
        <w:spacing w:line="276" w:lineRule="auto"/>
        <w:ind w:left="720" w:hanging="720"/>
      </w:pPr>
      <w:r w:rsidRPr="00000000" w:rsidDel="00000000" w:rsidR="00000000">
        <w:rPr>
          <w:rtl w:val="0"/>
        </w:rPr>
        <w:t xml:space="preserve">Local laws or regulations may require Binance subsidiaries to adopt a different definition of what constitutes a PEP.  There may be more stringent definitions and additional requirements such as screening against local country lists.  In such cases, a local Country Addendum is required to document the country-specific requirements.  If the local definitions and requirements are less stringent than the Global AML Policy, a risk-based approach will be adopted to ensure compliance with the local regulations with the consideration of the applicable ADGM, FSRA, or UAE frameworks.</w:t>
      </w:r>
    </w:p>
    <w:p w:rsidRPr="00000000" w:rsidR="00000000" w:rsidDel="00000000" w:rsidP="00000000" w:rsidRDefault="00000000" w14:paraId="00000209">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iwtovm6x44np" w:colFirst="0" w:colLast="0" w:id="58"/>
      <w:bookmarkEnd w:id="58"/>
      <w:r w:rsidRPr="00000000" w:rsidDel="00000000" w:rsidR="00000000">
        <w:rPr>
          <w:sz w:val="24"/>
          <w:szCs w:val="24"/>
          <w:rtl w:val="0"/>
        </w:rPr>
        <w:t xml:space="preserve">Definitions</w:t>
      </w:r>
      <w:r w:rsidRPr="00000000" w:rsidDel="00000000" w:rsidR="00000000">
        <w:rPr>
          <w:rtl w:val="0"/>
        </w:rPr>
      </w:r>
    </w:p>
    <w:p w:rsidRPr="00000000" w:rsidR="00000000" w:rsidDel="00000000" w:rsidP="00000000" w:rsidRDefault="00000000" w14:paraId="0000020A">
      <w:pPr>
        <w:numPr>
          <w:ilvl w:val="2"/>
          <w:numId w:val="7"/>
        </w:numPr>
        <w:spacing w:after="100" w:line="276" w:lineRule="auto"/>
        <w:ind w:left="720" w:hanging="720"/>
      </w:pPr>
      <w:r w:rsidRPr="00000000" w:rsidDel="00000000" w:rsidR="00000000">
        <w:rPr>
          <w:rtl w:val="0"/>
        </w:rPr>
        <w:t xml:space="preserve">Binance’s definition of what constitutes a PEP is:  </w:t>
      </w:r>
    </w:p>
    <w:p w:rsidRPr="00000000" w:rsidR="00000000" w:rsidDel="00000000" w:rsidP="00000000" w:rsidRDefault="00000000" w14:paraId="0000020B">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A natural person who is or has been, at any time, entrusted with a prominent public function.</w:t>
      </w:r>
      <w:r w:rsidRPr="00000000" w:rsidDel="00000000" w:rsidR="00000000">
        <w:rPr>
          <w:rtl w:val="0"/>
        </w:rPr>
      </w:r>
    </w:p>
    <w:p w:rsidRPr="00000000" w:rsidR="00000000" w:rsidDel="00000000" w:rsidP="00000000" w:rsidRDefault="00000000" w14:paraId="0000020C">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An immediate close family member is an individual who is related to a PEP either directly (consanguinity) or through marriage or similar civil forms of partnership. </w:t>
      </w:r>
      <w:r w:rsidRPr="00000000" w:rsidDel="00000000" w:rsidR="00000000">
        <w:rPr>
          <w:rtl w:val="0"/>
        </w:rPr>
      </w:r>
    </w:p>
    <w:p w:rsidRPr="00000000" w:rsidR="00000000" w:rsidDel="00000000" w:rsidP="00000000" w:rsidRDefault="00000000" w14:paraId="0000020D">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pPr>
      <w:r w:rsidRPr="00000000" w:rsidDel="00000000" w:rsidR="00000000">
        <w:rPr>
          <w:i w:val="0"/>
          <w:iCs w:val="0"/>
          <w:smallCaps w:val="0"/>
          <w:strike w:val="0"/>
          <w:color w:val="000000"/>
          <w:sz w:val="22"/>
          <w:szCs w:val="22"/>
          <w:u w:val="none"/>
          <w:shd w:val="clear" w:fill="auto"/>
          <w:vertAlign w:val="baseline"/>
          <w:rtl w:val="0"/>
        </w:rPr>
        <w:t xml:space="preserve">A known close associate (“</w:t>
      </w:r>
      <w:r w:rsidRPr="00000000" w:rsidDel="00000000" w:rsidR="00000000">
        <w:rPr>
          <w:b w:val="1"/>
          <w:bCs w:val="1"/>
          <w:i w:val="0"/>
          <w:iCs w:val="0"/>
          <w:smallCaps w:val="0"/>
          <w:strike w:val="0"/>
          <w:color w:val="000000"/>
          <w:sz w:val="22"/>
          <w:szCs w:val="22"/>
          <w:u w:val="none"/>
          <w:shd w:val="clear" w:fill="auto"/>
          <w:vertAlign w:val="baseline"/>
          <w:rtl w:val="0"/>
        </w:rPr>
        <w:t xml:space="preserve">KCA</w:t>
      </w:r>
      <w:r w:rsidRPr="00000000" w:rsidDel="00000000" w:rsidR="00000000">
        <w:rPr>
          <w:i w:val="0"/>
          <w:iCs w:val="0"/>
          <w:smallCaps w:val="0"/>
          <w:strike w:val="0"/>
          <w:color w:val="000000"/>
          <w:sz w:val="22"/>
          <w:szCs w:val="22"/>
          <w:u w:val="none"/>
          <w:shd w:val="clear" w:fill="auto"/>
          <w:vertAlign w:val="baseline"/>
          <w:rtl w:val="0"/>
        </w:rPr>
        <w:t xml:space="preserve">”) of this natural person who is closely connected to a PEP, either socially or professionally. </w:t>
      </w:r>
      <w:r w:rsidRPr="00000000" w:rsidDel="00000000" w:rsidR="00000000">
        <w:rPr>
          <w:rtl w:val="0"/>
        </w:rPr>
      </w:r>
    </w:p>
    <w:p w:rsidRPr="00000000" w:rsidR="00000000" w:rsidDel="00000000" w:rsidP="00000000" w:rsidRDefault="00000000" w14:paraId="0000020E">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International Organization PEPs are persons who are or have been entrusted with a prominent function by an international organization.</w:t>
      </w:r>
      <w:r w:rsidRPr="00000000" w:rsidDel="00000000" w:rsidR="00000000">
        <w:rPr>
          <w:rtl w:val="0"/>
        </w:rPr>
      </w:r>
    </w:p>
    <w:p w:rsidRPr="00000000" w:rsidR="00000000" w:rsidDel="00000000" w:rsidP="00000000" w:rsidRDefault="00000000" w14:paraId="0000020F">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Foreign and Domestic PEPs are terms found in global PEP regulations; however, Binance does not distinguish between domestic and foreign PEPs for due diligence purposes, as required under the applicable ADGM, FSRA and UAE frameworks.  There is no difference for PEP determination purposes whether the individual or entity is opening the account in the country in which they hold office or are opening the account in a different country.</w:t>
      </w:r>
      <w:r w:rsidRPr="00000000" w:rsidDel="00000000" w:rsidR="00000000">
        <w:rPr>
          <w:rtl w:val="0"/>
        </w:rPr>
      </w:r>
    </w:p>
    <w:p w:rsidRPr="00000000" w:rsidR="00000000" w:rsidDel="00000000" w:rsidP="00000000" w:rsidRDefault="00000000" w14:paraId="00000210">
      <w:pPr>
        <w:numPr>
          <w:ilvl w:val="2"/>
          <w:numId w:val="7"/>
        </w:numPr>
        <w:spacing w:after="100" w:line="276" w:lineRule="auto"/>
        <w:ind w:left="720" w:hanging="720"/>
      </w:pPr>
      <w:r w:rsidRPr="00000000" w:rsidDel="00000000" w:rsidR="00000000">
        <w:rPr>
          <w:rtl w:val="0"/>
        </w:rPr>
        <w:t xml:space="preserve">Those holding senior, prominent or important positions, with substantial authority over policy, operations or the use or allocation of government-owned resources, have much more influence and therefore normally pose greater risks to Binance and should accordingly be categorised as PEPs for the purposes of this Policy.</w:t>
      </w:r>
    </w:p>
    <w:p w:rsidRPr="00000000" w:rsidR="00000000" w:rsidDel="00000000" w:rsidP="00000000" w:rsidRDefault="00000000" w14:paraId="00000211">
      <w:pPr>
        <w:numPr>
          <w:ilvl w:val="2"/>
          <w:numId w:val="7"/>
        </w:numPr>
        <w:spacing w:after="100" w:line="276" w:lineRule="auto"/>
        <w:ind w:left="720" w:hanging="720"/>
      </w:pPr>
      <w:r w:rsidRPr="00000000" w:rsidDel="00000000" w:rsidR="00000000">
        <w:rPr>
          <w:rtl w:val="0"/>
        </w:rPr>
        <w:t xml:space="preserve">Prominent public function includes the following categories:</w:t>
      </w:r>
    </w:p>
    <w:p w:rsidRPr="00000000" w:rsidR="00000000" w:rsidDel="00000000" w:rsidP="00000000" w:rsidRDefault="00000000" w14:paraId="00000212">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Head of state or of government;</w:t>
      </w:r>
      <w:r w:rsidRPr="00000000" w:rsidDel="00000000" w:rsidR="00000000">
        <w:rPr>
          <w:rtl w:val="0"/>
        </w:rPr>
      </w:r>
    </w:p>
    <w:p w:rsidRPr="00000000" w:rsidR="00000000" w:rsidDel="00000000" w:rsidP="00000000" w:rsidRDefault="00000000" w14:paraId="00000213">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Senior Politicians and Ministers;</w:t>
      </w:r>
      <w:r w:rsidRPr="00000000" w:rsidDel="00000000" w:rsidR="00000000">
        <w:rPr>
          <w:rtl w:val="0"/>
        </w:rPr>
      </w:r>
    </w:p>
    <w:p w:rsidRPr="00000000" w:rsidR="00000000" w:rsidDel="00000000" w:rsidP="00000000" w:rsidRDefault="00000000" w14:paraId="00000214">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Senior government, judicial (whose decisions are not subject to further appeal under applicable law) or military officials;</w:t>
      </w:r>
      <w:r w:rsidRPr="00000000" w:rsidDel="00000000" w:rsidR="00000000">
        <w:rPr>
          <w:rtl w:val="0"/>
        </w:rPr>
      </w:r>
    </w:p>
    <w:p w:rsidRPr="00000000" w:rsidR="00000000" w:rsidDel="00000000" w:rsidP="00000000" w:rsidRDefault="00000000" w14:paraId="00000215">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Senior executives of state owned corporations (with genuine economic or political importance); </w:t>
      </w:r>
      <w:r w:rsidRPr="00000000" w:rsidDel="00000000" w:rsidR="00000000">
        <w:rPr>
          <w:rtl w:val="0"/>
        </w:rPr>
      </w:r>
    </w:p>
    <w:p w:rsidRPr="00000000" w:rsidR="00000000" w:rsidDel="00000000" w:rsidP="00000000" w:rsidRDefault="00000000" w14:paraId="00000216">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Important political party officials;</w:t>
      </w:r>
      <w:r w:rsidRPr="00000000" w:rsidDel="00000000" w:rsidR="00000000">
        <w:rPr>
          <w:rtl w:val="0"/>
        </w:rPr>
      </w:r>
    </w:p>
    <w:p w:rsidRPr="00000000" w:rsidR="00000000" w:rsidDel="00000000" w:rsidP="00000000" w:rsidRDefault="00000000" w14:paraId="0000021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Members of ruling royal families, with government responsibilities;</w:t>
      </w:r>
      <w:r w:rsidRPr="00000000" w:rsidDel="00000000" w:rsidR="00000000">
        <w:rPr>
          <w:rtl w:val="0"/>
        </w:rPr>
      </w:r>
    </w:p>
    <w:p w:rsidRPr="00000000" w:rsidR="00000000" w:rsidDel="00000000" w:rsidP="00000000" w:rsidRDefault="00000000" w14:paraId="00000218">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Members of senior management or individuals who have been entrusted with equivalent functions in an International Organisation (i.e. directors, deputy directors and members of the board or equivalent functions).</w:t>
      </w:r>
      <w:r w:rsidRPr="00000000" w:rsidDel="00000000" w:rsidR="00000000">
        <w:rPr>
          <w:rtl w:val="0"/>
        </w:rPr>
      </w:r>
    </w:p>
    <w:p w:rsidRPr="00000000" w:rsidR="00000000" w:rsidDel="00000000" w:rsidP="00000000" w:rsidRDefault="00000000" w14:paraId="00000219">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Senior Religious Official </w:t>
      </w:r>
      <w:r w:rsidRPr="00000000" w:rsidDel="00000000" w:rsidR="00000000">
        <w:rPr>
          <w:rtl w:val="0"/>
        </w:rPr>
      </w:r>
    </w:p>
    <w:p w:rsidRPr="00000000" w:rsidR="00000000" w:rsidDel="00000000" w:rsidP="00000000" w:rsidRDefault="00000000" w14:paraId="0000021A">
      <w:pPr>
        <w:numPr>
          <w:ilvl w:val="2"/>
          <w:numId w:val="7"/>
        </w:numPr>
        <w:spacing w:after="100" w:line="276" w:lineRule="auto"/>
        <w:ind w:left="720" w:hanging="720"/>
      </w:pPr>
      <w:r w:rsidRPr="00000000" w:rsidDel="00000000" w:rsidR="00000000">
        <w:rPr>
          <w:rtl w:val="0"/>
        </w:rPr>
        <w:t xml:space="preserve">PEP-linked Entities:  Where an individual within the structure of a Legal Person or Legal Arrangement meets the definition of a PEP, this does not necessarily mean that the entity or arrangement introduces PEP risk to Binance.  The following Customer-entities will not be classified as a PEP-linked entity:</w:t>
      </w:r>
    </w:p>
    <w:p w:rsidRPr="00000000" w:rsidR="00000000" w:rsidDel="00000000" w:rsidP="00000000" w:rsidRDefault="00000000" w14:paraId="0000021B">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The entity is publicly traded on an exchange operating in an “Acceptable Country” as set out in the Global Simplified Due Diligence (SDD) Procedures. </w:t>
      </w:r>
      <w:r w:rsidRPr="00000000" w:rsidDel="00000000" w:rsidR="00000000">
        <w:rPr>
          <w:rtl w:val="0"/>
        </w:rPr>
      </w:r>
    </w:p>
    <w:p w:rsidRPr="00000000" w:rsidR="00000000" w:rsidDel="00000000" w:rsidP="00000000" w:rsidRDefault="00000000" w14:paraId="0000021C">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The entity is a financial institution regulated for anti-money laundering purposes in an “Acceptable Country” as set out in the Global SDD Procedures. </w:t>
      </w:r>
      <w:r w:rsidRPr="00000000" w:rsidDel="00000000" w:rsidR="00000000">
        <w:rPr>
          <w:rtl w:val="0"/>
        </w:rPr>
      </w:r>
    </w:p>
    <w:p w:rsidRPr="00000000" w:rsidR="00000000" w:rsidDel="00000000" w:rsidP="00000000" w:rsidRDefault="00000000" w14:paraId="0000021D">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The entity is a State Owned Entity or Enterprise (“SOE”), public-sector body or international organization registered in a low or medium risk jurisdiction (refer to the Binance Country Risk Rating List linked </w:t>
      </w:r>
      <w:hyperlink r:id="rId12">
        <w:r w:rsidRPr="00000000" w:rsidDel="00000000" w:rsidR="00000000">
          <w:rPr>
            <w:i w:val="0"/>
            <w:iCs w:val="0"/>
            <w:smallCaps w:val="0"/>
            <w:strike w:val="0"/>
            <w:color w:val="000000"/>
            <w:sz w:val="22"/>
            <w:szCs w:val="22"/>
            <w:u w:val="single"/>
            <w:shd w:val="clear" w:fill="auto"/>
            <w:vertAlign w:val="baseline"/>
            <w:rtl w:val="0"/>
          </w:rPr>
          <w:t xml:space="preserve">here</w:t>
        </w:r>
      </w:hyperlink>
      <w:r w:rsidRPr="00000000" w:rsidDel="00000000" w:rsidR="00000000">
        <w:rPr>
          <w:i w:val="0"/>
          <w:iCs w:val="0"/>
          <w:smallCaps w:val="0"/>
          <w:strike w:val="0"/>
          <w:color w:val="000000"/>
          <w:sz w:val="22"/>
          <w:szCs w:val="22"/>
          <w:u w:val="none"/>
          <w:shd w:val="clear" w:fill="auto"/>
          <w:vertAlign w:val="baseline"/>
          <w:rtl w:val="0"/>
        </w:rPr>
        <w:t xml:space="preserve">), and the individual is either classified as a PEP solely as a result of their involvement with that particular body or is involved with that body purely in their official capacity.</w:t>
      </w:r>
      <w:r w:rsidRPr="00000000" w:rsidDel="00000000" w:rsidR="00000000">
        <w:rPr>
          <w:rtl w:val="0"/>
        </w:rPr>
      </w:r>
    </w:p>
    <w:p w:rsidRPr="00000000" w:rsidR="00000000" w:rsidDel="00000000" w:rsidP="00000000" w:rsidRDefault="00000000" w14:paraId="0000021E">
      <w:pPr>
        <w:numPr>
          <w:ilvl w:val="2"/>
          <w:numId w:val="7"/>
        </w:numPr>
        <w:spacing w:after="100" w:line="276" w:lineRule="auto"/>
        <w:ind w:left="720" w:hanging="720"/>
      </w:pPr>
      <w:r w:rsidRPr="00000000" w:rsidDel="00000000" w:rsidR="00000000">
        <w:rPr>
          <w:rtl w:val="0"/>
        </w:rPr>
        <w:t xml:space="preserve">For all Legal Persons where a PEP is found within the corporate structures (e.g. Beneficial Owner, shareholder, directors or authorised signatory), Binance will assess whether or not the PEP in question exercises influence, control or ownership of the entity and apply EDD where required by applicable AML/CFT regulations.</w:t>
      </w:r>
    </w:p>
    <w:p w:rsidRPr="00000000" w:rsidR="00000000" w:rsidDel="00000000" w:rsidP="00000000" w:rsidRDefault="00000000" w14:paraId="0000021F">
      <w:pPr>
        <w:numPr>
          <w:ilvl w:val="2"/>
          <w:numId w:val="7"/>
        </w:numPr>
        <w:spacing w:after="100" w:line="276" w:lineRule="auto"/>
        <w:ind w:left="720" w:hanging="720"/>
      </w:pPr>
      <w:r w:rsidRPr="00000000" w:rsidDel="00000000" w:rsidR="00000000">
        <w:rPr>
          <w:rtl w:val="0"/>
        </w:rPr>
        <w:t xml:space="preserve">If a PEP is found within a corporate structure but does not exercise influence, control or ownership, the individual is not subject to further assessment from a PEP risk perspective, and the entity-Customer does not need to be classified as a PEP-linked entity.  However, the existence of the PEP will still be recorded in the entity-Customer file for completeness, including the clearly documented reasons why the entity-Customer does not pose PEP risk to the Binance Group.</w:t>
      </w:r>
    </w:p>
    <w:p w:rsidRPr="00000000" w:rsidR="00000000" w:rsidDel="00000000" w:rsidP="00000000" w:rsidRDefault="00000000" w14:paraId="00000220">
      <w:pPr>
        <w:pStyle w:val="Heading2"/>
        <w:numPr>
          <w:ilvl w:val="1"/>
          <w:numId w:val="7"/>
        </w:numPr>
        <w:spacing w:before="200" w:lineRule="auto"/>
        <w:ind w:left="720" w:hanging="720"/>
        <w:rPr/>
      </w:pPr>
      <w:bookmarkStart w:name="_heading=h.bvf32ozclfcy" w:colFirst="0" w:colLast="0" w:id="59"/>
      <w:bookmarkEnd w:id="59"/>
      <w:r w:rsidRPr="00000000" w:rsidDel="00000000" w:rsidR="00000000">
        <w:rPr>
          <w:sz w:val="24"/>
          <w:szCs w:val="24"/>
          <w:rtl w:val="0"/>
        </w:rPr>
        <w:t xml:space="preserve">PEP Control and Risk Framework</w:t>
      </w:r>
      <w:r w:rsidRPr="00000000" w:rsidDel="00000000" w:rsidR="00000000">
        <w:rPr>
          <w:rtl w:val="0"/>
        </w:rPr>
      </w:r>
    </w:p>
    <w:p w:rsidRPr="00000000" w:rsidR="00000000" w:rsidDel="00000000" w:rsidP="00000000" w:rsidRDefault="00000000" w14:paraId="00000221">
      <w:pPr>
        <w:numPr>
          <w:ilvl w:val="2"/>
          <w:numId w:val="7"/>
        </w:numPr>
        <w:spacing w:after="100" w:line="276" w:lineRule="auto"/>
        <w:ind w:left="720" w:hanging="720"/>
      </w:pPr>
      <w:r w:rsidRPr="00000000" w:rsidDel="00000000" w:rsidR="00000000">
        <w:rPr>
          <w:rtl w:val="0"/>
        </w:rPr>
        <w:t xml:space="preserve">While the FATF guidance recommends that all foreign PEPs should automatically be classified as high risk, the Wolfsberg Group advocates for the application of a Risk Based Approach for all PEPs, whether foreign or domestic.  This means that Binance understands the money laundering and terrorist financing risk to which it is exposed, and takes the appropriate mitigation measures in accordance with the level of risk.  Under the ADGM AML Rulebook, and UAE AML Laws, all foreign PEPs must be treated as high risk and subject to EDD.</w:t>
      </w:r>
    </w:p>
    <w:p w:rsidRPr="00000000" w:rsidR="00000000" w:rsidDel="00000000" w:rsidP="00000000" w:rsidRDefault="00000000" w14:paraId="00000222">
      <w:pPr>
        <w:numPr>
          <w:ilvl w:val="2"/>
          <w:numId w:val="7"/>
        </w:numPr>
        <w:spacing w:after="100" w:line="276" w:lineRule="auto"/>
        <w:ind w:left="720" w:hanging="720"/>
      </w:pPr>
      <w:r w:rsidRPr="00000000" w:rsidDel="00000000" w:rsidR="00000000">
        <w:rPr>
          <w:rtl w:val="0"/>
        </w:rPr>
        <w:t xml:space="preserve">Adherence to risk-based standards is paramount to applying a proportionate approach to PEP screening for effective and efficient risk management.  Binance applies a risk-based approach to PEP screening to ensure that resources are allocated in a prudent and efficient manner unless impermissible under local regulation.</w:t>
      </w:r>
    </w:p>
    <w:p w:rsidRPr="00000000" w:rsidR="00000000" w:rsidDel="00000000" w:rsidP="00000000" w:rsidRDefault="00000000" w14:paraId="00000223">
      <w:pPr>
        <w:numPr>
          <w:ilvl w:val="2"/>
          <w:numId w:val="7"/>
        </w:numPr>
        <w:spacing w:after="100" w:line="276" w:lineRule="auto"/>
        <w:ind w:left="720" w:hanging="720"/>
      </w:pPr>
      <w:r w:rsidRPr="00000000" w:rsidDel="00000000" w:rsidR="00000000">
        <w:rPr>
          <w:rtl w:val="0"/>
        </w:rPr>
        <w:t xml:space="preserve">Binance performs PEP screening in the following situations (for our regulated markets):  </w:t>
      </w:r>
    </w:p>
    <w:p w:rsidRPr="00000000" w:rsidR="00000000" w:rsidDel="00000000" w:rsidP="00000000" w:rsidRDefault="00000000" w14:paraId="00000224">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At initial onboarding; </w:t>
      </w:r>
      <w:r w:rsidRPr="00000000" w:rsidDel="00000000" w:rsidR="00000000">
        <w:rPr>
          <w:rtl w:val="0"/>
        </w:rPr>
      </w:r>
    </w:p>
    <w:p w:rsidRPr="00000000" w:rsidR="00000000" w:rsidDel="00000000" w:rsidP="00000000" w:rsidRDefault="00000000" w14:paraId="00000225">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On an ongoing periodic basis;</w:t>
      </w:r>
      <w:r w:rsidRPr="00000000" w:rsidDel="00000000" w:rsidR="00000000">
        <w:rPr>
          <w:rtl w:val="0"/>
        </w:rPr>
      </w:r>
    </w:p>
    <w:p w:rsidRPr="00000000" w:rsidR="00000000" w:rsidDel="00000000" w:rsidP="00000000" w:rsidRDefault="00000000" w14:paraId="00000226">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During periodic review; and</w:t>
      </w:r>
      <w:r w:rsidRPr="00000000" w:rsidDel="00000000" w:rsidR="00000000">
        <w:rPr>
          <w:rtl w:val="0"/>
        </w:rPr>
      </w:r>
    </w:p>
    <w:p w:rsidRPr="00000000" w:rsidR="00000000" w:rsidDel="00000000" w:rsidP="00000000" w:rsidRDefault="00000000" w14:paraId="0000022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When there is a trigger event (i.e. change in the Customer’s name or address or change in the Customer’s citizenship or residency/operating country, etc.) that causes a review of the Customer relationship. </w:t>
      </w:r>
      <w:r w:rsidRPr="00000000" w:rsidDel="00000000" w:rsidR="00000000">
        <w:rPr>
          <w:rtl w:val="0"/>
        </w:rPr>
      </w:r>
    </w:p>
    <w:p w:rsidRPr="00000000" w:rsidR="00000000" w:rsidDel="00000000" w:rsidP="00000000" w:rsidRDefault="00000000" w14:paraId="00000228">
      <w:pPr>
        <w:numPr>
          <w:ilvl w:val="2"/>
          <w:numId w:val="7"/>
        </w:numPr>
        <w:spacing w:after="100" w:line="276" w:lineRule="auto"/>
        <w:ind w:left="720" w:hanging="720"/>
      </w:pPr>
      <w:r w:rsidRPr="00000000" w:rsidDel="00000000" w:rsidR="00000000">
        <w:rPr>
          <w:rtl w:val="0"/>
        </w:rPr>
        <w:t xml:space="preserve">Binance will assess whether the PEP role or PEP association (i.e. immediate family member or close associate) falls within the PEP definition set out in this Policy.</w:t>
      </w:r>
    </w:p>
    <w:p w:rsidRPr="00000000" w:rsidR="00000000" w:rsidDel="00000000" w:rsidP="00000000" w:rsidRDefault="00000000" w14:paraId="00000229">
      <w:pPr>
        <w:numPr>
          <w:ilvl w:val="2"/>
          <w:numId w:val="7"/>
        </w:numPr>
        <w:spacing w:after="100" w:line="276" w:lineRule="auto"/>
        <w:ind w:left="720" w:hanging="720"/>
      </w:pPr>
      <w:r w:rsidRPr="00000000" w:rsidDel="00000000" w:rsidR="00000000">
        <w:rPr>
          <w:rtl w:val="0"/>
        </w:rPr>
        <w:t xml:space="preserve">Once the risk assessment has been applied, Binance will apply and document the following additional PEP due diligence (which is in addition to the CDD requirements):</w:t>
      </w:r>
    </w:p>
    <w:p w:rsidRPr="00000000" w:rsidR="00000000" w:rsidDel="00000000" w:rsidP="00000000" w:rsidRDefault="00000000" w14:paraId="0000022A">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The length of time, the title or position and country in which the PEP holds, or held, political exposure.  If the individual Customer is a close family member or close associate, the relationship of the person to the PEP must be documented. </w:t>
      </w:r>
      <w:r w:rsidRPr="00000000" w:rsidDel="00000000" w:rsidR="00000000">
        <w:rPr>
          <w:rtl w:val="0"/>
        </w:rPr>
      </w:r>
    </w:p>
    <w:p w:rsidRPr="00000000" w:rsidR="00000000" w:rsidDel="00000000" w:rsidP="00000000" w:rsidRDefault="00000000" w14:paraId="0000022B">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The nature and intended purpose of the relationship/account, the source of the initial funds (where appropriate) and the anticipated levels of account activity. </w:t>
      </w:r>
      <w:r w:rsidRPr="00000000" w:rsidDel="00000000" w:rsidR="00000000">
        <w:rPr>
          <w:rtl w:val="0"/>
        </w:rPr>
      </w:r>
    </w:p>
    <w:p w:rsidRPr="00000000" w:rsidR="00000000" w:rsidDel="00000000" w:rsidP="00000000" w:rsidRDefault="00000000" w14:paraId="0000022C">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The Customer’s source of funds and source of wealth (e.g. salary and compensation from official duties and wealth derived from other sources).  Where the financial crime risks are high or there are doubts as to the veracity of the information provided by the Customer, Binance will validate this information using independent and reliable sources.  Internet and media searches may be used to determine and/or validate this information.</w:t>
      </w:r>
      <w:r w:rsidRPr="00000000" w:rsidDel="00000000" w:rsidR="00000000">
        <w:rPr>
          <w:rtl w:val="0"/>
        </w:rPr>
      </w:r>
    </w:p>
    <w:p w:rsidRPr="00000000" w:rsidR="00000000" w:rsidDel="00000000" w:rsidP="00000000" w:rsidRDefault="00000000" w14:paraId="0000022D">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Conduct Negative News/Adverse Media screening on the Customer and evaluate any positive hits. </w:t>
      </w:r>
      <w:r w:rsidRPr="00000000" w:rsidDel="00000000" w:rsidR="00000000">
        <w:rPr>
          <w:rtl w:val="0"/>
        </w:rPr>
      </w:r>
    </w:p>
    <w:p w:rsidRPr="00000000" w:rsidR="00000000" w:rsidDel="00000000" w:rsidP="00000000" w:rsidRDefault="00000000" w14:paraId="0000022E">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When the due diligence on an immediate family member or close associate of a PEP indicates that the source of funds originates from the PEP, then Binance will determine and document the PEP’s sources of funds and wealth.  Negative News/Adverse Media Screening on the PEP who funds the account may assist in establishing whether the PEP has deliberately attempted to disguise their involvement in funding the account.</w:t>
      </w:r>
      <w:r w:rsidRPr="00000000" w:rsidDel="00000000" w:rsidR="00000000">
        <w:rPr>
          <w:rtl w:val="0"/>
        </w:rPr>
      </w:r>
    </w:p>
    <w:p w:rsidRPr="00000000" w:rsidR="00000000" w:rsidDel="00000000" w:rsidP="00000000" w:rsidRDefault="00000000" w14:paraId="0000022F">
      <w:pPr>
        <w:numPr>
          <w:ilvl w:val="2"/>
          <w:numId w:val="7"/>
        </w:numPr>
        <w:spacing w:after="100" w:line="276" w:lineRule="auto"/>
        <w:ind w:left="720" w:hanging="720"/>
      </w:pPr>
      <w:r w:rsidRPr="00000000" w:rsidDel="00000000" w:rsidR="00000000">
        <w:rPr>
          <w:rtl w:val="0"/>
        </w:rPr>
        <w:t xml:space="preserve">A non-exhaustive list of indicators to be considered when assessing PEP risk is provided in Appendix 2 - PEP Red Flags.  These red flags should be used in conjunction with the due diligence measures outlined in this section to inform onboarding and ongoing monitoring decisions.</w:t>
      </w:r>
    </w:p>
    <w:p w:rsidRPr="00000000" w:rsidR="00000000" w:rsidDel="00000000" w:rsidP="00000000" w:rsidRDefault="00000000" w14:paraId="00000230">
      <w:pPr>
        <w:pStyle w:val="Heading2"/>
        <w:numPr>
          <w:ilvl w:val="1"/>
          <w:numId w:val="7"/>
        </w:numPr>
        <w:spacing w:before="200" w:lineRule="auto"/>
        <w:ind w:left="720" w:hanging="720"/>
        <w:rPr/>
      </w:pPr>
      <w:bookmarkStart w:name="_heading=h.cg4x8xr3oe0" w:colFirst="0" w:colLast="0" w:id="60"/>
      <w:bookmarkEnd w:id="60"/>
      <w:r w:rsidRPr="00000000" w:rsidDel="00000000" w:rsidR="00000000">
        <w:rPr>
          <w:sz w:val="24"/>
          <w:szCs w:val="24"/>
          <w:rtl w:val="0"/>
        </w:rPr>
        <w:t xml:space="preserve">Termination of PEP Status</w:t>
      </w:r>
      <w:r w:rsidRPr="00000000" w:rsidDel="00000000" w:rsidR="00000000">
        <w:rPr>
          <w:rtl w:val="0"/>
        </w:rPr>
      </w:r>
    </w:p>
    <w:p w:rsidRPr="00000000" w:rsidR="00000000" w:rsidDel="00000000" w:rsidP="00000000" w:rsidRDefault="00000000" w14:paraId="00000231">
      <w:pPr>
        <w:numPr>
          <w:ilvl w:val="2"/>
          <w:numId w:val="7"/>
        </w:numPr>
        <w:spacing w:after="100" w:line="276" w:lineRule="auto"/>
        <w:ind w:left="720" w:hanging="720"/>
      </w:pPr>
      <w:r w:rsidRPr="00000000" w:rsidDel="00000000" w:rsidR="00000000">
        <w:rPr>
          <w:rtl w:val="0"/>
        </w:rPr>
        <w:t xml:space="preserve">PEPs currently holding prominent public positions pose a greater risk than those who have left office.  In most cases, the PEP risk will demonstrably reduce after the PEP has left office, as their influence and access to funds will likely disappear with their positions.  However, there are instances, where the PEP risk may continue (i.e. when favours may be delayed until after leaving office or the former PEP may retain influence over government affairs).</w:t>
      </w:r>
    </w:p>
    <w:p w:rsidRPr="00000000" w:rsidR="00000000" w:rsidDel="00000000" w:rsidP="00000000" w:rsidRDefault="00000000" w14:paraId="00000232">
      <w:pPr>
        <w:numPr>
          <w:ilvl w:val="2"/>
          <w:numId w:val="7"/>
        </w:numPr>
        <w:spacing w:after="100" w:line="276" w:lineRule="auto"/>
        <w:ind w:left="720" w:hanging="720"/>
      </w:pPr>
      <w:r w:rsidRPr="00000000" w:rsidDel="00000000" w:rsidR="00000000">
        <w:rPr>
          <w:rtl w:val="0"/>
        </w:rPr>
        <w:t xml:space="preserve">As a global minimum standard Binance allows for PEPs to be considered for declassification where they have left their post for 12 months or more (subject to any local requirements set out in the Country Addenda).</w:t>
      </w:r>
    </w:p>
    <w:p w:rsidRPr="00000000" w:rsidR="00000000" w:rsidDel="00000000" w:rsidP="00000000" w:rsidRDefault="00000000" w14:paraId="00000233">
      <w:pPr>
        <w:pStyle w:val="Heading1"/>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400" w:after="200" w:line="360" w:lineRule="auto"/>
        <w:ind w:left="720" w:right="0" w:hanging="720"/>
        <w:jc w:val="both"/>
        <w:rPr/>
      </w:pPr>
      <w:bookmarkStart w:name="_heading=h.6bw8jjrqj0i7" w:colFirst="0" w:colLast="0" w:id="61"/>
      <w:bookmarkEnd w:id="61"/>
      <w:r w:rsidRPr="00000000" w:rsidDel="00000000" w:rsidR="00000000">
        <w:rPr>
          <w:sz w:val="28"/>
          <w:szCs w:val="28"/>
          <w:rtl w:val="0"/>
        </w:rPr>
        <w:t xml:space="preserve">SURVEILLANCE</w:t>
      </w:r>
      <w:r w:rsidRPr="00000000" w:rsidDel="00000000" w:rsidR="00000000">
        <w:rPr>
          <w:rtl w:val="0"/>
        </w:rPr>
      </w:r>
    </w:p>
    <w:p w:rsidRPr="00000000" w:rsidR="00000000" w:rsidDel="00000000" w:rsidP="00000000" w:rsidRDefault="00000000" w14:paraId="00000234">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1tftuaygs3ng" w:colFirst="0" w:colLast="0" w:id="62"/>
      <w:bookmarkEnd w:id="62"/>
      <w:r w:rsidRPr="00000000" w:rsidDel="00000000" w:rsidR="00000000">
        <w:rPr>
          <w:sz w:val="24"/>
          <w:szCs w:val="24"/>
          <w:rtl w:val="0"/>
        </w:rPr>
        <w:t xml:space="preserve">Name Screening</w:t>
      </w:r>
      <w:r w:rsidRPr="00000000" w:rsidDel="00000000" w:rsidR="00000000">
        <w:rPr>
          <w:rtl w:val="0"/>
        </w:rPr>
      </w:r>
    </w:p>
    <w:p w:rsidRPr="00000000" w:rsidR="00000000" w:rsidDel="00000000" w:rsidP="00000000" w:rsidRDefault="00000000" w14:paraId="00000235">
      <w:pPr>
        <w:numPr>
          <w:ilvl w:val="2"/>
          <w:numId w:val="7"/>
        </w:numPr>
        <w:spacing w:after="100" w:line="276" w:lineRule="auto"/>
        <w:ind w:left="720" w:hanging="720"/>
      </w:pPr>
      <w:r w:rsidRPr="00000000" w:rsidDel="00000000" w:rsidR="00000000">
        <w:rPr>
          <w:rtl w:val="0"/>
        </w:rPr>
        <w:t xml:space="preserve">Binance Group has implemented and maintained adequate processes and systems to screen names of Customers and other relevant parties for potential Sanctions, PEP, and Adverse Media exposure matches against internal watchlists and external vendor lists.  Name Screening shall be undertaken both at onboarding and periodically on a risk-based frequency.  Name Screening is also undertaken in support of requirements set out in the Group Sanctions Policy.</w:t>
      </w:r>
    </w:p>
    <w:p w:rsidRPr="00000000" w:rsidR="00000000" w:rsidDel="00000000" w:rsidP="00000000" w:rsidRDefault="00000000" w14:paraId="00000236">
      <w:pPr>
        <w:numPr>
          <w:ilvl w:val="2"/>
          <w:numId w:val="7"/>
        </w:numPr>
        <w:spacing w:after="100" w:line="276" w:lineRule="auto"/>
        <w:ind w:left="720" w:hanging="720"/>
      </w:pPr>
      <w:r w:rsidRPr="00000000" w:rsidDel="00000000" w:rsidR="00000000">
        <w:rPr>
          <w:rtl w:val="0"/>
        </w:rPr>
        <w:t xml:space="preserve">The BGSP and PEP Guidance Document, set out the name screening requirements and processes. </w:t>
      </w:r>
    </w:p>
    <w:p w:rsidRPr="00000000" w:rsidR="00000000" w:rsidDel="00000000" w:rsidP="00000000" w:rsidRDefault="00000000" w14:paraId="00000237">
      <w:pPr>
        <w:numPr>
          <w:ilvl w:val="2"/>
          <w:numId w:val="7"/>
        </w:numPr>
        <w:spacing w:after="100" w:line="276" w:lineRule="auto"/>
        <w:ind w:left="720" w:hanging="720"/>
      </w:pPr>
      <w:r w:rsidRPr="00000000" w:rsidDel="00000000" w:rsidR="00000000">
        <w:rPr>
          <w:rtl w:val="0"/>
        </w:rPr>
        <w:t xml:space="preserve">The Global Compliance team will periodically implement updates to this policy in order to manage financial crime risks connected to Sanctions, PEP, and Adverse Media exposure. </w:t>
      </w:r>
    </w:p>
    <w:p w:rsidRPr="00000000" w:rsidR="00000000" w:rsidDel="00000000" w:rsidP="00000000" w:rsidRDefault="00000000" w14:paraId="00000238">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va0vjvcpk0t8" w:colFirst="0" w:colLast="0" w:id="63"/>
      <w:bookmarkEnd w:id="63"/>
      <w:r w:rsidRPr="00000000" w:rsidDel="00000000" w:rsidR="00000000">
        <w:rPr>
          <w:sz w:val="24"/>
          <w:szCs w:val="24"/>
          <w:rtl w:val="0"/>
        </w:rPr>
        <w:t xml:space="preserve">Transaction Screening</w:t>
      </w:r>
      <w:r w:rsidRPr="00000000" w:rsidDel="00000000" w:rsidR="00000000">
        <w:rPr>
          <w:rtl w:val="0"/>
        </w:rPr>
      </w:r>
    </w:p>
    <w:p w:rsidRPr="00000000" w:rsidR="00000000" w:rsidDel="00000000" w:rsidP="00000000" w:rsidRDefault="00000000" w14:paraId="00000239">
      <w:pPr>
        <w:numPr>
          <w:ilvl w:val="2"/>
          <w:numId w:val="7"/>
        </w:numPr>
        <w:spacing w:after="100" w:line="276" w:lineRule="auto"/>
        <w:ind w:left="720" w:hanging="720"/>
      </w:pPr>
      <w:r w:rsidRPr="00000000" w:rsidDel="00000000" w:rsidR="00000000">
        <w:rPr>
          <w:rtl w:val="0"/>
        </w:rPr>
        <w:t xml:space="preserve">Binance Group has implemented and maintained adequate processes and systems to screen names of parties, in addition to cryptocurrency addresses, and any other relevant identifiers to Transactions on a risk-based approach against internal/external watchlists, external vendor lists, and internally driven intelligence.  This activity is in support of requirements set out in the Group Sanctions Policy and applicable AML/CFT laws and regulations.  This activity also supports the Group’s control framework to screen and identify potential money laundering, terrorist financing, or proliferation financing risk.</w:t>
      </w:r>
    </w:p>
    <w:p w:rsidRPr="00000000" w:rsidR="00000000" w:rsidDel="00000000" w:rsidP="00000000" w:rsidRDefault="00000000" w14:paraId="0000023A">
      <w:pPr>
        <w:numPr>
          <w:ilvl w:val="2"/>
          <w:numId w:val="7"/>
        </w:numPr>
        <w:spacing w:after="100" w:line="276" w:lineRule="auto"/>
        <w:ind w:left="720" w:hanging="720"/>
      </w:pPr>
      <w:r w:rsidRPr="00000000" w:rsidDel="00000000" w:rsidR="00000000">
        <w:rPr>
          <w:rtl w:val="0"/>
        </w:rPr>
        <w:t xml:space="preserve">The Global Compliance Department is responsible for implementing and maintaining appropriate processes and systems to manage financial crime risks connected with Transaction name screening.  The Group Transaction Procedures set out the requirements and the processes that must be followed, and the control framework that must be applied during screening.</w:t>
      </w:r>
    </w:p>
    <w:p w:rsidRPr="00000000" w:rsidR="00000000" w:rsidDel="00000000" w:rsidP="00000000" w:rsidRDefault="00000000" w14:paraId="0000023B">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4tu5tdi57d4d" w:colFirst="0" w:colLast="0" w:id="64"/>
      <w:bookmarkEnd w:id="64"/>
      <w:r w:rsidRPr="00000000" w:rsidDel="00000000" w:rsidR="00000000">
        <w:rPr>
          <w:sz w:val="24"/>
          <w:szCs w:val="24"/>
          <w:rtl w:val="0"/>
        </w:rPr>
        <w:t xml:space="preserve">Transaction Monitoring </w:t>
      </w:r>
      <w:r w:rsidRPr="00000000" w:rsidDel="00000000" w:rsidR="00000000">
        <w:rPr>
          <w:rtl w:val="0"/>
        </w:rPr>
      </w:r>
    </w:p>
    <w:p w:rsidRPr="00000000" w:rsidR="00000000" w:rsidDel="00000000" w:rsidP="00000000" w:rsidRDefault="00000000" w14:paraId="0000023C">
      <w:pPr>
        <w:numPr>
          <w:ilvl w:val="2"/>
          <w:numId w:val="7"/>
        </w:numPr>
        <w:spacing w:after="100" w:line="276" w:lineRule="auto"/>
        <w:ind w:left="720" w:hanging="720"/>
      </w:pPr>
      <w:r w:rsidRPr="00000000" w:rsidDel="00000000" w:rsidR="00000000">
        <w:rPr>
          <w:rtl w:val="0"/>
        </w:rPr>
        <w:t xml:space="preserve">Transaction Monitoring focuses on the ongoing risk evaluation of a Customer’s Transactions to ensure that these Transactions are consistent with the Group’s understanding of the Customer and their risk profile.  Transactions </w:t>
      </w:r>
      <w:r w:rsidRPr="00000000" w:rsidDel="00000000" w:rsidR="00000000">
        <w:rPr>
          <w:rtl w:val="0"/>
        </w:rPr>
        <w:t xml:space="preserve">are</w:t>
      </w:r>
      <w:r w:rsidRPr="00000000" w:rsidDel="00000000" w:rsidR="00000000">
        <w:rPr>
          <w:rtl w:val="0"/>
        </w:rPr>
        <w:t xml:space="preserve"> deemed as Transactions of all kinds, including but notwithstanding trading, crypto deposits/withdrawals, and Fiat Currency Transactions as well as any other activities relevant under AML/CFT regulations.</w:t>
      </w:r>
    </w:p>
    <w:p w:rsidRPr="00000000" w:rsidR="00000000" w:rsidDel="00000000" w:rsidP="00000000" w:rsidRDefault="00000000" w14:paraId="0000023D">
      <w:pPr>
        <w:numPr>
          <w:ilvl w:val="2"/>
          <w:numId w:val="7"/>
        </w:numPr>
        <w:spacing w:after="100" w:line="276" w:lineRule="auto"/>
        <w:ind w:left="720" w:hanging="720"/>
      </w:pPr>
      <w:r w:rsidRPr="00000000" w:rsidDel="00000000" w:rsidR="00000000">
        <w:rPr>
          <w:rtl w:val="0"/>
        </w:rPr>
        <w:t xml:space="preserve">The Group will monitor Customer Transactions for AML/CTF risk management purposes, using agreed rule and activity-based detection scenarios on an ongoing risk-based frequency.  Alerts generated by these detection scenarios shall be reviewed by the Off-chain and On-chain Transaction Monitoring teams in Global Compliance.  Where the alert cannot be closed as risk irrelevant, the Transaction Monitoring analyst will escalate the alert to the required stakeholders set out in the Global Transaction Monitoring Operating Procedures for further review, investigation, external filing where required, and suspicious transaction reporting in accordance with applicable AML/CFT laws..  The following section describes the Unusual Activity or Transaction Reporting.</w:t>
      </w:r>
    </w:p>
    <w:p w:rsidRPr="00000000" w:rsidR="00000000" w:rsidDel="00000000" w:rsidP="00000000" w:rsidRDefault="00000000" w14:paraId="0000023E">
      <w:pPr>
        <w:numPr>
          <w:ilvl w:val="2"/>
          <w:numId w:val="7"/>
        </w:numPr>
        <w:spacing w:after="100" w:line="276" w:lineRule="auto"/>
        <w:ind w:left="720" w:hanging="720"/>
      </w:pPr>
      <w:r w:rsidRPr="00000000" w:rsidDel="00000000" w:rsidR="00000000">
        <w:rPr>
          <w:rtl w:val="0"/>
        </w:rPr>
        <w:t xml:space="preserve">The Global Transaction Monitoring Operating Procedures sets out the requirements and the processes that must be followed, and the control framework that must be applied during Transaction monitoring.  At a minimum, the procedures should include requirements relating to detection scenarios management, critical data elements and alert handling in compliance with the ADGM AML Rulebook, and UAE AML Law requirements.</w:t>
      </w:r>
    </w:p>
    <w:p w:rsidRPr="00000000" w:rsidR="00000000" w:rsidDel="00000000" w:rsidP="00000000" w:rsidRDefault="00000000" w14:paraId="0000023F">
      <w:pPr>
        <w:pStyle w:val="Heading1"/>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400" w:after="200" w:line="360" w:lineRule="auto"/>
        <w:ind w:left="720" w:right="0" w:hanging="720"/>
        <w:jc w:val="both"/>
        <w:rPr/>
      </w:pPr>
      <w:bookmarkStart w:name="_heading=h.w35bzqk80yj9" w:colFirst="0" w:colLast="0" w:id="65"/>
      <w:bookmarkEnd w:id="65"/>
      <w:r w:rsidRPr="00000000" w:rsidDel="00000000" w:rsidR="00000000">
        <w:rPr>
          <w:sz w:val="28"/>
          <w:szCs w:val="28"/>
          <w:rtl w:val="0"/>
        </w:rPr>
        <w:t xml:space="preserve">UNUSUAL ACTIVITY REPORTING </w:t>
      </w:r>
      <w:r w:rsidRPr="00000000" w:rsidDel="00000000" w:rsidR="00000000">
        <w:rPr>
          <w:rtl w:val="0"/>
        </w:rPr>
      </w:r>
    </w:p>
    <w:p w:rsidRPr="00000000" w:rsidR="00000000" w:rsidDel="00000000" w:rsidP="00000000" w:rsidRDefault="00000000" w14:paraId="00000240">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xy3a7phnia4q" w:colFirst="0" w:colLast="0" w:id="66"/>
      <w:bookmarkEnd w:id="66"/>
      <w:r w:rsidRPr="00000000" w:rsidDel="00000000" w:rsidR="00000000">
        <w:rPr>
          <w:sz w:val="24"/>
          <w:szCs w:val="24"/>
          <w:rtl w:val="0"/>
        </w:rPr>
        <w:t xml:space="preserve">Overview</w:t>
      </w:r>
      <w:r w:rsidRPr="00000000" w:rsidDel="00000000" w:rsidR="00000000">
        <w:rPr>
          <w:rtl w:val="0"/>
        </w:rPr>
      </w:r>
    </w:p>
    <w:p w:rsidRPr="00000000" w:rsidR="00000000" w:rsidDel="00000000" w:rsidP="00000000" w:rsidRDefault="00000000" w14:paraId="00000241">
      <w:pPr>
        <w:numPr>
          <w:ilvl w:val="2"/>
          <w:numId w:val="7"/>
        </w:numPr>
        <w:spacing w:after="100" w:line="276" w:lineRule="auto"/>
        <w:ind w:left="720" w:hanging="720"/>
      </w:pPr>
      <w:r w:rsidRPr="00000000" w:rsidDel="00000000" w:rsidR="00000000">
        <w:rPr>
          <w:rtl w:val="0"/>
        </w:rPr>
        <w:t xml:space="preserve">The Group has implemented and maintains adequate processes and systems to report suspicious activity and Transactions where appropriate, to relevant authorities and report information on unusual activity or the impression that certain assets may be derived from criminal activities or linked to the financing of terrorism or proliferation financing within the Group, in accordance with applicable reporting obligations under the ADGM AML Rulebook, and the UAE AML Law.</w:t>
      </w:r>
    </w:p>
    <w:p w:rsidRPr="00000000" w:rsidR="00000000" w:rsidDel="00000000" w:rsidP="00000000" w:rsidRDefault="00000000" w14:paraId="00000242">
      <w:pPr>
        <w:numPr>
          <w:ilvl w:val="2"/>
          <w:numId w:val="7"/>
        </w:numPr>
        <w:spacing w:after="100" w:line="276" w:lineRule="auto"/>
        <w:ind w:left="720" w:hanging="720"/>
      </w:pPr>
      <w:r w:rsidRPr="00000000" w:rsidDel="00000000" w:rsidR="00000000">
        <w:rPr>
          <w:rtl w:val="0"/>
        </w:rPr>
        <w:t xml:space="preserve">Binance also actively works with law enforcement entities and regulators to identify and investigate any Customers on its platform who may be engaged or are suspected of engaging in ML, TF and PF.  Binance reviews any suspicious activity it identifies on its platform and takes appropriate action regardless of whether a formal SAR/STR filing is required with the appropriate authorities. </w:t>
      </w:r>
    </w:p>
    <w:p w:rsidRPr="00000000" w:rsidR="00000000" w:rsidDel="00000000" w:rsidP="00000000" w:rsidRDefault="00000000" w14:paraId="00000243">
      <w:pPr>
        <w:pStyle w:val="Heading2"/>
        <w:numPr>
          <w:ilvl w:val="1"/>
          <w:numId w:val="7"/>
        </w:numPr>
        <w:spacing w:before="200" w:lineRule="auto"/>
        <w:ind w:left="720" w:hanging="720"/>
        <w:rPr/>
      </w:pPr>
      <w:bookmarkStart w:name="_heading=h.v8d0v0uyovva" w:colFirst="0" w:colLast="0" w:id="67"/>
      <w:bookmarkEnd w:id="67"/>
      <w:r w:rsidRPr="00000000" w:rsidDel="00000000" w:rsidR="00000000">
        <w:rPr>
          <w:sz w:val="24"/>
          <w:szCs w:val="24"/>
          <w:rtl w:val="0"/>
        </w:rPr>
        <w:t xml:space="preserve">Suspicious Activity Reporting </w:t>
      </w:r>
      <w:r w:rsidRPr="00000000" w:rsidDel="00000000" w:rsidR="00000000">
        <w:rPr>
          <w:rtl w:val="0"/>
        </w:rPr>
      </w:r>
    </w:p>
    <w:p w:rsidRPr="00000000" w:rsidR="00000000" w:rsidDel="00000000" w:rsidP="00000000" w:rsidRDefault="00000000" w14:paraId="00000244">
      <w:pPr>
        <w:keepNext w:val="0"/>
        <w:keepLines w:val="0"/>
        <w:pageBreakBefore w:val="0"/>
        <w:widowControl w:val="1"/>
        <w:numPr>
          <w:ilvl w:val="2"/>
          <w:numId w:val="7"/>
        </w:numPr>
        <w:pBdr>
          <w:top w:val="nil" w:sz="0" w:space="0"/>
          <w:left w:val="nil" w:sz="0" w:space="0"/>
          <w:bottom w:val="nil" w:sz="0" w:space="0"/>
          <w:right w:val="nil" w:sz="0" w:space="0"/>
          <w:between w:val="nil" w:sz="0" w:space="0"/>
        </w:pBdr>
        <w:shd w:val="clear" w:fill="auto"/>
        <w:spacing w:before="0" w:after="100" w:line="276" w:lineRule="auto"/>
        <w:ind w:left="720" w:right="0" w:hanging="720"/>
        <w:jc w:val="both"/>
      </w:pPr>
      <w:r w:rsidRPr="00000000" w:rsidDel="00000000" w:rsidR="00000000">
        <w:rPr>
          <w:rtl w:val="0"/>
        </w:rPr>
        <w:t xml:space="preserve">As per </w:t>
        <w:tab/>
        <w:t xml:space="preserve">Chapter 14.3 of ADGM’s AML/CTF and Sanctions Rulebook, ADGM MLROs are responsible for reporting any suspicious activity or transaction to the UAE FIU.When an activity or a transaction is deemed suspicious by the MRLOs, the MLROs has the duty to submit a report of the activity to the Financial Intelligence Unit via their goAML website. </w:t>
      </w:r>
    </w:p>
    <w:p w:rsidRPr="00000000" w:rsidR="00000000" w:rsidDel="00000000" w:rsidP="00000000" w:rsidRDefault="00000000" w14:paraId="00000245">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100" w:line="276" w:lineRule="auto"/>
        <w:ind w:left="720" w:right="0" w:firstLine="0"/>
        <w:jc w:val="both"/>
        <w:rPr/>
      </w:pPr>
      <w:r w:rsidRPr="00000000" w:rsidDel="00000000" w:rsidR="00000000">
        <w:rPr>
          <w:rtl w:val="0"/>
        </w:rPr>
        <w:t xml:space="preserve">The ADGM MLROs must log into their UAE FIU account to be able to file the SAR/STR report. They can do so via the following link: </w:t>
      </w:r>
      <w:hyperlink r:id="rId13">
        <w:r w:rsidRPr="00000000" w:rsidDel="00000000" w:rsidR="00000000">
          <w:rPr>
            <w:color w:val="1155cc"/>
            <w:u w:val="single"/>
            <w:rtl w:val="0"/>
          </w:rPr>
          <w:t xml:space="preserve">https://services.uaefiu.gov.ae/goaml/Home</w:t>
        </w:r>
      </w:hyperlink>
      <w:r w:rsidRPr="00000000" w:rsidDel="00000000" w:rsidR="00000000">
        <w:rPr>
          <w:rtl w:val="0"/>
        </w:rPr>
        <w:t xml:space="preserve">. </w:t>
      </w:r>
    </w:p>
    <w:p w:rsidRPr="00000000" w:rsidR="00000000" w:rsidDel="00000000" w:rsidP="00000000" w:rsidRDefault="00000000" w14:paraId="00000246">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100" w:line="276" w:lineRule="auto"/>
        <w:ind w:left="72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t xml:space="preserve">Binance Group also files a SAR/STR with the appropriate FIU or the appropriate regulatory authority in countries where Binance is a registered or licensed entity.  In countries where Binance is obligated to file SAR/STRs, Binance files SARs/STRs for any Transactions that Binance knows or has a reasonable basis to suspect the following: </w:t>
      </w:r>
      <w:r w:rsidRPr="00000000" w:rsidDel="00000000" w:rsidR="00000000">
        <w:rPr>
          <w:rtl w:val="0"/>
        </w:rPr>
      </w:r>
    </w:p>
    <w:p w:rsidRPr="00000000" w:rsidR="00000000" w:rsidDel="00000000" w:rsidP="00000000" w:rsidRDefault="00000000" w14:paraId="0000024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The Transaction involves funds derived from illegal activity or is intended to promote an illegal activity or is intended or conducted in order to hide or disguise funds or assets derived from illegal activity as part of a plan to violate or evade law or regulation or to avoid any Transaction reporting requirement under law or regulation.</w:t>
      </w:r>
      <w:r w:rsidRPr="00000000" w:rsidDel="00000000" w:rsidR="00000000">
        <w:rPr>
          <w:rtl w:val="0"/>
        </w:rPr>
      </w:r>
    </w:p>
    <w:p w:rsidRPr="00000000" w:rsidR="00000000" w:rsidDel="00000000" w:rsidP="00000000" w:rsidRDefault="00000000" w14:paraId="00000248">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The person or activity is involved or is suspected of being involved in or related to TF or PF.</w:t>
      </w:r>
      <w:r w:rsidRPr="00000000" w:rsidDel="00000000" w:rsidR="00000000">
        <w:rPr>
          <w:rtl w:val="0"/>
        </w:rPr>
      </w:r>
    </w:p>
    <w:p w:rsidRPr="00000000" w:rsidR="00000000" w:rsidDel="00000000" w:rsidP="00000000" w:rsidRDefault="00000000" w14:paraId="00000249">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The individual or entity is a sanctioned person, or the Transaction involves a sanctioned person as defined by </w:t>
      </w:r>
      <w:r w:rsidRPr="00000000" w:rsidDel="00000000" w:rsidR="00000000">
        <w:rPr>
          <w:rtl w:val="0"/>
        </w:rPr>
        <w:t xml:space="preserve">the BGSP</w:t>
      </w:r>
      <w:r w:rsidRPr="00000000" w:rsidDel="00000000" w:rsidR="00000000">
        <w:rPr>
          <w:i w:val="0"/>
          <w:iCs w:val="0"/>
          <w:smallCaps w:val="0"/>
          <w:strike w:val="0"/>
          <w:color w:val="000000"/>
          <w:sz w:val="22"/>
          <w:szCs w:val="22"/>
          <w:u w:val="none"/>
          <w:shd w:val="clear" w:fill="auto"/>
          <w:vertAlign w:val="baseline"/>
          <w:rtl w:val="0"/>
        </w:rPr>
        <w:t xml:space="preserve"> and applicable sanctions laws.</w:t>
      </w:r>
      <w:r w:rsidRPr="00000000" w:rsidDel="00000000" w:rsidR="00000000">
        <w:rPr>
          <w:rtl w:val="0"/>
        </w:rPr>
      </w:r>
    </w:p>
    <w:p w:rsidRPr="00000000" w:rsidR="00000000" w:rsidDel="00000000" w:rsidP="00000000" w:rsidRDefault="00000000" w14:paraId="0000024A">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The Transaction is designed, whether through structuring or otherwise, to evade or circumvent any requirements of the law or regulations, including tax reporting and sanction regulations. </w:t>
      </w:r>
      <w:r w:rsidRPr="00000000" w:rsidDel="00000000" w:rsidR="00000000">
        <w:rPr>
          <w:rtl w:val="0"/>
        </w:rPr>
      </w:r>
    </w:p>
    <w:p w:rsidRPr="00000000" w:rsidR="00000000" w:rsidDel="00000000" w:rsidP="00000000" w:rsidRDefault="00000000" w14:paraId="0000024B">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The Transaction has no business or apparent lawful purpose or is not the sort in which the Customer would normally be expected to engage. </w:t>
      </w:r>
      <w:r w:rsidRPr="00000000" w:rsidDel="00000000" w:rsidR="00000000">
        <w:rPr>
          <w:rtl w:val="0"/>
        </w:rPr>
      </w:r>
    </w:p>
    <w:p w:rsidRPr="00000000" w:rsidR="00000000" w:rsidDel="00000000" w:rsidP="00000000" w:rsidRDefault="00000000" w14:paraId="0000024C">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The Transaction involves the use of its platform to facilitate any criminal activity. </w:t>
      </w:r>
      <w:r w:rsidRPr="00000000" w:rsidDel="00000000" w:rsidR="00000000">
        <w:rPr>
          <w:rtl w:val="0"/>
        </w:rPr>
      </w:r>
    </w:p>
    <w:p w:rsidRPr="00000000" w:rsidR="00000000" w:rsidDel="00000000" w:rsidP="00000000" w:rsidRDefault="00000000" w14:paraId="0000024D">
      <w:pPr>
        <w:numPr>
          <w:ilvl w:val="2"/>
          <w:numId w:val="7"/>
        </w:numPr>
        <w:spacing w:after="100" w:line="276" w:lineRule="auto"/>
        <w:ind w:left="720" w:hanging="720"/>
      </w:pPr>
      <w:r w:rsidRPr="00000000" w:rsidDel="00000000" w:rsidR="00000000">
        <w:rPr>
          <w:rtl w:val="0"/>
        </w:rPr>
        <w:t xml:space="preserve">Binance is obligated to file reports with the FIU or law enforcement agencies for any suspicious activities or Transactions, especially in urgent cases like TF/PF or ongoing ML schemes, without delay and within the prescribed reporting timeframe under applicable law.</w:t>
      </w:r>
    </w:p>
    <w:p w:rsidRPr="00000000" w:rsidR="00000000" w:rsidDel="00000000" w:rsidP="00000000" w:rsidRDefault="00000000" w14:paraId="0000024E">
      <w:pPr>
        <w:numPr>
          <w:ilvl w:val="2"/>
          <w:numId w:val="7"/>
        </w:numPr>
        <w:spacing w:after="100" w:line="276" w:lineRule="auto"/>
        <w:ind w:left="720" w:hanging="720"/>
      </w:pPr>
      <w:r w:rsidRPr="00000000" w:rsidDel="00000000" w:rsidR="00000000">
        <w:rPr>
          <w:rtl w:val="0"/>
        </w:rPr>
        <w:t xml:space="preserve">Binance maintains a designated communications channel for the FIUs, relevant authorities or law enforcement to request information relating to its SAR/STR filing.</w:t>
      </w:r>
    </w:p>
    <w:p w:rsidRPr="00000000" w:rsidR="00000000" w:rsidDel="00000000" w:rsidP="00000000" w:rsidRDefault="00000000" w14:paraId="0000024F">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7i7vx1z7ys0" w:colFirst="0" w:colLast="0" w:id="68"/>
      <w:bookmarkEnd w:id="68"/>
      <w:r w:rsidRPr="00000000" w:rsidDel="00000000" w:rsidR="00000000">
        <w:rPr>
          <w:sz w:val="24"/>
          <w:szCs w:val="24"/>
          <w:rtl w:val="0"/>
        </w:rPr>
        <w:t xml:space="preserve">Referral of Unusual Activity </w:t>
      </w:r>
      <w:r w:rsidRPr="00000000" w:rsidDel="00000000" w:rsidR="00000000">
        <w:rPr>
          <w:rtl w:val="0"/>
        </w:rPr>
      </w:r>
    </w:p>
    <w:p w:rsidRPr="00000000" w:rsidR="00000000" w:rsidDel="00000000" w:rsidP="00000000" w:rsidRDefault="00000000" w14:paraId="00000250">
      <w:pPr>
        <w:numPr>
          <w:ilvl w:val="2"/>
          <w:numId w:val="7"/>
        </w:numPr>
        <w:spacing w:after="100" w:line="276" w:lineRule="auto"/>
        <w:ind w:left="720" w:hanging="720"/>
      </w:pPr>
      <w:r w:rsidRPr="00000000" w:rsidDel="00000000" w:rsidR="00000000">
        <w:rPr>
          <w:rtl w:val="0"/>
        </w:rPr>
        <w:t xml:space="preserve">Binance Group seeks to identify, investigate and report unusual or potentially suspicious activities to the relevant authority in a complete, accurate and timely manner.  It is the responsibility of all Group Personnel to detect and prevent ML, TF or other illicit activity by escalating any activity or information which could possibly be associated with ML or TF.  Any participation in ML, TF or other illicit activity, with knowledge or as a result of wilful blindness, is strictly prohibited.  Potentially suspicious activity may be identified by Personnel at account opening or at any time during the lifecycle of the Customer’s relationship with Binance Group. </w:t>
      </w:r>
    </w:p>
    <w:p w:rsidRPr="00000000" w:rsidR="00000000" w:rsidDel="00000000" w:rsidP="00000000" w:rsidRDefault="00000000" w14:paraId="00000251">
      <w:pPr>
        <w:numPr>
          <w:ilvl w:val="2"/>
          <w:numId w:val="7"/>
        </w:numPr>
        <w:spacing w:after="100" w:line="276" w:lineRule="auto"/>
        <w:ind w:left="720" w:hanging="720"/>
      </w:pPr>
      <w:r w:rsidRPr="00000000" w:rsidDel="00000000" w:rsidR="00000000">
        <w:rPr>
          <w:rtl w:val="0"/>
        </w:rPr>
        <w:t xml:space="preserve">All Group Personnel must remain vigilant and flag out any unusual, out of character activity or red flags associated with potential suspicious activity.</w:t>
      </w:r>
    </w:p>
    <w:p w:rsidRPr="00000000" w:rsidR="00000000" w:rsidDel="00000000" w:rsidP="00000000" w:rsidRDefault="00000000" w14:paraId="00000252">
      <w:pPr>
        <w:numPr>
          <w:ilvl w:val="2"/>
          <w:numId w:val="7"/>
        </w:numPr>
        <w:spacing w:after="100" w:line="276" w:lineRule="auto"/>
        <w:ind w:left="720" w:hanging="720"/>
      </w:pPr>
      <w:r w:rsidRPr="00000000" w:rsidDel="00000000" w:rsidR="00000000">
        <w:rPr>
          <w:rtl w:val="0"/>
        </w:rPr>
        <w:t xml:space="preserve">All Personnel are required to escalate any unusual or potentially suspicious activity as soon as practicable.  However, not all case types are routed through the Financial Crime Investigations (FCI) Team.  The routing logic now directs certain Investigation Case Reports (ICRs), such as those related to Sanctions and TF, to bypass the FCI Team and enter the queue of the relevant investigation team, such as the Sanctions team.  The investigation team handling the case is responsible for analysing the activity, determining whether it is suspicious, and deciding whether to escalate it to the relevant Regional CO/MLRO for determination of any required regulatory reporting.</w:t>
      </w:r>
    </w:p>
    <w:p w:rsidRPr="00000000" w:rsidR="00000000" w:rsidDel="00000000" w:rsidP="00000000" w:rsidRDefault="00000000" w14:paraId="00000253">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2s3p4lpdyv9t" w:colFirst="0" w:colLast="0" w:id="69"/>
      <w:bookmarkEnd w:id="69"/>
      <w:r w:rsidRPr="00000000" w:rsidDel="00000000" w:rsidR="00000000">
        <w:rPr>
          <w:sz w:val="24"/>
          <w:szCs w:val="24"/>
          <w:rtl w:val="0"/>
        </w:rPr>
        <w:t xml:space="preserve">Decision to file SAR/STR</w:t>
      </w:r>
      <w:r w:rsidRPr="00000000" w:rsidDel="00000000" w:rsidR="00000000">
        <w:rPr>
          <w:rtl w:val="0"/>
        </w:rPr>
      </w:r>
    </w:p>
    <w:p w:rsidRPr="00000000" w:rsidR="00000000" w:rsidDel="00000000" w:rsidP="00000000" w:rsidRDefault="00000000" w14:paraId="00000254">
      <w:pPr>
        <w:numPr>
          <w:ilvl w:val="2"/>
          <w:numId w:val="7"/>
        </w:numPr>
        <w:spacing w:after="100" w:line="276" w:lineRule="auto"/>
        <w:ind w:left="720" w:hanging="720"/>
      </w:pPr>
      <w:r w:rsidRPr="00000000" w:rsidDel="00000000" w:rsidR="00000000">
        <w:rPr>
          <w:rtl w:val="0"/>
        </w:rPr>
        <w:t xml:space="preserve">The decision to file a SAR/STR shall be made by the respective MLRO. </w:t>
      </w:r>
    </w:p>
    <w:p w:rsidRPr="00000000" w:rsidR="00000000" w:rsidDel="00000000" w:rsidP="00000000" w:rsidRDefault="00000000" w14:paraId="00000255">
      <w:pPr>
        <w:numPr>
          <w:ilvl w:val="2"/>
          <w:numId w:val="7"/>
        </w:numPr>
        <w:spacing w:after="100" w:line="276" w:lineRule="auto"/>
        <w:ind w:left="720" w:hanging="720"/>
      </w:pPr>
      <w:r w:rsidRPr="00000000" w:rsidDel="00000000" w:rsidR="00000000">
        <w:rPr>
          <w:rtl w:val="0"/>
        </w:rPr>
        <w:t xml:space="preserve">The MLRO files the SAR/STR as soon as possible, without delay and within the applicable local prescribed time frame (if any) when potentially suspicious activity is identified and investigated. </w:t>
      </w:r>
    </w:p>
    <w:p w:rsidRPr="00000000" w:rsidR="00000000" w:rsidDel="00000000" w:rsidP="00000000" w:rsidRDefault="00000000" w14:paraId="00000256">
      <w:pPr>
        <w:numPr>
          <w:ilvl w:val="2"/>
          <w:numId w:val="7"/>
        </w:numPr>
        <w:spacing w:after="100" w:line="276" w:lineRule="auto"/>
        <w:ind w:left="720" w:hanging="720"/>
      </w:pPr>
      <w:r w:rsidRPr="00000000" w:rsidDel="00000000" w:rsidR="00000000">
        <w:rPr>
          <w:rtl w:val="0"/>
        </w:rPr>
        <w:t xml:space="preserve">The MLRO shall document into local systems or internal tools on SARs/STRs filed with the local FIU or to any law enforcement agency for the Financial Crime Investigations (FCI) team's reference. </w:t>
      </w:r>
    </w:p>
    <w:p w:rsidRPr="00000000" w:rsidR="00000000" w:rsidDel="00000000" w:rsidP="00000000" w:rsidRDefault="00000000" w14:paraId="00000257">
      <w:pPr>
        <w:numPr>
          <w:ilvl w:val="2"/>
          <w:numId w:val="7"/>
        </w:numPr>
        <w:spacing w:after="100" w:line="276" w:lineRule="auto"/>
        <w:ind w:left="720" w:hanging="720"/>
      </w:pPr>
      <w:r w:rsidRPr="00000000" w:rsidDel="00000000" w:rsidR="00000000">
        <w:rPr>
          <w:rtl w:val="0"/>
        </w:rPr>
        <w:t xml:space="preserve">The responsible country MLRO maintains records of its own internal investigations as well as copies of the SAR/STR filings together with their supporting documents.  Recommendations and decisions not to file a SAR/STR shall also be retained as part of the investigation by the country MLROs.</w:t>
      </w:r>
    </w:p>
    <w:p w:rsidRPr="00000000" w:rsidR="00000000" w:rsidDel="00000000" w:rsidP="00000000" w:rsidRDefault="00000000" w14:paraId="00000258">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vlk80nvy7zfo" w:colFirst="0" w:colLast="0" w:id="70"/>
      <w:bookmarkEnd w:id="70"/>
      <w:r w:rsidRPr="00000000" w:rsidDel="00000000" w:rsidR="00000000">
        <w:rPr>
          <w:sz w:val="24"/>
          <w:szCs w:val="24"/>
          <w:rtl w:val="0"/>
        </w:rPr>
        <w:t xml:space="preserve">Confidentiality and the Tipping Off Policy</w:t>
      </w:r>
      <w:r w:rsidRPr="00000000" w:rsidDel="00000000" w:rsidR="00000000">
        <w:rPr>
          <w:rtl w:val="0"/>
        </w:rPr>
      </w:r>
    </w:p>
    <w:p w:rsidRPr="00000000" w:rsidR="00000000" w:rsidDel="00000000" w:rsidP="00000000" w:rsidRDefault="00000000" w14:paraId="00000259">
      <w:pPr>
        <w:numPr>
          <w:ilvl w:val="2"/>
          <w:numId w:val="7"/>
        </w:numPr>
        <w:spacing w:after="100" w:line="276" w:lineRule="auto"/>
        <w:ind w:left="720" w:hanging="720"/>
      </w:pPr>
      <w:r w:rsidRPr="00000000" w:rsidDel="00000000" w:rsidR="00000000">
        <w:rPr>
          <w:rtl w:val="0"/>
        </w:rPr>
        <w:t xml:space="preserve">All Personnel are required to maintain strict confidentiality of all SAR/STR related activities. Personnel are reminded that no SAR/STR information may be disclosed.  Personnel entrusted with SAR/STR information must not divulge, suggest or tip-off any person outside the Binance Group of any information relating to the filing and contents of the SAR/STR. </w:t>
      </w:r>
    </w:p>
    <w:p w:rsidRPr="00000000" w:rsidR="00000000" w:rsidDel="00000000" w:rsidP="00000000" w:rsidRDefault="00000000" w14:paraId="0000025A">
      <w:pPr>
        <w:numPr>
          <w:ilvl w:val="2"/>
          <w:numId w:val="7"/>
        </w:numPr>
        <w:spacing w:after="100" w:line="276" w:lineRule="auto"/>
        <w:ind w:left="720" w:hanging="720"/>
      </w:pPr>
      <w:r w:rsidRPr="00000000" w:rsidDel="00000000" w:rsidR="00000000">
        <w:rPr>
          <w:rtl w:val="0"/>
        </w:rPr>
        <w:t xml:space="preserve">Tipping Off is defined as any unauthorised disclosure to a Customer that a SAR/STR has been filed or may be filed with the appropriate authorities.  It is Binance’s policy that no Group Personnel shall disclose to any Customer, other Personnel or third party not authorised to receive information about the SAR/STR the fact that a SAR/STR has been filed or is to be filed with the relevant authorities.  As tipping off is a criminal offence in many countries, Binance considers tipping off as a serious breach by the Personnel.  Violations will lead to disciplinary actions up to and including termination and possible referral to local law enforcement for legal action. </w:t>
      </w:r>
    </w:p>
    <w:p w:rsidRPr="00000000" w:rsidR="00000000" w:rsidDel="00000000" w:rsidP="00000000" w:rsidRDefault="00000000" w14:paraId="0000025B">
      <w:pPr>
        <w:numPr>
          <w:ilvl w:val="2"/>
          <w:numId w:val="7"/>
        </w:numPr>
        <w:spacing w:after="100" w:line="276" w:lineRule="auto"/>
        <w:ind w:left="720" w:hanging="720"/>
      </w:pPr>
      <w:r w:rsidRPr="00000000" w:rsidDel="00000000" w:rsidR="00000000">
        <w:rPr>
          <w:rtl w:val="0"/>
        </w:rPr>
        <w:t xml:space="preserve">As an integral part of CDD and ongoing monitoring, reasonable enquiries may be requested from the Customer.  These inquiries must be conducted in such a way as not to alert the Customer that the matter may be referred as a SAR to the relevant authorities.  Personnel may make reasonable enquiries of a Customer regarding the background of a Transaction or activity that is inconsistent with the Customer's usual pattern of Transactions or activity.  The Personnel can inform the Customer they are making such enquiries.  However, the Personnel cannot mention the consideration of filing a SAR/STR or potentially filing a SAR/STR with the relevant authorities.</w:t>
      </w:r>
    </w:p>
    <w:p w:rsidRPr="00000000" w:rsidR="00000000" w:rsidDel="00000000" w:rsidP="00000000" w:rsidRDefault="00000000" w14:paraId="0000025C">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lah3lp4fxtm6" w:colFirst="0" w:colLast="0" w:id="71"/>
      <w:bookmarkEnd w:id="71"/>
      <w:r w:rsidRPr="00000000" w:rsidDel="00000000" w:rsidR="00000000">
        <w:rPr>
          <w:sz w:val="24"/>
          <w:szCs w:val="24"/>
          <w:rtl w:val="0"/>
        </w:rPr>
        <w:t xml:space="preserve">SAR/STR Record Retention </w:t>
      </w:r>
      <w:r w:rsidRPr="00000000" w:rsidDel="00000000" w:rsidR="00000000">
        <w:rPr>
          <w:rtl w:val="0"/>
        </w:rPr>
      </w:r>
    </w:p>
    <w:p w:rsidRPr="00000000" w:rsidR="00000000" w:rsidDel="00000000" w:rsidP="00000000" w:rsidRDefault="00000000" w14:paraId="0000025D">
      <w:pPr>
        <w:numPr>
          <w:ilvl w:val="2"/>
          <w:numId w:val="7"/>
        </w:numPr>
        <w:spacing w:after="100" w:line="276" w:lineRule="auto"/>
        <w:ind w:left="720" w:hanging="720"/>
      </w:pPr>
      <w:r w:rsidRPr="00000000" w:rsidDel="00000000" w:rsidR="00000000">
        <w:rPr>
          <w:rtl w:val="0"/>
        </w:rPr>
        <w:t xml:space="preserve">SAR/STR filings and records, together with their supporting documents, are RESTRICTED Information within each Binance group entity. </w:t>
      </w:r>
    </w:p>
    <w:p w:rsidRPr="00000000" w:rsidR="00000000" w:rsidDel="00000000" w:rsidP="00000000" w:rsidRDefault="00000000" w14:paraId="0000025E">
      <w:pPr>
        <w:numPr>
          <w:ilvl w:val="2"/>
          <w:numId w:val="7"/>
        </w:numPr>
        <w:spacing w:after="100" w:line="276" w:lineRule="auto"/>
        <w:ind w:left="720" w:hanging="720"/>
      </w:pPr>
      <w:r w:rsidRPr="00000000" w:rsidDel="00000000" w:rsidR="00000000">
        <w:rPr>
          <w:rtl w:val="0"/>
        </w:rPr>
        <w:t xml:space="preserve">No information relating to a SAR/STR filing is to be retained in the Customer files or anywhere that it may be accessed by others other than by authorised Personnel.  Copies of the SARs/STRs shall be retained by the Regional CO/MLRO at a separate document repository site to which access is restricted only to authorised Group Personnel. </w:t>
      </w:r>
    </w:p>
    <w:p w:rsidRPr="00000000" w:rsidR="00000000" w:rsidDel="00000000" w:rsidP="00000000" w:rsidRDefault="00000000" w14:paraId="0000025F">
      <w:pPr>
        <w:numPr>
          <w:ilvl w:val="2"/>
          <w:numId w:val="7"/>
        </w:numPr>
        <w:spacing w:after="100" w:line="276" w:lineRule="auto"/>
        <w:ind w:left="720" w:hanging="720"/>
      </w:pPr>
      <w:r w:rsidRPr="00000000" w:rsidDel="00000000" w:rsidR="00000000">
        <w:rPr>
          <w:rtl w:val="0"/>
        </w:rPr>
        <w:t xml:space="preserve">SAR/STR records, together with the supporting documents, shall be retained by the Regional CO/MLRO for six (6) years or a longer period as directed by Legal, relevant authorities or laws.</w:t>
      </w:r>
    </w:p>
    <w:p w:rsidRPr="00000000" w:rsidR="00000000" w:rsidDel="00000000" w:rsidP="00000000" w:rsidRDefault="00000000" w14:paraId="00000260">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4ymu8zdi6ct2" w:colFirst="0" w:colLast="0" w:id="72"/>
      <w:bookmarkEnd w:id="72"/>
      <w:r w:rsidRPr="00000000" w:rsidDel="00000000" w:rsidR="00000000">
        <w:rPr>
          <w:sz w:val="24"/>
          <w:szCs w:val="24"/>
          <w:rtl w:val="0"/>
        </w:rPr>
        <w:t xml:space="preserve">SAR/STR Procedures</w:t>
      </w:r>
      <w:r w:rsidRPr="00000000" w:rsidDel="00000000" w:rsidR="00000000">
        <w:rPr>
          <w:rtl w:val="0"/>
        </w:rPr>
      </w:r>
    </w:p>
    <w:p w:rsidRPr="00000000" w:rsidR="00000000" w:rsidDel="00000000" w:rsidP="00000000" w:rsidRDefault="00000000" w14:paraId="00000261">
      <w:pPr>
        <w:numPr>
          <w:ilvl w:val="2"/>
          <w:numId w:val="7"/>
        </w:numPr>
        <w:spacing w:after="200" w:line="276" w:lineRule="auto"/>
        <w:ind w:left="720" w:hanging="720"/>
      </w:pPr>
      <w:r w:rsidRPr="00000000" w:rsidDel="00000000" w:rsidR="00000000">
        <w:rPr>
          <w:rtl w:val="0"/>
        </w:rPr>
        <w:t xml:space="preserve">The Global FCI Guidelines and Procedures set out the process for the escalation (or referrals), investigation and decision to file a SAR/STR and must be applied consistently across all regulated jurisdictions in which Binance Group operates.</w:t>
      </w:r>
    </w:p>
    <w:p w:rsidRPr="00000000" w:rsidR="00000000" w:rsidDel="00000000" w:rsidP="00000000" w:rsidRDefault="00000000" w14:paraId="00000262">
      <w:pPr>
        <w:pStyle w:val="Heading1"/>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400" w:after="200" w:line="360" w:lineRule="auto"/>
        <w:ind w:left="720" w:right="0" w:hanging="720"/>
        <w:jc w:val="both"/>
        <w:rPr/>
      </w:pPr>
      <w:bookmarkStart w:name="_heading=h.lqpaqj688240" w:colFirst="0" w:colLast="0" w:id="73"/>
      <w:bookmarkEnd w:id="73"/>
      <w:r w:rsidRPr="00000000" w:rsidDel="00000000" w:rsidR="00000000">
        <w:rPr>
          <w:sz w:val="28"/>
          <w:szCs w:val="28"/>
          <w:rtl w:val="0"/>
        </w:rPr>
        <w:t xml:space="preserve">OUTSOURCING ARRANGEMENT</w:t>
      </w:r>
      <w:r w:rsidRPr="00000000" w:rsidDel="00000000" w:rsidR="00000000">
        <w:rPr>
          <w:rtl w:val="0"/>
        </w:rPr>
      </w:r>
    </w:p>
    <w:p w:rsidRPr="00000000" w:rsidR="00000000" w:rsidDel="00000000" w:rsidP="00000000" w:rsidRDefault="00000000" w14:paraId="00000263">
      <w:pPr>
        <w:keepNext w:val="0"/>
        <w:keepLines w:val="0"/>
        <w:pageBreakBefore w:val="0"/>
        <w:widowControl w:val="1"/>
        <w:numPr>
          <w:ilvl w:val="1"/>
          <w:numId w:val="7"/>
        </w:numPr>
        <w:pBdr>
          <w:top w:val="nil" w:sz="0" w:space="0"/>
          <w:left w:val="nil" w:sz="0" w:space="0"/>
          <w:bottom w:val="nil" w:sz="0" w:space="0"/>
          <w:right w:val="nil" w:sz="0" w:space="0"/>
          <w:between w:val="nil" w:sz="0" w:space="0"/>
        </w:pBdr>
        <w:shd w:val="clear" w:fill="auto"/>
        <w:spacing w:before="100" w:after="100" w:line="276" w:lineRule="auto"/>
        <w:ind w:left="720" w:right="0"/>
        <w:jc w:val="both"/>
        <w:rPr>
          <w:u w:val="none"/>
        </w:rPr>
      </w:pPr>
      <w:r w:rsidRPr="00000000" w:rsidDel="00000000" w:rsidR="00000000">
        <w:rPr>
          <w:rtl w:val="0"/>
        </w:rPr>
        <w:t xml:space="preserve">While Binance outsources some of its AML functions or activities directly related to Regulated Activities to service providers (including within its Group), it is not relieved of its regulatory obligations and remains responsible for compliance with FSRA Regulations and Rules. Instead, the outsourced function shall be deemed as being carried out by Binance itself, and Binance shall retain the ultimate responsibility and accountability for the outsourced function.</w:t>
      </w:r>
    </w:p>
    <w:p w:rsidRPr="00000000" w:rsidR="00000000" w:rsidDel="00000000" w:rsidP="00000000" w:rsidRDefault="00000000" w14:paraId="00000264">
      <w:pPr>
        <w:keepNext w:val="0"/>
        <w:keepLines w:val="0"/>
        <w:pageBreakBefore w:val="0"/>
        <w:widowControl w:val="1"/>
        <w:numPr>
          <w:ilvl w:val="1"/>
          <w:numId w:val="7"/>
        </w:numPr>
        <w:pBdr>
          <w:top w:val="nil" w:sz="0" w:space="0"/>
          <w:left w:val="nil" w:sz="0" w:space="0"/>
          <w:bottom w:val="nil" w:sz="0" w:space="0"/>
          <w:right w:val="nil" w:sz="0" w:space="0"/>
          <w:between w:val="nil" w:sz="0" w:space="0"/>
        </w:pBdr>
        <w:shd w:val="clear" w:fill="auto"/>
        <w:spacing w:before="100" w:after="100" w:line="276" w:lineRule="auto"/>
        <w:ind w:left="720" w:right="0" w:hanging="720"/>
        <w:jc w:val="both"/>
        <w:rPr/>
      </w:pPr>
      <w:r w:rsidRPr="00000000" w:rsidDel="00000000" w:rsidR="00000000">
        <w:rPr>
          <w:rtl w:val="0"/>
        </w:rPr>
        <w:t xml:space="preserve">The Group and ADGM’s Board should effectively supervise the outsourced functions or activities and be responsible for reviewing the performance of all outsourced functions at least on an annual basis.</w:t>
      </w:r>
    </w:p>
    <w:p w:rsidRPr="00000000" w:rsidR="00000000" w:rsidDel="00000000" w:rsidP="00000000" w:rsidRDefault="00000000" w14:paraId="00000265">
      <w:pPr>
        <w:keepNext w:val="0"/>
        <w:keepLines w:val="0"/>
        <w:pageBreakBefore w:val="0"/>
        <w:widowControl w:val="1"/>
        <w:numPr>
          <w:ilvl w:val="1"/>
          <w:numId w:val="7"/>
        </w:numPr>
        <w:pBdr>
          <w:top w:val="nil" w:sz="0" w:space="0"/>
          <w:left w:val="nil" w:sz="0" w:space="0"/>
          <w:bottom w:val="nil" w:sz="0" w:space="0"/>
          <w:right w:val="nil" w:sz="0" w:space="0"/>
          <w:between w:val="nil" w:sz="0" w:space="0"/>
        </w:pBdr>
        <w:shd w:val="clear" w:fill="auto"/>
        <w:spacing w:before="100" w:after="100" w:line="276" w:lineRule="auto"/>
        <w:ind w:left="720" w:right="0" w:hanging="720"/>
        <w:jc w:val="both"/>
        <w:rPr/>
      </w:pPr>
      <w:r w:rsidRPr="00000000" w:rsidDel="00000000" w:rsidR="00000000">
        <w:rPr>
          <w:rtl w:val="0"/>
        </w:rPr>
        <w:t xml:space="preserve">Binance maintains an Outsourcing Register as a central governance and compliance tool for tracking all Material Outsourcing Arrangements, including intra-group and third-party service providers. Further information on the Outsourcing Register can be found in the Outsourcing Policy.</w:t>
      </w:r>
    </w:p>
    <w:p w:rsidRPr="00000000" w:rsidR="00000000" w:rsidDel="00000000" w:rsidP="00000000" w:rsidRDefault="00000000" w14:paraId="00000266">
      <w:pPr>
        <w:pStyle w:val="Heading1"/>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400" w:after="200" w:line="360" w:lineRule="auto"/>
        <w:ind w:left="720" w:right="0" w:hanging="720"/>
        <w:jc w:val="both"/>
        <w:rPr/>
      </w:pPr>
      <w:bookmarkStart w:name="_heading=h.meiohnsa6fwv" w:colFirst="0" w:colLast="0" w:id="74"/>
      <w:bookmarkEnd w:id="74"/>
      <w:r w:rsidRPr="00000000" w:rsidDel="00000000" w:rsidR="00000000">
        <w:rPr>
          <w:sz w:val="28"/>
          <w:szCs w:val="28"/>
          <w:rtl w:val="0"/>
        </w:rPr>
        <w:t xml:space="preserve">COOPERATION WITH LAW ENFORCEMENT</w:t>
      </w:r>
      <w:r w:rsidRPr="00000000" w:rsidDel="00000000" w:rsidR="00000000">
        <w:rPr>
          <w:rtl w:val="0"/>
        </w:rPr>
      </w:r>
    </w:p>
    <w:p w:rsidRPr="00000000" w:rsidR="00000000" w:rsidDel="00000000" w:rsidP="00000000" w:rsidRDefault="00000000" w14:paraId="00000267">
      <w:pPr>
        <w:pStyle w:val="Heading4"/>
        <w:numPr>
          <w:ilvl w:val="3"/>
          <w:numId w:val="7"/>
        </w:numPr>
        <w:spacing w:after="100" w:line="276" w:lineRule="auto"/>
        <w:ind w:left="1170" w:hanging="450"/>
        <w:rPr/>
      </w:pPr>
      <w:bookmarkStart w:name="_heading=h.4ovurb3jl384" w:colFirst="0" w:colLast="0" w:id="75"/>
      <w:bookmarkEnd w:id="75"/>
      <w:r w:rsidRPr="00000000" w:rsidDel="00000000" w:rsidR="00000000">
        <w:rPr>
          <w:rtl w:val="0"/>
        </w:rPr>
        <w:t xml:space="preserve">Binance Group is committed to cooperating with law enforcement and government authorities in compliance with applicable laws while considering Customer privacy.  Binance Group shares information with law enforcement in accordance with this Policy.  This policy establishes the control framework, approval process, and official channels for sharing information at the group level.  Data sharing with LEA will be conducted within the jurisdictional limits of the respective law enforcement agencies and in accordance with applicable data protection laws.</w:t>
      </w:r>
    </w:p>
    <w:p w:rsidRPr="00000000" w:rsidR="00000000" w:rsidDel="00000000" w:rsidP="00000000" w:rsidRDefault="00000000" w14:paraId="00000268">
      <w:pPr>
        <w:pStyle w:val="Heading4"/>
        <w:numPr>
          <w:ilvl w:val="3"/>
          <w:numId w:val="7"/>
        </w:numPr>
        <w:spacing w:after="100" w:line="276" w:lineRule="auto"/>
        <w:ind w:left="1170" w:hanging="450"/>
        <w:rPr/>
      </w:pPr>
      <w:bookmarkStart w:name="_heading=h.jpicgbumtpp1" w:colFirst="0" w:colLast="0" w:id="76"/>
      <w:bookmarkEnd w:id="76"/>
      <w:r w:rsidRPr="00000000" w:rsidDel="00000000" w:rsidR="00000000">
        <w:rPr>
          <w:rtl w:val="0"/>
        </w:rPr>
        <w:t xml:space="preserve">The Law Enforcement Production Team (Case Team) in Global Compliance is responsible for responding to the legal process or other requests for information and for communicating with the relevant government authorities with respect to such inquiries.  The Case Team records requests received and responses provided, including supporting documentation provided in accordance with record retention requirements and confidentiality under applicable AML/CFT frameworks.</w:t>
      </w:r>
    </w:p>
    <w:p w:rsidRPr="00000000" w:rsidR="00000000" w:rsidDel="00000000" w:rsidP="00000000" w:rsidRDefault="00000000" w14:paraId="00000269">
      <w:pPr>
        <w:pStyle w:val="Heading4"/>
        <w:numPr>
          <w:ilvl w:val="3"/>
          <w:numId w:val="7"/>
        </w:numPr>
        <w:spacing w:after="100" w:line="276" w:lineRule="auto"/>
        <w:ind w:left="1170" w:hanging="450"/>
        <w:rPr/>
      </w:pPr>
      <w:bookmarkStart w:name="_heading=h.7z6gpcioeusa" w:colFirst="0" w:colLast="0" w:id="77"/>
      <w:bookmarkEnd w:id="77"/>
      <w:r w:rsidRPr="00000000" w:rsidDel="00000000" w:rsidR="00000000">
        <w:rPr>
          <w:rtl w:val="0"/>
        </w:rPr>
        <w:t xml:space="preserve">The Guidance to Handle LEA requests sets out the process for the Group's cooperation with law enforcement. </w:t>
      </w:r>
    </w:p>
    <w:p w:rsidRPr="00000000" w:rsidR="00000000" w:rsidDel="00000000" w:rsidP="00000000" w:rsidRDefault="00000000" w14:paraId="0000026A">
      <w:pPr>
        <w:pStyle w:val="Heading1"/>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400" w:after="200" w:line="360" w:lineRule="auto"/>
        <w:ind w:left="720" w:right="0" w:hanging="720"/>
        <w:jc w:val="both"/>
        <w:rPr/>
      </w:pPr>
      <w:bookmarkStart w:name="_heading=h.spfyp6hsxz9s" w:colFirst="0" w:colLast="0" w:id="78"/>
      <w:bookmarkEnd w:id="78"/>
      <w:r w:rsidRPr="00000000" w:rsidDel="00000000" w:rsidR="00000000">
        <w:rPr>
          <w:sz w:val="28"/>
          <w:szCs w:val="28"/>
          <w:rtl w:val="0"/>
        </w:rPr>
        <w:t xml:space="preserve">CUSTOMER EXIT AND ACCOUNT CLOSURE </w:t>
      </w:r>
      <w:r w:rsidRPr="00000000" w:rsidDel="00000000" w:rsidR="00000000">
        <w:rPr>
          <w:rtl w:val="0"/>
        </w:rPr>
      </w:r>
    </w:p>
    <w:p w:rsidRPr="00000000" w:rsidR="00000000" w:rsidDel="00000000" w:rsidP="00000000" w:rsidRDefault="00000000" w14:paraId="0000026B">
      <w:pPr>
        <w:keepNext w:val="0"/>
        <w:keepLines w:val="0"/>
        <w:pageBreakBefore w:val="0"/>
        <w:widowControl w:val="1"/>
        <w:numPr>
          <w:ilvl w:val="1"/>
          <w:numId w:val="7"/>
        </w:numPr>
        <w:pBdr>
          <w:top w:val="nil" w:sz="0" w:space="0"/>
          <w:left w:val="nil" w:sz="0" w:space="0"/>
          <w:bottom w:val="nil" w:sz="0" w:space="0"/>
          <w:right w:val="nil" w:sz="0" w:space="0"/>
          <w:between w:val="nil" w:sz="0" w:space="0"/>
        </w:pBdr>
        <w:shd w:val="clear" w:fill="auto"/>
        <w:spacing w:before="100" w:after="100" w:line="276" w:lineRule="auto"/>
        <w:ind w:left="720" w:right="0" w:hanging="720"/>
        <w:jc w:val="both"/>
        <w:rPr/>
      </w:pPr>
      <w:r w:rsidRPr="00000000" w:rsidDel="00000000" w:rsidR="00000000">
        <w:rPr>
          <w:rtl w:val="0"/>
        </w:rPr>
        <w:t xml:space="preserve">As part of Customer risk management, Compliance shall consider whether a Customer exit is required.  The circumstances when Compliance could recommend an exit might include one or more of the following:</w:t>
      </w:r>
    </w:p>
    <w:p w:rsidRPr="00000000" w:rsidR="00000000" w:rsidDel="00000000" w:rsidP="00000000" w:rsidRDefault="00000000" w14:paraId="0000026C">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When filing an external report (SAR/STR) is or likely to be warranted. </w:t>
      </w:r>
      <w:r w:rsidRPr="00000000" w:rsidDel="00000000" w:rsidR="00000000">
        <w:rPr>
          <w:rtl w:val="0"/>
        </w:rPr>
      </w:r>
    </w:p>
    <w:p w:rsidRPr="00000000" w:rsidR="00000000" w:rsidDel="00000000" w:rsidP="00000000" w:rsidRDefault="00000000" w14:paraId="0000026D">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When the Transaction Monitoring team identifies that the Customer has transacted with high-risk domains or sites.  This would depend on the amount of exposure and nature of the wallet, in addition to the holistic review of the client.  A determination for Customer exit will be made if the inherent risks associated with the account cannot be mitigated with other controls, or otherwise exceed Binance’s risk tolerance.</w:t>
      </w:r>
      <w:r w:rsidRPr="00000000" w:rsidDel="00000000" w:rsidR="00000000">
        <w:rPr>
          <w:rtl w:val="0"/>
        </w:rPr>
      </w:r>
    </w:p>
    <w:p w:rsidRPr="00000000" w:rsidR="00000000" w:rsidDel="00000000" w:rsidP="00000000" w:rsidRDefault="00000000" w14:paraId="0000026E">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When the CDD Onboarding team is unable to complete its CDD measures because the Customer refused or was unable or unwilling to provide the necessary information and documents.</w:t>
      </w:r>
      <w:r w:rsidRPr="00000000" w:rsidDel="00000000" w:rsidR="00000000">
        <w:rPr>
          <w:rtl w:val="0"/>
        </w:rPr>
      </w:r>
    </w:p>
    <w:p w:rsidRPr="00000000" w:rsidR="00000000" w:rsidDel="00000000" w:rsidP="00000000" w:rsidRDefault="00000000" w14:paraId="0000026F">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Where EDD measures applied do not substantially mitigate the risk and risk remains extreme, consideration must be given to either rejection of the Customer or Customer exit.  It is Binance’s policy to exit all Customers that are outside its risk appetite.</w:t>
      </w:r>
      <w:r w:rsidRPr="00000000" w:rsidDel="00000000" w:rsidR="00000000">
        <w:rPr>
          <w:rtl w:val="0"/>
        </w:rPr>
      </w:r>
    </w:p>
    <w:p w:rsidRPr="00000000" w:rsidR="00000000" w:rsidDel="00000000" w:rsidP="00000000" w:rsidRDefault="00000000" w14:paraId="00000270">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When there are reasonable doubts about the veracity or adequacy of the information provided during the Customer identification and verification process. </w:t>
      </w:r>
      <w:r w:rsidRPr="00000000" w:rsidDel="00000000" w:rsidR="00000000">
        <w:rPr>
          <w:rtl w:val="0"/>
        </w:rPr>
      </w:r>
    </w:p>
    <w:p w:rsidRPr="00000000" w:rsidR="00000000" w:rsidDel="00000000" w:rsidP="00000000" w:rsidRDefault="00000000" w14:paraId="00000271">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When there is significant adverse media against the Customer and or related parties, and which poses an intolerable reputational risk to the Group.</w:t>
      </w:r>
      <w:r w:rsidRPr="00000000" w:rsidDel="00000000" w:rsidR="00000000">
        <w:rPr>
          <w:rtl w:val="0"/>
        </w:rPr>
      </w:r>
    </w:p>
    <w:p w:rsidRPr="00000000" w:rsidR="00000000" w:rsidDel="00000000" w:rsidP="00000000" w:rsidRDefault="00000000" w14:paraId="00000272">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If an individual or entity poses an indirect exposure beyond our risk tolerance, or if the Customer is a Specially Designated National (SDN) with a zero balance. </w:t>
      </w:r>
      <w:r w:rsidRPr="00000000" w:rsidDel="00000000" w:rsidR="00000000">
        <w:rPr>
          <w:rtl w:val="0"/>
        </w:rPr>
      </w:r>
    </w:p>
    <w:p w:rsidRPr="00000000" w:rsidR="00000000" w:rsidDel="00000000" w:rsidP="00000000" w:rsidRDefault="00000000" w14:paraId="00000273">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Based on a risk-based approach, determine an exit if the Customer and their account activities are the subject of an LEA investigation or of interest to the LEA.</w:t>
      </w:r>
      <w:r w:rsidRPr="00000000" w:rsidDel="00000000" w:rsidR="00000000">
        <w:rPr>
          <w:rtl w:val="0"/>
        </w:rPr>
      </w:r>
    </w:p>
    <w:p w:rsidRPr="00000000" w:rsidR="00000000" w:rsidDel="00000000" w:rsidP="00000000" w:rsidRDefault="00000000" w14:paraId="00000274">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Where the Country Compliance Department becomes aware of a Customer relationship that is prohibited (as per Section 9 (as above)). </w:t>
      </w:r>
      <w:r w:rsidRPr="00000000" w:rsidDel="00000000" w:rsidR="00000000">
        <w:rPr>
          <w:rtl w:val="0"/>
        </w:rPr>
      </w:r>
    </w:p>
    <w:p w:rsidRPr="00000000" w:rsidR="00000000" w:rsidDel="00000000" w:rsidP="00000000" w:rsidRDefault="00000000" w14:paraId="00000275">
      <w:pPr>
        <w:keepNext w:val="0"/>
        <w:keepLines w:val="0"/>
        <w:pageBreakBefore w:val="0"/>
        <w:widowControl w:val="1"/>
        <w:numPr>
          <w:ilvl w:val="1"/>
          <w:numId w:val="7"/>
        </w:numPr>
        <w:pBdr>
          <w:top w:val="nil" w:sz="0" w:space="0"/>
          <w:left w:val="nil" w:sz="0" w:space="0"/>
          <w:bottom w:val="nil" w:sz="0" w:space="0"/>
          <w:right w:val="nil" w:sz="0" w:space="0"/>
          <w:between w:val="nil" w:sz="0" w:space="0"/>
        </w:pBdr>
        <w:shd w:val="clear" w:fill="auto"/>
        <w:spacing w:before="100" w:after="100" w:line="276" w:lineRule="auto"/>
        <w:ind w:left="720" w:right="0" w:hanging="720"/>
        <w:jc w:val="both"/>
        <w:rPr/>
      </w:pPr>
      <w:r w:rsidRPr="00000000" w:rsidDel="00000000" w:rsidR="00000000">
        <w:rPr>
          <w:rtl w:val="0"/>
        </w:rPr>
        <w:t xml:space="preserve">The CCO, ADGM MLROs and the Regional CO/MLRO shall have the authority to mandate Customer exits in accordance with applicable laws and regulatory requirements.</w:t>
      </w:r>
    </w:p>
    <w:p w:rsidRPr="00000000" w:rsidR="00000000" w:rsidDel="00000000" w:rsidP="00000000" w:rsidRDefault="00000000" w14:paraId="00000276">
      <w:pPr>
        <w:keepNext w:val="0"/>
        <w:keepLines w:val="0"/>
        <w:pageBreakBefore w:val="0"/>
        <w:widowControl w:val="1"/>
        <w:numPr>
          <w:ilvl w:val="1"/>
          <w:numId w:val="7"/>
        </w:numPr>
        <w:pBdr>
          <w:top w:val="nil" w:sz="0" w:space="0"/>
          <w:left w:val="nil" w:sz="0" w:space="0"/>
          <w:bottom w:val="nil" w:sz="0" w:space="0"/>
          <w:right w:val="nil" w:sz="0" w:space="0"/>
          <w:between w:val="nil" w:sz="0" w:space="0"/>
        </w:pBdr>
        <w:shd w:val="clear" w:fill="auto"/>
        <w:spacing w:before="100" w:after="100" w:line="276" w:lineRule="auto"/>
        <w:ind w:left="720" w:right="0" w:hanging="720"/>
        <w:jc w:val="both"/>
        <w:rPr/>
      </w:pPr>
      <w:r w:rsidRPr="00000000" w:rsidDel="00000000" w:rsidR="00000000">
        <w:rPr>
          <w:rtl w:val="0"/>
        </w:rPr>
        <w:t xml:space="preserve">Following any decision to exit, Compliance should determine whether related accounts are to be subjected to freeze orders, account closure or similar restrictions, and ensure any mandatory reporting obligations to competent authorities are met. </w:t>
      </w:r>
    </w:p>
    <w:p w:rsidRPr="00000000" w:rsidR="00000000" w:rsidDel="00000000" w:rsidP="00000000" w:rsidRDefault="00000000" w14:paraId="00000277">
      <w:pPr>
        <w:keepNext w:val="0"/>
        <w:keepLines w:val="0"/>
        <w:pageBreakBefore w:val="0"/>
        <w:widowControl w:val="1"/>
        <w:numPr>
          <w:ilvl w:val="1"/>
          <w:numId w:val="7"/>
        </w:numPr>
        <w:pBdr>
          <w:top w:val="nil" w:sz="0" w:space="0"/>
          <w:left w:val="nil" w:sz="0" w:space="0"/>
          <w:bottom w:val="nil" w:sz="0" w:space="0"/>
          <w:right w:val="nil" w:sz="0" w:space="0"/>
          <w:between w:val="nil" w:sz="0" w:space="0"/>
        </w:pBdr>
        <w:shd w:val="clear" w:fill="auto"/>
        <w:spacing w:before="100" w:after="100" w:line="276" w:lineRule="auto"/>
        <w:ind w:left="720" w:right="0" w:hanging="720"/>
        <w:jc w:val="both"/>
        <w:rPr/>
      </w:pPr>
      <w:r w:rsidRPr="00000000" w:rsidDel="00000000" w:rsidR="00000000">
        <w:rPr>
          <w:rtl w:val="0"/>
        </w:rPr>
        <w:t xml:space="preserve">All decisions to exit or to subject the Customer relationship or their accounts to restrictions shall be clearly documented and tracked in accordance with record-keeping requirements under applicable AML/CFT laws.</w:t>
      </w:r>
    </w:p>
    <w:p w:rsidRPr="00000000" w:rsidR="00000000" w:rsidDel="00000000" w:rsidP="00000000" w:rsidRDefault="00000000" w14:paraId="00000278">
      <w:pPr>
        <w:keepNext w:val="0"/>
        <w:keepLines w:val="0"/>
        <w:pageBreakBefore w:val="0"/>
        <w:widowControl w:val="1"/>
        <w:numPr>
          <w:ilvl w:val="1"/>
          <w:numId w:val="7"/>
        </w:numPr>
        <w:pBdr>
          <w:top w:val="nil" w:sz="0" w:space="0"/>
          <w:left w:val="nil" w:sz="0" w:space="0"/>
          <w:bottom w:val="nil" w:sz="0" w:space="0"/>
          <w:right w:val="nil" w:sz="0" w:space="0"/>
          <w:between w:val="nil" w:sz="0" w:space="0"/>
        </w:pBdr>
        <w:shd w:val="clear" w:fill="auto"/>
        <w:spacing w:before="100" w:after="100" w:line="276" w:lineRule="auto"/>
        <w:ind w:left="720" w:right="0" w:hanging="720"/>
        <w:jc w:val="both"/>
        <w:rPr/>
      </w:pPr>
      <w:r w:rsidRPr="00000000" w:rsidDel="00000000" w:rsidR="00000000">
        <w:rPr>
          <w:rtl w:val="0"/>
        </w:rPr>
        <w:t xml:space="preserve">Users will be allowed to appeal the decision of account closure through the Customer service channels unless prohibited by applicable law or regulatory directive.</w:t>
      </w:r>
    </w:p>
    <w:p w:rsidRPr="00000000" w:rsidR="00000000" w:rsidDel="00000000" w:rsidP="00000000" w:rsidRDefault="00000000" w14:paraId="00000279">
      <w:pPr>
        <w:keepNext w:val="0"/>
        <w:keepLines w:val="0"/>
        <w:pageBreakBefore w:val="0"/>
        <w:widowControl w:val="1"/>
        <w:numPr>
          <w:ilvl w:val="1"/>
          <w:numId w:val="7"/>
        </w:numPr>
        <w:pBdr>
          <w:top w:val="nil" w:sz="0" w:space="0"/>
          <w:left w:val="nil" w:sz="0" w:space="0"/>
          <w:bottom w:val="nil" w:sz="0" w:space="0"/>
          <w:right w:val="nil" w:sz="0" w:space="0"/>
          <w:between w:val="nil" w:sz="0" w:space="0"/>
        </w:pBdr>
        <w:shd w:val="clear" w:fill="auto"/>
        <w:spacing w:before="100" w:after="100" w:line="276" w:lineRule="auto"/>
        <w:ind w:left="720" w:right="0" w:hanging="720"/>
        <w:jc w:val="both"/>
        <w:rPr/>
      </w:pPr>
      <w:r w:rsidRPr="00000000" w:rsidDel="00000000" w:rsidR="00000000">
        <w:rPr>
          <w:rtl w:val="0"/>
        </w:rPr>
        <w:t xml:space="preserve">The Group has established an Offboarding Procedure that outlines the process for the Customer exit and closure of their accounts.</w:t>
      </w:r>
    </w:p>
    <w:p w:rsidRPr="00000000" w:rsidR="00000000" w:rsidDel="00000000" w:rsidP="00000000" w:rsidRDefault="00000000" w14:paraId="0000027A">
      <w:pPr>
        <w:pStyle w:val="Heading1"/>
        <w:numPr>
          <w:ilvl w:val="0"/>
          <w:numId w:val="7"/>
        </w:numPr>
        <w:spacing w:before="400" w:after="200" w:lineRule="auto"/>
        <w:ind w:left="720" w:hanging="720"/>
        <w:rPr/>
      </w:pPr>
      <w:bookmarkStart w:name="_heading=h.8lcwlldxud8p" w:colFirst="0" w:colLast="0" w:id="79"/>
      <w:bookmarkEnd w:id="79"/>
      <w:r w:rsidRPr="00000000" w:rsidDel="00000000" w:rsidR="00000000">
        <w:rPr>
          <w:sz w:val="28"/>
          <w:szCs w:val="28"/>
          <w:rtl w:val="0"/>
        </w:rPr>
        <w:t xml:space="preserve">TRAVEL RULE</w:t>
      </w:r>
      <w:r w:rsidRPr="00000000" w:rsidDel="00000000" w:rsidR="00000000">
        <w:rPr>
          <w:rtl w:val="0"/>
        </w:rPr>
      </w:r>
    </w:p>
    <w:p w:rsidRPr="00000000" w:rsidR="00000000" w:rsidDel="00000000" w:rsidP="00000000" w:rsidRDefault="00000000" w14:paraId="0000027B">
      <w:pPr>
        <w:keepNext w:val="0"/>
        <w:keepLines w:val="0"/>
        <w:pageBreakBefore w:val="0"/>
        <w:widowControl w:val="1"/>
        <w:numPr>
          <w:ilvl w:val="1"/>
          <w:numId w:val="7"/>
        </w:numPr>
        <w:pBdr>
          <w:top w:val="nil" w:sz="0" w:space="0"/>
          <w:left w:val="nil" w:sz="0" w:space="0"/>
          <w:bottom w:val="nil" w:sz="0" w:space="0"/>
          <w:right w:val="nil" w:sz="0" w:space="0"/>
          <w:between w:val="nil" w:sz="0" w:space="0"/>
        </w:pBdr>
        <w:shd w:val="clear" w:fill="auto"/>
        <w:spacing w:before="100" w:after="100" w:line="276" w:lineRule="auto"/>
        <w:ind w:left="720" w:right="0" w:hanging="720"/>
        <w:jc w:val="both"/>
        <w:rPr/>
      </w:pPr>
      <w:r w:rsidRPr="00000000" w:rsidDel="00000000" w:rsidR="00000000">
        <w:rPr>
          <w:rtl w:val="0"/>
        </w:rPr>
        <w:t xml:space="preserve">The Group has designed a solution to comply with the fund transfer record keeping requirements pursuant to FATF Recommendation 16 (Wire Transfers or commonly known as the “</w:t>
      </w:r>
      <w:r w:rsidRPr="00000000" w:rsidDel="00000000" w:rsidR="00000000">
        <w:rPr>
          <w:b w:val="1"/>
          <w:bCs w:val="1"/>
          <w:rtl w:val="0"/>
        </w:rPr>
        <w:t xml:space="preserve">Travel Rule</w:t>
      </w:r>
      <w:r w:rsidRPr="00000000" w:rsidDel="00000000" w:rsidR="00000000">
        <w:rPr>
          <w:rtl w:val="0"/>
        </w:rPr>
        <w:t xml:space="preserve">”) and the related local/regional requirements.  The Travel Rule and Global Travel Rule (GTR) “Messaging Platform” requires “partner” VASPs to record, retain, and pass on certain information about the originator and/or the beneficiary.  Binance must also ensure it complies with the Travel Rule requirements under ADGM AML Rules and other applicable local laws in the jurisdictions where the Group operates.</w:t>
      </w:r>
    </w:p>
    <w:p w:rsidRPr="00000000" w:rsidR="00000000" w:rsidDel="00000000" w:rsidP="00000000" w:rsidRDefault="00000000" w14:paraId="0000027C">
      <w:pPr>
        <w:keepNext w:val="0"/>
        <w:keepLines w:val="0"/>
        <w:pageBreakBefore w:val="0"/>
        <w:widowControl w:val="1"/>
        <w:numPr>
          <w:ilvl w:val="1"/>
          <w:numId w:val="7"/>
        </w:numPr>
        <w:pBdr>
          <w:top w:val="nil" w:sz="0" w:space="0"/>
          <w:left w:val="nil" w:sz="0" w:space="0"/>
          <w:bottom w:val="nil" w:sz="0" w:space="0"/>
          <w:right w:val="nil" w:sz="0" w:space="0"/>
          <w:between w:val="nil" w:sz="0" w:space="0"/>
        </w:pBdr>
        <w:shd w:val="clear" w:fill="auto"/>
        <w:spacing w:before="100" w:after="100" w:line="276" w:lineRule="auto"/>
        <w:ind w:left="720" w:right="0" w:hanging="720"/>
        <w:jc w:val="both"/>
        <w:rPr>
          <w:u w:val="none"/>
        </w:rPr>
      </w:pPr>
      <w:r w:rsidRPr="00000000" w:rsidDel="00000000" w:rsidR="00000000">
        <w:rPr>
          <w:rtl w:val="0"/>
        </w:rPr>
        <w:t xml:space="preserve">The Group has established a Travel Rule Policy that sets out the </w:t>
      </w:r>
      <w:r w:rsidRPr="00000000" w:rsidDel="00000000" w:rsidR="00000000">
        <w:rPr>
          <w:rtl w:val="0"/>
        </w:rPr>
        <w:t xml:space="preserve">baseline</w:t>
      </w:r>
      <w:r w:rsidRPr="00000000" w:rsidDel="00000000" w:rsidR="00000000">
        <w:rPr>
          <w:rtl w:val="0"/>
        </w:rPr>
        <w:t xml:space="preserve">, common standards. All Binance entities should apply the global baseline and any additional requirements </w:t>
      </w:r>
      <w:r w:rsidRPr="00000000" w:rsidDel="00000000" w:rsidR="00000000">
        <w:rPr>
          <w:rtl w:val="0"/>
        </w:rPr>
        <w:t xml:space="preserve">in accordance with their respective local Travel Rule obligations. Recognising industry-wide operational challenges that continue to affect Travel Rule implementation globally, the Group may adopt a phased-implementation approach that reflects relevant regulatory requirements, industry developments and practical implementation considerations. The ADGM entities have aligned with local regulator, FRSA, and have committed to a phased-implementation approach. The ADGM entities’ Travel Rule approach is documented under ADGM’s UAE country addendum and ADGM’s Travel Rule Procedures. </w:t>
      </w:r>
    </w:p>
    <w:p w:rsidRPr="00000000" w:rsidR="00000000" w:rsidDel="00000000" w:rsidP="00000000" w:rsidRDefault="00000000" w14:paraId="0000027D">
      <w:pPr>
        <w:keepNext w:val="0"/>
        <w:keepLines w:val="0"/>
        <w:pageBreakBefore w:val="0"/>
        <w:widowControl w:val="1"/>
        <w:numPr>
          <w:ilvl w:val="1"/>
          <w:numId w:val="7"/>
        </w:numPr>
        <w:pBdr>
          <w:top w:val="nil" w:sz="0" w:space="0"/>
          <w:left w:val="nil" w:sz="0" w:space="0"/>
          <w:bottom w:val="nil" w:sz="0" w:space="0"/>
          <w:right w:val="nil" w:sz="0" w:space="0"/>
          <w:between w:val="nil" w:sz="0" w:space="0"/>
        </w:pBdr>
        <w:shd w:val="clear" w:fill="auto"/>
        <w:spacing w:before="100" w:after="100" w:line="276" w:lineRule="auto"/>
        <w:ind w:left="720" w:right="0" w:hanging="720"/>
        <w:jc w:val="both"/>
        <w:rPr>
          <w:u w:val="none"/>
        </w:rPr>
      </w:pPr>
      <w:r w:rsidRPr="00000000" w:rsidDel="00000000" w:rsidR="00000000">
        <w:rPr>
          <w:rtl w:val="0"/>
        </w:rPr>
        <w:t xml:space="preserve">For non-ADGM local licensed/registered entities, the Country MLROs are responsible for assessing and monitoring jurisdiction-specific Travel Rule requirements to ensure that local processes align with the Group’s baseline standards and local requirements. Local requirements should be documented in a country addendum.</w:t>
      </w:r>
      <w:r w:rsidRPr="00000000" w:rsidDel="00000000" w:rsidR="00000000">
        <w:rPr>
          <w:rtl w:val="0"/>
        </w:rPr>
      </w:r>
    </w:p>
    <w:p w:rsidRPr="00000000" w:rsidR="00000000" w:rsidDel="00000000" w:rsidP="00000000" w:rsidRDefault="00000000" w14:paraId="0000027E">
      <w:pPr>
        <w:pStyle w:val="Heading1"/>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400" w:after="200" w:line="360" w:lineRule="auto"/>
        <w:ind w:right="0"/>
        <w:jc w:val="both"/>
        <w:rPr>
          <w:b w:val="1"/>
          <w:bCs w:val="1"/>
          <w:sz w:val="28"/>
          <w:szCs w:val="28"/>
          <w:u w:val="none"/>
        </w:rPr>
      </w:pPr>
      <w:bookmarkStart w:name="_heading=h.hdfhn05edszq" w:colFirst="0" w:colLast="0" w:id="80"/>
      <w:bookmarkEnd w:id="80"/>
      <w:r w:rsidRPr="00000000" w:rsidDel="00000000" w:rsidR="00000000">
        <w:rPr>
          <w:sz w:val="28"/>
          <w:szCs w:val="28"/>
          <w:rtl w:val="0"/>
        </w:rPr>
        <w:t xml:space="preserve">TARGETED FINANCIAL SANCTIONS (“TFS”)</w:t>
      </w:r>
      <w:r w:rsidRPr="00000000" w:rsidDel="00000000" w:rsidR="00000000">
        <w:rPr>
          <w:rtl w:val="0"/>
        </w:rPr>
      </w:r>
    </w:p>
    <w:p w:rsidRPr="00000000" w:rsidR="00000000" w:rsidDel="00000000" w:rsidP="00000000" w:rsidRDefault="00000000" w14:paraId="0000027F">
      <w:pPr>
        <w:spacing w:before="100" w:after="100" w:lineRule="auto"/>
        <w:ind w:left="720" w:firstLine="0"/>
        <w:rPr>
          <w:b w:val="1"/>
          <w:bCs w:val="1"/>
        </w:rPr>
      </w:pPr>
      <w:r w:rsidRPr="00000000" w:rsidDel="00000000" w:rsidR="00000000">
        <w:rPr>
          <w:b w:val="1"/>
          <w:bCs w:val="1"/>
          <w:sz w:val="24"/>
          <w:szCs w:val="24"/>
          <w:rtl w:val="0"/>
        </w:rPr>
        <w:t xml:space="preserve">Background</w:t>
      </w:r>
      <w:r w:rsidRPr="00000000" w:rsidDel="00000000" w:rsidR="00000000">
        <w:rPr>
          <w:rtl w:val="0"/>
        </w:rPr>
      </w:r>
    </w:p>
    <w:p w:rsidRPr="00000000" w:rsidR="00000000" w:rsidDel="00000000" w:rsidP="00000000" w:rsidRDefault="00000000" w14:paraId="00000280">
      <w:pPr>
        <w:numPr>
          <w:ilvl w:val="1"/>
          <w:numId w:val="7"/>
        </w:numPr>
        <w:spacing w:before="100" w:after="100" w:line="276" w:lineRule="auto"/>
        <w:ind w:left="720"/>
        <w:rPr/>
      </w:pPr>
      <w:r w:rsidRPr="00000000" w:rsidDel="00000000" w:rsidR="00000000">
        <w:rPr>
          <w:rtl w:val="0"/>
        </w:rPr>
        <w:t xml:space="preserve">Binance’s ADGM entities are required to comply with applicable sanctions laws and regulations of the UAE and the corresponding provisions of the ADGM Rulebook and the EOCN’s Guidance on TFS.</w:t>
      </w:r>
    </w:p>
    <w:p w:rsidRPr="00000000" w:rsidR="00000000" w:rsidDel="00000000" w:rsidP="00000000" w:rsidRDefault="00000000" w14:paraId="00000281">
      <w:pPr>
        <w:numPr>
          <w:ilvl w:val="1"/>
          <w:numId w:val="7"/>
        </w:numPr>
        <w:spacing w:before="100" w:after="100" w:line="276" w:lineRule="auto"/>
        <w:ind w:left="720"/>
        <w:rPr>
          <w:u w:val="none"/>
        </w:rPr>
      </w:pPr>
      <w:r w:rsidRPr="00000000" w:rsidDel="00000000" w:rsidR="00000000">
        <w:rPr>
          <w:rtl w:val="0"/>
        </w:rPr>
        <w:t xml:space="preserve">Part 11 of the ADGM Rulebook requires the ADGM entities to establish and </w:t>
      </w:r>
      <w:r w:rsidRPr="00000000" w:rsidDel="00000000" w:rsidR="00000000">
        <w:rPr>
          <w:rtl w:val="0"/>
        </w:rPr>
        <w:t xml:space="preserve">maintain effective systems and controls to ensure that on an ongoing basis they are properly informed as to, and takes reasonable measures to comply</w:t>
      </w:r>
      <w:r w:rsidRPr="00000000" w:rsidDel="00000000" w:rsidR="00000000">
        <w:rPr>
          <w:rtl w:val="0"/>
        </w:rPr>
        <w:t xml:space="preserve"> with, sanctions applicable to the ADGM entities under applicable legislation in ADGM or any other jurisdiction.</w:t>
      </w:r>
      <w:r w:rsidRPr="00000000" w:rsidDel="00000000" w:rsidR="00000000">
        <w:rPr>
          <w:vertAlign w:val="superscript"/>
        </w:rPr>
        <w:footnoteReference w:customMarkFollows="0" w:id="5"/>
      </w:r>
      <w:r w:rsidRPr="00000000" w:rsidDel="00000000" w:rsidR="00000000">
        <w:rPr>
          <w:rtl w:val="0"/>
        </w:rPr>
        <w:t xml:space="preserve"> </w:t>
      </w:r>
    </w:p>
    <w:p w:rsidRPr="00000000" w:rsidR="00000000" w:rsidDel="00000000" w:rsidP="00000000" w:rsidRDefault="00000000" w14:paraId="00000282">
      <w:pPr>
        <w:numPr>
          <w:ilvl w:val="1"/>
          <w:numId w:val="7"/>
        </w:numPr>
        <w:spacing w:before="100" w:after="100" w:line="276" w:lineRule="auto"/>
        <w:ind w:left="720"/>
        <w:rPr>
          <w:u w:val="none"/>
        </w:rPr>
      </w:pPr>
      <w:r w:rsidRPr="00000000" w:rsidDel="00000000" w:rsidR="00000000">
        <w:rPr>
          <w:rtl w:val="0"/>
        </w:rPr>
        <w:t xml:space="preserve">The BGSP defines the minimum control requirements that are designed to ensure Binance conducts business in accordance with applicable sanctions laws, regulations and restrictions in the jurisdictions where it is registered, licensed or operates. In addition to the BGSP, the ADGM entities must be aware of and ensure compliance with the following UAE and ADGM requirements:</w:t>
      </w:r>
      <w:r w:rsidRPr="00000000" w:rsidDel="00000000" w:rsidR="00000000">
        <w:rPr>
          <w:rtl w:val="0"/>
        </w:rPr>
        <w:t xml:space="preserve"> </w:t>
      </w:r>
    </w:p>
    <w:p w:rsidRPr="00000000" w:rsidR="00000000" w:rsidDel="00000000" w:rsidP="00000000" w:rsidRDefault="00000000" w14:paraId="00000283">
      <w:pPr>
        <w:numPr>
          <w:ilvl w:val="1"/>
          <w:numId w:val="7"/>
        </w:numPr>
        <w:spacing w:before="200" w:after="100" w:line="360" w:lineRule="auto"/>
        <w:ind w:left="720"/>
        <w:rPr>
          <w:b w:val="1"/>
          <w:bCs w:val="1"/>
        </w:rPr>
      </w:pPr>
      <w:r w:rsidRPr="00000000" w:rsidDel="00000000" w:rsidR="00000000">
        <w:rPr>
          <w:b w:val="1"/>
          <w:bCs w:val="1"/>
          <w:sz w:val="24"/>
          <w:szCs w:val="24"/>
          <w:rtl w:val="0"/>
        </w:rPr>
        <w:t xml:space="preserve">TFS Lists</w:t>
      </w:r>
      <w:r w:rsidRPr="00000000" w:rsidDel="00000000" w:rsidR="00000000">
        <w:rPr>
          <w:rtl w:val="0"/>
        </w:rPr>
      </w:r>
    </w:p>
    <w:p w:rsidRPr="00000000" w:rsidR="00000000" w:rsidDel="00000000" w:rsidP="00000000" w:rsidRDefault="00000000" w14:paraId="00000284">
      <w:pPr>
        <w:numPr>
          <w:ilvl w:val="2"/>
          <w:numId w:val="7"/>
        </w:numPr>
        <w:spacing w:before="100" w:after="100" w:line="276" w:lineRule="auto"/>
        <w:ind w:left="720"/>
        <w:rPr>
          <w:b w:val="1"/>
          <w:bCs w:val="1"/>
          <w:sz w:val="24"/>
          <w:szCs w:val="24"/>
        </w:rPr>
      </w:pPr>
      <w:r w:rsidRPr="00000000" w:rsidDel="00000000" w:rsidR="00000000">
        <w:rPr>
          <w:rtl w:val="0"/>
        </w:rPr>
        <w:t xml:space="preserve">The UAE, as a member of the UN, is committed to implementing UN Security Council Resolutions (UNSCRs), including  those related to the UN’s sanctions regimes. Consequently, through Cabinet Decision  No. 74 of 2020, the UAE implements relevant UNSCRs on the suppression and  combating of terrorism, terrorism financing and proliferation financing. The UAE also publishes a UAE Local Terrorist List in accordance with UNSCR 1373 (2001),  which calls for UN Member States to publish their own national terrorist lists. </w:t>
      </w:r>
    </w:p>
    <w:p w:rsidRPr="00000000" w:rsidR="00000000" w:rsidDel="00000000" w:rsidP="00000000" w:rsidRDefault="00000000" w14:paraId="00000285">
      <w:pPr>
        <w:numPr>
          <w:ilvl w:val="2"/>
          <w:numId w:val="7"/>
        </w:numPr>
        <w:spacing w:before="100" w:after="100" w:line="276" w:lineRule="auto"/>
        <w:ind w:left="720"/>
        <w:rPr>
          <w:b w:val="1"/>
          <w:bCs w:val="1"/>
          <w:sz w:val="24"/>
          <w:szCs w:val="24"/>
        </w:rPr>
      </w:pPr>
      <w:r w:rsidRPr="00000000" w:rsidDel="00000000" w:rsidR="00000000">
        <w:rPr>
          <w:rtl w:val="0"/>
        </w:rPr>
        <w:t xml:space="preserve">TFS under UAE legislation apply to individuals, entities, and groups that are listed on the UAE Local Terrorist List, pursuant to a UAE Cabinet  Decision, or the UNSC Consolidated List, pursuant to a decision by the relevant UNSC Sanctions Committee (collectively “TFS Lists”).</w:t>
      </w:r>
    </w:p>
    <w:p w:rsidRPr="00000000" w:rsidR="00000000" w:rsidDel="00000000" w:rsidP="00000000" w:rsidRDefault="00000000" w14:paraId="00000286">
      <w:pPr>
        <w:keepNext w:val="0"/>
        <w:keepLines w:val="0"/>
        <w:pageBreakBefore w:val="0"/>
        <w:widowControl w:val="1"/>
        <w:numPr>
          <w:ilvl w:val="2"/>
          <w:numId w:val="7"/>
        </w:numPr>
        <w:pBdr>
          <w:top w:val="nil" w:sz="0" w:space="0"/>
          <w:left w:val="nil" w:sz="0" w:space="0"/>
          <w:bottom w:val="nil" w:sz="0" w:space="0"/>
          <w:right w:val="nil" w:sz="0" w:space="0"/>
          <w:between w:val="nil" w:sz="0" w:space="0"/>
        </w:pBdr>
        <w:shd w:val="clear" w:fill="auto"/>
        <w:spacing w:before="100" w:after="100" w:line="276" w:lineRule="auto"/>
        <w:ind w:left="720" w:right="0" w:hanging="720"/>
        <w:jc w:val="both"/>
        <w:rPr>
          <w:b w:val="1"/>
          <w:bCs w:val="1"/>
          <w:sz w:val="24"/>
          <w:szCs w:val="24"/>
        </w:rPr>
      </w:pPr>
      <w:r w:rsidRPr="00000000" w:rsidDel="00000000" w:rsidR="00000000">
        <w:rPr>
          <w:rtl w:val="0"/>
        </w:rPr>
        <w:t xml:space="preserve">The ADGM entities utilize Binance’s group-wide name screening solutions to identify persons subject to TFS. These solutions incorporate data provided by approved vendors to ensure that screening is conducted at the time of onboarding and on an ongoing basis against updates to all relevant lists, including the TFS lists. </w:t>
      </w:r>
      <w:r w:rsidRPr="00000000" w:rsidDel="00000000" w:rsidR="00000000">
        <w:rPr>
          <w:rtl w:val="0"/>
        </w:rPr>
        <w:t xml:space="preserve">Additionally, the MLROs of the ADGM entities is subscribed to email notifications published by the EOCN regarding TFS, including relevant list updates, for the purpose of remaining properly informed as to sanctions applicable to the ADGM entities under legislation applicable in ADGM (</w:t>
      </w:r>
      <w:hyperlink r:id="rId14">
        <w:r w:rsidRPr="00000000" w:rsidDel="00000000" w:rsidR="00000000">
          <w:rPr>
            <w:color w:val="1155cc"/>
            <w:u w:val="single"/>
            <w:rtl w:val="0"/>
          </w:rPr>
          <w:t xml:space="preserve">https://www.uaeiec.gov.ae/en-us/un-page</w:t>
        </w:r>
      </w:hyperlink>
      <w:r w:rsidRPr="00000000" w:rsidDel="00000000" w:rsidR="00000000">
        <w:rPr>
          <w:rtl w:val="0"/>
        </w:rPr>
        <w:t xml:space="preserve">).</w:t>
      </w:r>
      <w:r w:rsidRPr="00000000" w:rsidDel="00000000" w:rsidR="00000000">
        <w:rPr>
          <w:rtl w:val="0"/>
        </w:rPr>
        <w:t xml:space="preserve"> </w:t>
      </w:r>
    </w:p>
    <w:p w:rsidRPr="00000000" w:rsidR="00000000" w:rsidDel="00000000" w:rsidP="00000000" w:rsidRDefault="00000000" w14:paraId="00000287">
      <w:pPr>
        <w:keepNext w:val="0"/>
        <w:keepLines w:val="0"/>
        <w:pageBreakBefore w:val="0"/>
        <w:widowControl w:val="1"/>
        <w:numPr>
          <w:ilvl w:val="2"/>
          <w:numId w:val="7"/>
        </w:numPr>
        <w:pBdr>
          <w:top w:val="nil" w:sz="0" w:space="0"/>
          <w:left w:val="nil" w:sz="0" w:space="0"/>
          <w:bottom w:val="nil" w:sz="0" w:space="0"/>
          <w:right w:val="nil" w:sz="0" w:space="0"/>
          <w:between w:val="nil" w:sz="0" w:space="0"/>
        </w:pBdr>
        <w:shd w:val="clear" w:fill="auto"/>
        <w:spacing w:before="100" w:after="100" w:line="276" w:lineRule="auto"/>
        <w:ind w:left="720" w:right="0" w:hanging="720"/>
        <w:jc w:val="both"/>
        <w:rPr>
          <w:b w:val="1"/>
          <w:bCs w:val="1"/>
          <w:sz w:val="24"/>
          <w:szCs w:val="24"/>
        </w:rPr>
      </w:pPr>
      <w:r w:rsidRPr="00000000" w:rsidDel="00000000" w:rsidR="00000000">
        <w:rPr>
          <w:rtl w:val="0"/>
        </w:rPr>
        <w:t xml:space="preserve">Screening against TFS lists must be undertaken in the following circumstances:</w:t>
      </w:r>
    </w:p>
    <w:p w:rsidRPr="00000000" w:rsidR="00000000" w:rsidDel="00000000" w:rsidP="00000000" w:rsidRDefault="00000000" w14:paraId="00000288">
      <w:pPr>
        <w:numPr>
          <w:ilvl w:val="3"/>
          <w:numId w:val="7"/>
        </w:numPr>
        <w:spacing w:before="100" w:after="100" w:line="276" w:lineRule="auto"/>
        <w:ind w:left="1440" w:hanging="720"/>
        <w:rPr>
          <w:sz w:val="24"/>
          <w:szCs w:val="24"/>
        </w:rPr>
      </w:pPr>
      <w:r w:rsidRPr="00000000" w:rsidDel="00000000" w:rsidR="00000000">
        <w:rPr>
          <w:rtl w:val="0"/>
        </w:rPr>
        <w:t xml:space="preserve">Upon any updates to the TFS lists, screening must be conducted immediately to ensure compliance with implementing freezing measures without delay (within 24hours, including weekends and public holidays).</w:t>
      </w:r>
    </w:p>
    <w:p w:rsidRPr="00000000" w:rsidR="00000000" w:rsidDel="00000000" w:rsidP="00000000" w:rsidRDefault="00000000" w14:paraId="00000289">
      <w:pPr>
        <w:numPr>
          <w:ilvl w:val="3"/>
          <w:numId w:val="7"/>
        </w:numPr>
        <w:spacing w:before="100" w:after="100" w:line="276" w:lineRule="auto"/>
        <w:ind w:left="1440" w:hanging="720"/>
        <w:rPr>
          <w:sz w:val="24"/>
          <w:szCs w:val="24"/>
        </w:rPr>
      </w:pPr>
      <w:r w:rsidRPr="00000000" w:rsidDel="00000000" w:rsidR="00000000">
        <w:rPr>
          <w:rtl w:val="0"/>
        </w:rPr>
        <w:t xml:space="preserve">Daily (including weekends and public holidays) screening of customer databases against the TFS lists to prevent access or use of funds or other assets that may be subject to freezing measures.</w:t>
      </w:r>
    </w:p>
    <w:p w:rsidRPr="00000000" w:rsidR="00000000" w:rsidDel="00000000" w:rsidP="00000000" w:rsidRDefault="00000000" w14:paraId="0000028A">
      <w:pPr>
        <w:keepNext w:val="0"/>
        <w:keepLines w:val="0"/>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00" w:line="360" w:lineRule="auto"/>
        <w:ind w:left="720" w:right="0"/>
        <w:jc w:val="both"/>
        <w:rPr>
          <w:b w:val="1"/>
          <w:bCs w:val="1"/>
        </w:rPr>
      </w:pPr>
      <w:r w:rsidRPr="00000000" w:rsidDel="00000000" w:rsidR="00000000">
        <w:rPr>
          <w:b w:val="1"/>
          <w:bCs w:val="1"/>
          <w:sz w:val="24"/>
          <w:szCs w:val="24"/>
          <w:rtl w:val="0"/>
        </w:rPr>
        <w:t xml:space="preserve">Freezing Funds and Assets</w:t>
      </w:r>
      <w:r w:rsidRPr="00000000" w:rsidDel="00000000" w:rsidR="00000000">
        <w:rPr>
          <w:rtl w:val="0"/>
        </w:rPr>
      </w:r>
    </w:p>
    <w:p w:rsidRPr="00000000" w:rsidR="00000000" w:rsidDel="00000000" w:rsidP="00000000" w:rsidRDefault="00000000" w14:paraId="0000028B">
      <w:pPr>
        <w:keepNext w:val="0"/>
        <w:keepLines w:val="0"/>
        <w:pageBreakBefore w:val="0"/>
        <w:widowControl w:val="1"/>
        <w:numPr>
          <w:ilvl w:val="2"/>
          <w:numId w:val="7"/>
        </w:numPr>
        <w:pBdr>
          <w:top w:val="nil" w:sz="0" w:space="0"/>
          <w:left w:val="nil" w:sz="0" w:space="0"/>
          <w:bottom w:val="nil" w:sz="0" w:space="0"/>
          <w:right w:val="nil" w:sz="0" w:space="0"/>
          <w:between w:val="nil" w:sz="0" w:space="0"/>
        </w:pBdr>
        <w:shd w:val="clear" w:fill="auto"/>
        <w:spacing w:before="100" w:after="100" w:line="276" w:lineRule="auto"/>
        <w:ind w:left="720" w:right="0" w:hanging="720"/>
        <w:jc w:val="both"/>
        <w:rPr>
          <w:b w:val="1"/>
          <w:bCs w:val="1"/>
          <w:sz w:val="24"/>
          <w:szCs w:val="24"/>
        </w:rPr>
      </w:pPr>
      <w:r w:rsidRPr="00000000" w:rsidDel="00000000" w:rsidR="00000000">
        <w:rPr>
          <w:rtl w:val="0"/>
        </w:rPr>
        <w:t xml:space="preserve">ADGM entities are required to freeze without delay any funds or other assets of persons subject to TFS of the UN and the UAE. Freezing refers to the prohibition against the transfer, conversion, disposition, or movement of funds or other assets that are owned or controlled by designated individuals, entities, or groups in the TFS lists. Freezing must be done immediately (within 24 hours, including the weekends and the public holidays) upon designation. It includes:</w:t>
      </w:r>
    </w:p>
    <w:p w:rsidRPr="00000000" w:rsidR="00000000" w:rsidDel="00000000" w:rsidP="00000000" w:rsidRDefault="00000000" w14:paraId="0000028C">
      <w:pPr>
        <w:numPr>
          <w:ilvl w:val="3"/>
          <w:numId w:val="7"/>
        </w:numPr>
        <w:spacing w:before="100" w:after="100" w:line="276" w:lineRule="auto"/>
        <w:ind w:left="1440" w:hanging="720"/>
        <w:rPr/>
      </w:pPr>
      <w:r w:rsidRPr="00000000" w:rsidDel="00000000" w:rsidR="00000000">
        <w:rPr>
          <w:rtl w:val="0"/>
        </w:rPr>
        <w:t xml:space="preserve">The freezing of funds and other financial assets and economic resources, and preventing their use, alteration, movement, transfer, or access.</w:t>
      </w:r>
    </w:p>
    <w:p w:rsidRPr="00000000" w:rsidR="00000000" w:rsidDel="00000000" w:rsidP="00000000" w:rsidRDefault="00000000" w14:paraId="0000028D">
      <w:pPr>
        <w:numPr>
          <w:ilvl w:val="3"/>
          <w:numId w:val="7"/>
        </w:numPr>
        <w:spacing w:before="100" w:after="100" w:line="276" w:lineRule="auto"/>
        <w:ind w:left="1440" w:hanging="720"/>
        <w:rPr/>
      </w:pPr>
      <w:r w:rsidRPr="00000000" w:rsidDel="00000000" w:rsidR="00000000">
        <w:rPr>
          <w:rtl w:val="0"/>
        </w:rPr>
        <w:t xml:space="preserve">The freezing of economic resources also includes preventing their use to obtain funds or other assets or services in any way, including, but not limited to, by selling or mortgaging them. </w:t>
      </w:r>
    </w:p>
    <w:p w:rsidRPr="00000000" w:rsidR="00000000" w:rsidDel="00000000" w:rsidP="00000000" w:rsidRDefault="00000000" w14:paraId="0000028E">
      <w:pPr>
        <w:numPr>
          <w:ilvl w:val="2"/>
          <w:numId w:val="7"/>
        </w:numPr>
        <w:spacing w:before="100" w:after="100" w:line="276" w:lineRule="auto"/>
        <w:ind w:left="720"/>
      </w:pPr>
      <w:r w:rsidRPr="00000000" w:rsidDel="00000000" w:rsidR="00000000">
        <w:rPr>
          <w:rtl w:val="0"/>
        </w:rPr>
        <w:t xml:space="preserve">The term “funds or other assets” means: any assets, including, but not limited to,  financial assets, economic resources (including oil and other natural resources),  property of every kind, whether tangible or intangible, movable or immovable, however  acquired, and legal documents or instruments in any form, including electronic or  digital, evidencing title to, or interest in, such funds or other assets, including, but not  limited to, bank credits, travellers cheques, bank cheques, money orders, shares,  securities, bonds, drafts, or letters of credit, and any interest, dividends or other income  on or value accruing from or generated by such funds or other assets, and any other  assets which potentially may be used to obtain funds, goods or services. </w:t>
      </w:r>
    </w:p>
    <w:p w:rsidRPr="00000000" w:rsidR="00000000" w:rsidDel="00000000" w:rsidP="00000000" w:rsidRDefault="00000000" w14:paraId="0000028F">
      <w:pPr>
        <w:numPr>
          <w:ilvl w:val="2"/>
          <w:numId w:val="7"/>
        </w:numPr>
        <w:spacing w:before="100" w:after="100" w:line="276" w:lineRule="auto"/>
        <w:ind w:left="720"/>
        <w:rPr>
          <w:u w:val="none"/>
        </w:rPr>
      </w:pPr>
      <w:r w:rsidRPr="00000000" w:rsidDel="00000000" w:rsidR="00000000">
        <w:rPr>
          <w:rtl w:val="0"/>
        </w:rPr>
        <w:t xml:space="preserve">The ADGM entities are also obligated to apply freezing measures on entities which are majority owned (more than 50%) by designated individuals or entities. The ADGM entities must also apply freezing measures in cases in which a person subject to TFS holds a minority interest, if there is evidence that the person exerts control over the legal entity (despite owning a minority interest). The criteria to be taken into account when assessing whether a legal entity is mainly controlled by another person, alone or pursuant to an agreement with another shareholder or other third party, could be any of the following:</w:t>
      </w:r>
    </w:p>
    <w:p w:rsidRPr="00000000" w:rsidR="00000000" w:rsidDel="00000000" w:rsidP="00000000" w:rsidRDefault="00000000" w14:paraId="00000290">
      <w:pPr>
        <w:numPr>
          <w:ilvl w:val="3"/>
          <w:numId w:val="7"/>
        </w:numPr>
        <w:spacing w:before="100" w:after="100" w:line="276" w:lineRule="auto"/>
        <w:ind w:left="1440" w:hanging="720"/>
        <w:rPr>
          <w:u w:val="none"/>
        </w:rPr>
      </w:pPr>
      <w:r w:rsidRPr="00000000" w:rsidDel="00000000" w:rsidR="00000000">
        <w:rPr>
          <w:rtl w:val="0"/>
        </w:rPr>
        <w:t xml:space="preserve">having the right to appoint or remove a majority of the members of the administrative or management body of such legal person or arrangement;</w:t>
      </w:r>
    </w:p>
    <w:p w:rsidRPr="00000000" w:rsidR="00000000" w:rsidDel="00000000" w:rsidP="00000000" w:rsidRDefault="00000000" w14:paraId="00000291">
      <w:pPr>
        <w:numPr>
          <w:ilvl w:val="3"/>
          <w:numId w:val="7"/>
        </w:numPr>
        <w:spacing w:before="100" w:after="100" w:line="276" w:lineRule="auto"/>
        <w:ind w:left="1440" w:hanging="720"/>
        <w:rPr>
          <w:u w:val="none"/>
        </w:rPr>
      </w:pPr>
      <w:r w:rsidRPr="00000000" w:rsidDel="00000000" w:rsidR="00000000">
        <w:rPr>
          <w:rtl w:val="0"/>
        </w:rPr>
        <w:t xml:space="preserve">having appointed solely as a result of the exercise of one's voting rights a majority of the members of the administrative or management body of a legal person or arrangement who have held office during the present and previous financial year;</w:t>
      </w:r>
    </w:p>
    <w:p w:rsidRPr="00000000" w:rsidR="00000000" w:rsidDel="00000000" w:rsidP="00000000" w:rsidRDefault="00000000" w14:paraId="00000292">
      <w:pPr>
        <w:numPr>
          <w:ilvl w:val="3"/>
          <w:numId w:val="7"/>
        </w:numPr>
        <w:spacing w:before="100" w:after="100" w:line="276" w:lineRule="auto"/>
        <w:ind w:left="1440" w:hanging="720"/>
        <w:rPr>
          <w:u w:val="none"/>
        </w:rPr>
      </w:pPr>
      <w:r w:rsidRPr="00000000" w:rsidDel="00000000" w:rsidR="00000000">
        <w:rPr>
          <w:rtl w:val="0"/>
        </w:rPr>
        <w:t xml:space="preserve">controlling alone, pursuant to an agreement with other shareholders in or members of a legal person, a majority of shareholders' or members' voting rights in that legal person or arrangement;</w:t>
      </w:r>
    </w:p>
    <w:p w:rsidRPr="00000000" w:rsidR="00000000" w:rsidDel="00000000" w:rsidP="00000000" w:rsidRDefault="00000000" w14:paraId="00000293">
      <w:pPr>
        <w:numPr>
          <w:ilvl w:val="3"/>
          <w:numId w:val="7"/>
        </w:numPr>
        <w:spacing w:before="100" w:after="100" w:line="276" w:lineRule="auto"/>
        <w:ind w:left="1440" w:hanging="720"/>
        <w:rPr>
          <w:u w:val="none"/>
        </w:rPr>
      </w:pPr>
      <w:r w:rsidRPr="00000000" w:rsidDel="00000000" w:rsidR="00000000">
        <w:rPr>
          <w:rtl w:val="0"/>
        </w:rPr>
        <w:t xml:space="preserve">having the right to exercise a dominant influence over a legal person or arrangement pursuant to an agreement entered into with that legal person or arrangement, or to a provision in its Memorandum or Articles of Association, where the law governing that legal person or arrangement permits its being subject to such agreement or provision;</w:t>
      </w:r>
    </w:p>
    <w:p w:rsidRPr="00000000" w:rsidR="00000000" w:rsidDel="00000000" w:rsidP="00000000" w:rsidRDefault="00000000" w14:paraId="00000294">
      <w:pPr>
        <w:numPr>
          <w:ilvl w:val="3"/>
          <w:numId w:val="7"/>
        </w:numPr>
        <w:spacing w:before="100" w:after="100" w:line="276" w:lineRule="auto"/>
        <w:ind w:left="1440" w:hanging="720"/>
        <w:rPr>
          <w:u w:val="none"/>
        </w:rPr>
      </w:pPr>
      <w:r w:rsidRPr="00000000" w:rsidDel="00000000" w:rsidR="00000000">
        <w:rPr>
          <w:rtl w:val="0"/>
        </w:rPr>
        <w:t xml:space="preserve">having the power to exert the right to exercise a dominant influence referred to in point (d), without being the holder of that right;</w:t>
      </w:r>
    </w:p>
    <w:p w:rsidRPr="00000000" w:rsidR="00000000" w:rsidDel="00000000" w:rsidP="00000000" w:rsidRDefault="00000000" w14:paraId="00000295">
      <w:pPr>
        <w:numPr>
          <w:ilvl w:val="3"/>
          <w:numId w:val="7"/>
        </w:numPr>
        <w:spacing w:before="100" w:after="100" w:line="276" w:lineRule="auto"/>
        <w:ind w:left="1440" w:hanging="720"/>
        <w:rPr>
          <w:u w:val="none"/>
        </w:rPr>
      </w:pPr>
      <w:r w:rsidRPr="00000000" w:rsidDel="00000000" w:rsidR="00000000">
        <w:rPr>
          <w:rtl w:val="0"/>
        </w:rPr>
        <w:t xml:space="preserve">having the right to use all or part of the assets of that legal person or arrangement;</w:t>
      </w:r>
    </w:p>
    <w:p w:rsidRPr="00000000" w:rsidR="00000000" w:rsidDel="00000000" w:rsidP="00000000" w:rsidRDefault="00000000" w14:paraId="00000296">
      <w:pPr>
        <w:numPr>
          <w:ilvl w:val="3"/>
          <w:numId w:val="7"/>
        </w:numPr>
        <w:spacing w:before="100" w:after="100" w:line="276" w:lineRule="auto"/>
        <w:ind w:left="1440" w:hanging="720"/>
        <w:rPr>
          <w:u w:val="none"/>
        </w:rPr>
      </w:pPr>
      <w:r w:rsidRPr="00000000" w:rsidDel="00000000" w:rsidR="00000000">
        <w:rPr>
          <w:rtl w:val="0"/>
        </w:rPr>
        <w:t xml:space="preserve">managing the business of that legal person or arrangement on a unified basis, while publishing consolidated accounts.</w:t>
      </w:r>
    </w:p>
    <w:p w:rsidRPr="00000000" w:rsidR="00000000" w:rsidDel="00000000" w:rsidP="00000000" w:rsidRDefault="00000000" w14:paraId="00000297">
      <w:pPr>
        <w:numPr>
          <w:ilvl w:val="3"/>
          <w:numId w:val="7"/>
        </w:numPr>
        <w:spacing w:before="100" w:after="100" w:line="276" w:lineRule="auto"/>
        <w:ind w:left="1440" w:hanging="720"/>
        <w:rPr>
          <w:u w:val="none"/>
        </w:rPr>
      </w:pPr>
      <w:r w:rsidRPr="00000000" w:rsidDel="00000000" w:rsidR="00000000">
        <w:rPr>
          <w:rtl w:val="0"/>
        </w:rPr>
        <w:t xml:space="preserve">sharing jointly and severally the financial liabilities of a legal person or arrangement or guaranteeing them.</w:t>
      </w:r>
    </w:p>
    <w:p w:rsidRPr="00000000" w:rsidR="00000000" w:rsidDel="00000000" w:rsidP="00000000" w:rsidRDefault="00000000" w14:paraId="00000298">
      <w:pPr>
        <w:numPr>
          <w:ilvl w:val="3"/>
          <w:numId w:val="7"/>
        </w:numPr>
        <w:spacing w:before="100" w:after="100" w:line="276" w:lineRule="auto"/>
        <w:ind w:left="1440" w:hanging="720"/>
        <w:rPr>
          <w:u w:val="none"/>
        </w:rPr>
      </w:pPr>
      <w:r w:rsidRPr="00000000" w:rsidDel="00000000" w:rsidR="00000000">
        <w:rPr>
          <w:rtl w:val="0"/>
        </w:rPr>
        <w:t xml:space="preserve">having a power of attorney or authorized signatory arrangement over a legal person or arrangement.</w:t>
      </w:r>
    </w:p>
    <w:p w:rsidRPr="00000000" w:rsidR="00000000" w:rsidDel="00000000" w:rsidP="00000000" w:rsidRDefault="00000000" w14:paraId="00000299">
      <w:pPr>
        <w:numPr>
          <w:ilvl w:val="2"/>
          <w:numId w:val="7"/>
        </w:numPr>
        <w:spacing w:before="100" w:after="100" w:line="276" w:lineRule="auto"/>
        <w:ind w:left="720"/>
      </w:pPr>
      <w:r w:rsidRPr="00000000" w:rsidDel="00000000" w:rsidR="00000000">
        <w:rPr>
          <w:rtl w:val="0"/>
        </w:rPr>
        <w:t xml:space="preserve">TFS on individuals, entities, or groups acting on behalf or at the direction of a person subject to TFS will be enforced based on evidence-based proof (e.g. power of attorney, authorized signatory, contracts etc.). In general, the relationship to act on behalf or at the direction of a person subject to TFS should be evidenced by legal documentation, such as a power of attorney or authorized signatory. </w:t>
      </w:r>
    </w:p>
    <w:p w:rsidRPr="00000000" w:rsidR="00000000" w:rsidDel="00000000" w:rsidP="00000000" w:rsidRDefault="00000000" w14:paraId="0000029A">
      <w:pPr>
        <w:numPr>
          <w:ilvl w:val="1"/>
          <w:numId w:val="7"/>
        </w:numPr>
        <w:spacing w:before="200" w:after="100" w:line="360" w:lineRule="auto"/>
        <w:rPr/>
      </w:pPr>
      <w:r w:rsidRPr="00000000" w:rsidDel="00000000" w:rsidR="00000000">
        <w:rPr>
          <w:b w:val="1"/>
          <w:bCs w:val="1"/>
          <w:sz w:val="24"/>
          <w:szCs w:val="24"/>
          <w:rtl w:val="0"/>
        </w:rPr>
        <w:t xml:space="preserve">Confirmed and Partial Name Matches</w:t>
      </w:r>
      <w:r w:rsidRPr="00000000" w:rsidDel="00000000" w:rsidR="00000000">
        <w:rPr>
          <w:rtl w:val="0"/>
        </w:rPr>
      </w:r>
    </w:p>
    <w:p w:rsidRPr="00000000" w:rsidR="00000000" w:rsidDel="00000000" w:rsidP="00000000" w:rsidRDefault="00000000" w14:paraId="0000029B">
      <w:pPr>
        <w:keepNext w:val="0"/>
        <w:keepLines w:val="0"/>
        <w:pageBreakBefore w:val="0"/>
        <w:widowControl w:val="1"/>
        <w:numPr>
          <w:ilvl w:val="2"/>
          <w:numId w:val="7"/>
        </w:numPr>
        <w:pBdr>
          <w:top w:val="nil" w:sz="0" w:space="0"/>
          <w:left w:val="nil" w:sz="0" w:space="0"/>
          <w:bottom w:val="nil" w:sz="0" w:space="0"/>
          <w:right w:val="nil" w:sz="0" w:space="0"/>
          <w:between w:val="nil" w:sz="0" w:space="0"/>
        </w:pBdr>
        <w:shd w:val="clear" w:fill="auto"/>
        <w:spacing w:before="100" w:after="100" w:line="276" w:lineRule="auto"/>
        <w:ind w:left="720" w:right="0" w:hanging="720"/>
        <w:jc w:val="both"/>
        <w:rPr/>
      </w:pPr>
      <w:r w:rsidRPr="00000000" w:rsidDel="00000000" w:rsidR="00000000">
        <w:rPr>
          <w:rtl w:val="0"/>
        </w:rPr>
        <w:t xml:space="preserve">A Confirmed Name Match (“</w:t>
      </w:r>
      <w:r w:rsidRPr="00000000" w:rsidDel="00000000" w:rsidR="00000000">
        <w:rPr>
          <w:b w:val="1"/>
          <w:bCs w:val="1"/>
          <w:rtl w:val="0"/>
        </w:rPr>
        <w:t xml:space="preserve">CNM</w:t>
      </w:r>
      <w:r w:rsidRPr="00000000" w:rsidDel="00000000" w:rsidR="00000000">
        <w:rPr>
          <w:rtl w:val="0"/>
        </w:rPr>
        <w:t xml:space="preserve">”) is when an individual, entity, or group matches all the key identifiers published on the TFS lists. A Partial Name Match (“PNM”) is when there is a partial match between the key identifiers in the TFS lists and a customer’s information in the database, and where it is not possible based on available information to conclude that the screening alert is a false positive or CNM.</w:t>
      </w:r>
    </w:p>
    <w:p w:rsidRPr="00000000" w:rsidR="00000000" w:rsidDel="00000000" w:rsidP="00000000" w:rsidRDefault="00000000" w14:paraId="0000029C">
      <w:pPr>
        <w:numPr>
          <w:ilvl w:val="2"/>
          <w:numId w:val="7"/>
        </w:numPr>
        <w:spacing w:before="100" w:after="100" w:line="276" w:lineRule="auto"/>
        <w:ind w:left="720"/>
      </w:pPr>
      <w:r w:rsidRPr="00000000" w:rsidDel="00000000" w:rsidR="00000000">
        <w:rPr>
          <w:rtl w:val="0"/>
        </w:rPr>
        <w:t xml:space="preserve">In the event of a CNM against an existing customer, the ADGM entities must freeze funds and assets of the CNM and refrain from making funds or other assets or services available to the CNM in accordance with Section 19.5 and report in accordance with Section 19.7.</w:t>
      </w:r>
    </w:p>
    <w:p w:rsidRPr="00000000" w:rsidR="00000000" w:rsidDel="00000000" w:rsidP="00000000" w:rsidRDefault="00000000" w14:paraId="0000029D">
      <w:pPr>
        <w:numPr>
          <w:ilvl w:val="2"/>
          <w:numId w:val="7"/>
        </w:numPr>
        <w:spacing w:before="100" w:after="100" w:line="276" w:lineRule="auto"/>
        <w:ind w:left="720"/>
      </w:pPr>
      <w:r w:rsidRPr="00000000" w:rsidDel="00000000" w:rsidR="00000000">
        <w:rPr>
          <w:rtl w:val="0"/>
        </w:rPr>
        <w:t xml:space="preserve">In the event of a CNM against a prospective customer or a counterparty of an existing customer in a transaction, the ADGM entities must reject the transaction immediately and refrain from dealing with or providing any funds or other assets or services to the CNM and report in accordance with Section 19.7. </w:t>
      </w:r>
    </w:p>
    <w:p w:rsidRPr="00000000" w:rsidR="00000000" w:rsidDel="00000000" w:rsidP="00000000" w:rsidRDefault="00000000" w14:paraId="0000029E">
      <w:pPr>
        <w:numPr>
          <w:ilvl w:val="2"/>
          <w:numId w:val="7"/>
        </w:numPr>
        <w:spacing w:before="100" w:after="100" w:line="276" w:lineRule="auto"/>
        <w:ind w:left="720"/>
      </w:pPr>
      <w:r w:rsidRPr="00000000" w:rsidDel="00000000" w:rsidR="00000000">
        <w:rPr>
          <w:rtl w:val="0"/>
        </w:rPr>
        <w:t xml:space="preserve">In the event of a PNM against an existing customer, the ADGM entities must suspend any transaction that is in process without delay and refrain from offering any funds, other  assets or services to the PNM and report in accordance with Section 19.7.  These suspension measures must remain in place until further instructions are received from EOCN via goAML on whether to cancel the suspension due to a false positive or implement freezing measures due to a CNM. </w:t>
      </w:r>
    </w:p>
    <w:p w:rsidRPr="00000000" w:rsidR="00000000" w:rsidDel="00000000" w:rsidP="00000000" w:rsidRDefault="00000000" w14:paraId="0000029F">
      <w:pPr>
        <w:numPr>
          <w:ilvl w:val="2"/>
          <w:numId w:val="7"/>
        </w:numPr>
        <w:spacing w:before="100" w:after="100" w:line="276" w:lineRule="auto"/>
        <w:ind w:left="720"/>
      </w:pPr>
      <w:r w:rsidRPr="00000000" w:rsidDel="00000000" w:rsidR="00000000">
        <w:rPr>
          <w:rtl w:val="0"/>
        </w:rPr>
        <w:t xml:space="preserve">Where the PNM is against a prospective customer or a counterparty, the ADGM entities must make necessary efforts to obtain identifying information such as an ID to aid in the assessment of whether the match is a false positive or CNM. If the result is concluded as a false positive after the identifying information is obtained, the transactions will be allowed to proceed without the need to report a PNM, but internal documentation of a false positive must be retained. The transaction or service may not proceed if the identifying information cannot be obtained within a reasonable time (10 business days) of identifying the PNM. Any newly obtained identifying information must be screened against relevant TFS lists. </w:t>
      </w:r>
    </w:p>
    <w:p w:rsidRPr="00000000" w:rsidR="00000000" w:rsidDel="00000000" w:rsidP="00000000" w:rsidRDefault="00000000" w14:paraId="000002A0">
      <w:pPr>
        <w:numPr>
          <w:ilvl w:val="1"/>
          <w:numId w:val="7"/>
        </w:numPr>
        <w:spacing w:before="200" w:after="100" w:line="360" w:lineRule="auto"/>
        <w:ind w:left="720"/>
        <w:rPr/>
      </w:pPr>
      <w:r w:rsidRPr="00000000" w:rsidDel="00000000" w:rsidR="00000000">
        <w:rPr>
          <w:b w:val="1"/>
          <w:bCs w:val="1"/>
          <w:rtl w:val="0"/>
        </w:rPr>
        <w:t xml:space="preserve">Reporting of CNMs and PNMs</w:t>
      </w:r>
      <w:r w:rsidRPr="00000000" w:rsidDel="00000000" w:rsidR="00000000">
        <w:rPr>
          <w:rtl w:val="0"/>
        </w:rPr>
      </w:r>
    </w:p>
    <w:p w:rsidRPr="00000000" w:rsidR="00000000" w:rsidDel="00000000" w:rsidP="00000000" w:rsidRDefault="00000000" w14:paraId="000002A1">
      <w:pPr>
        <w:keepNext w:val="0"/>
        <w:keepLines w:val="0"/>
        <w:pageBreakBefore w:val="0"/>
        <w:widowControl w:val="1"/>
        <w:numPr>
          <w:ilvl w:val="2"/>
          <w:numId w:val="7"/>
        </w:numPr>
        <w:pBdr>
          <w:top w:val="nil" w:sz="0" w:space="0"/>
          <w:left w:val="nil" w:sz="0" w:space="0"/>
          <w:bottom w:val="nil" w:sz="0" w:space="0"/>
          <w:right w:val="nil" w:sz="0" w:space="0"/>
          <w:between w:val="nil" w:sz="0" w:space="0"/>
        </w:pBdr>
        <w:shd w:val="clear" w:fill="auto"/>
        <w:spacing w:before="100" w:after="100" w:line="276" w:lineRule="auto"/>
        <w:ind w:left="720" w:right="0" w:hanging="720"/>
        <w:jc w:val="both"/>
      </w:pPr>
      <w:r w:rsidRPr="00000000" w:rsidDel="00000000" w:rsidR="00000000">
        <w:rPr>
          <w:rtl w:val="0"/>
        </w:rPr>
        <w:t xml:space="preserve">In the event of a CNM against an existing customer of the ADGM entities, a Confirmed Name Match Report (“CNMR”) must be submitted through goAML within five (5) business days of implementing freezing measures. </w:t>
      </w:r>
    </w:p>
    <w:p w:rsidRPr="00000000" w:rsidR="00000000" w:rsidDel="00000000" w:rsidP="00000000" w:rsidRDefault="00000000" w14:paraId="000002A2">
      <w:pPr>
        <w:keepNext w:val="0"/>
        <w:keepLines w:val="0"/>
        <w:pageBreakBefore w:val="0"/>
        <w:widowControl w:val="1"/>
        <w:numPr>
          <w:ilvl w:val="2"/>
          <w:numId w:val="7"/>
        </w:numPr>
        <w:pBdr>
          <w:top w:val="nil" w:sz="0" w:space="0"/>
          <w:left w:val="nil" w:sz="0" w:space="0"/>
          <w:bottom w:val="nil" w:sz="0" w:space="0"/>
          <w:right w:val="nil" w:sz="0" w:space="0"/>
          <w:between w:val="nil" w:sz="0" w:space="0"/>
        </w:pBdr>
        <w:shd w:val="clear" w:fill="auto"/>
        <w:spacing w:before="100" w:after="100" w:line="276" w:lineRule="auto"/>
        <w:ind w:left="720" w:right="0" w:hanging="720"/>
        <w:jc w:val="both"/>
      </w:pPr>
      <w:r w:rsidRPr="00000000" w:rsidDel="00000000" w:rsidR="00000000">
        <w:rPr>
          <w:rtl w:val="0"/>
        </w:rPr>
        <w:t xml:space="preserve">In the event of a CNM against a prospective customer or a counterparty of an existing customer in a transaction, a </w:t>
      </w:r>
      <w:r w:rsidRPr="00000000" w:rsidDel="00000000" w:rsidR="00000000">
        <w:rPr>
          <w:rtl w:val="0"/>
        </w:rPr>
        <w:t xml:space="preserve">CNMR</w:t>
      </w:r>
      <w:r w:rsidRPr="00000000" w:rsidDel="00000000" w:rsidR="00000000">
        <w:rPr>
          <w:rtl w:val="0"/>
        </w:rPr>
        <w:t xml:space="preserve"> must be submitted through goAML within five (5) business days of rejecting the transaction.</w:t>
      </w:r>
    </w:p>
    <w:p w:rsidRPr="00000000" w:rsidR="00000000" w:rsidDel="00000000" w:rsidP="00000000" w:rsidRDefault="00000000" w14:paraId="000002A3">
      <w:pPr>
        <w:keepNext w:val="0"/>
        <w:keepLines w:val="0"/>
        <w:pageBreakBefore w:val="0"/>
        <w:widowControl w:val="1"/>
        <w:numPr>
          <w:ilvl w:val="2"/>
          <w:numId w:val="7"/>
        </w:numPr>
        <w:pBdr>
          <w:top w:val="nil" w:sz="0" w:space="0"/>
          <w:left w:val="nil" w:sz="0" w:space="0"/>
          <w:bottom w:val="nil" w:sz="0" w:space="0"/>
          <w:right w:val="nil" w:sz="0" w:space="0"/>
          <w:between w:val="nil" w:sz="0" w:space="0"/>
        </w:pBdr>
        <w:shd w:val="clear" w:fill="auto"/>
        <w:spacing w:before="100" w:after="100" w:line="276" w:lineRule="auto"/>
        <w:ind w:left="720" w:right="0" w:hanging="720"/>
        <w:jc w:val="both"/>
        <w:rPr>
          <w:u w:val="none"/>
        </w:rPr>
      </w:pPr>
      <w:r w:rsidRPr="00000000" w:rsidDel="00000000" w:rsidR="00000000">
        <w:rPr>
          <w:rtl w:val="0"/>
        </w:rPr>
        <w:t xml:space="preserve">In the event the ADGM entities determine that a screening alert constitutes a PNM against an existing customer of the ADGM entities or a prospective customer or a counterparty, a Partial Name Match Report (“PNMR”) must be submitted through goAML within five (5) business days of identifying the PNM and suspending or rejecting transaction or services. </w:t>
      </w:r>
      <w:r w:rsidRPr="00000000" w:rsidDel="00000000" w:rsidR="00000000">
        <w:rPr>
          <w:rtl w:val="0"/>
        </w:rPr>
      </w:r>
    </w:p>
    <w:p w:rsidRPr="00000000" w:rsidR="00000000" w:rsidDel="00000000" w:rsidP="00000000" w:rsidRDefault="00000000" w14:paraId="000002A4">
      <w:pPr>
        <w:keepNext w:val="0"/>
        <w:keepLines w:val="0"/>
        <w:pageBreakBefore w:val="0"/>
        <w:widowControl w:val="1"/>
        <w:numPr>
          <w:ilvl w:val="2"/>
          <w:numId w:val="7"/>
        </w:numPr>
        <w:pBdr>
          <w:top w:val="nil" w:sz="0" w:space="0"/>
          <w:left w:val="nil" w:sz="0" w:space="0"/>
          <w:bottom w:val="nil" w:sz="0" w:space="0"/>
          <w:right w:val="nil" w:sz="0" w:space="0"/>
          <w:between w:val="nil" w:sz="0" w:space="0"/>
        </w:pBdr>
        <w:shd w:val="clear" w:fill="auto"/>
        <w:spacing w:before="100" w:after="100" w:line="276" w:lineRule="auto"/>
        <w:ind w:left="720" w:right="0" w:hanging="720"/>
        <w:jc w:val="both"/>
        <w:rPr>
          <w:sz w:val="20"/>
          <w:szCs w:val="20"/>
        </w:rPr>
      </w:pPr>
      <w:r w:rsidRPr="00000000" w:rsidDel="00000000" w:rsidR="00000000">
        <w:rPr>
          <w:rtl w:val="0"/>
        </w:rPr>
        <w:t xml:space="preserve">Additionally, the MLROs of the ADGM entities must notify the FSRA immediately upon becoming aware that the ADGM entities are (i) carrying on or about to carry on an activity; (ii) holding or about to hold money or other assets; or (iii) undertaking or about to undertake any other business whether or not arising from or in connection with (i) or (ii); where such carrying on, holding or undertaking constitutes or may constitute a contravention of any TFS of the UN or the UAE.</w:t>
      </w:r>
    </w:p>
    <w:p w:rsidRPr="00000000" w:rsidR="00000000" w:rsidDel="00000000" w:rsidP="00000000" w:rsidRDefault="00000000" w14:paraId="000002A5">
      <w:pPr>
        <w:keepNext w:val="0"/>
        <w:keepLines w:val="0"/>
        <w:pageBreakBefore w:val="0"/>
        <w:widowControl w:val="1"/>
        <w:numPr>
          <w:ilvl w:val="2"/>
          <w:numId w:val="7"/>
        </w:numPr>
        <w:pBdr>
          <w:top w:val="nil" w:sz="0" w:space="0"/>
          <w:left w:val="nil" w:sz="0" w:space="0"/>
          <w:bottom w:val="nil" w:sz="0" w:space="0"/>
          <w:right w:val="nil" w:sz="0" w:space="0"/>
          <w:between w:val="nil" w:sz="0" w:space="0"/>
        </w:pBdr>
        <w:shd w:val="clear" w:fill="auto"/>
        <w:spacing w:before="100" w:after="100" w:line="276" w:lineRule="auto"/>
        <w:ind w:left="720" w:right="0" w:hanging="720"/>
        <w:jc w:val="both"/>
        <w:rPr>
          <w:sz w:val="20"/>
          <w:szCs w:val="20"/>
        </w:rPr>
      </w:pPr>
      <w:r w:rsidRPr="00000000" w:rsidDel="00000000" w:rsidR="00000000">
        <w:rPr>
          <w:rtl w:val="0"/>
        </w:rPr>
        <w:t xml:space="preserve">The notification to the FSRA must include: </w:t>
      </w:r>
    </w:p>
    <w:p w:rsidRPr="00000000" w:rsidR="00000000" w:rsidDel="00000000" w:rsidP="00000000" w:rsidRDefault="00000000" w14:paraId="000002A6">
      <w:pPr>
        <w:keepNext w:val="0"/>
        <w:keepLines w:val="0"/>
        <w:pageBreakBefore w:val="0"/>
        <w:widowControl w:val="1"/>
        <w:numPr>
          <w:ilvl w:val="3"/>
          <w:numId w:val="7"/>
        </w:numPr>
        <w:pBdr>
          <w:top w:val="nil" w:sz="0" w:space="0"/>
          <w:left w:val="nil" w:sz="0" w:space="0"/>
          <w:bottom w:val="nil" w:sz="0" w:space="0"/>
          <w:right w:val="nil" w:sz="0" w:space="0"/>
          <w:between w:val="nil" w:sz="0" w:space="0"/>
        </w:pBdr>
        <w:shd w:val="clear" w:fill="auto"/>
        <w:spacing w:before="100" w:after="100" w:line="276" w:lineRule="auto"/>
        <w:ind w:left="1440" w:right="0" w:hanging="720"/>
        <w:jc w:val="both"/>
        <w:rPr>
          <w:sz w:val="22"/>
          <w:szCs w:val="22"/>
        </w:rPr>
      </w:pPr>
      <w:r w:rsidRPr="00000000" w:rsidDel="00000000" w:rsidR="00000000">
        <w:rPr>
          <w:rtl w:val="0"/>
        </w:rPr>
        <w:t xml:space="preserve">a description of the relevant activity; and</w:t>
      </w:r>
    </w:p>
    <w:p w:rsidRPr="00000000" w:rsidR="00000000" w:rsidDel="00000000" w:rsidP="00000000" w:rsidRDefault="00000000" w14:paraId="000002A7">
      <w:pPr>
        <w:keepNext w:val="0"/>
        <w:keepLines w:val="0"/>
        <w:pageBreakBefore w:val="0"/>
        <w:widowControl w:val="1"/>
        <w:numPr>
          <w:ilvl w:val="3"/>
          <w:numId w:val="7"/>
        </w:numPr>
        <w:pBdr>
          <w:top w:val="nil" w:sz="0" w:space="0"/>
          <w:left w:val="nil" w:sz="0" w:space="0"/>
          <w:bottom w:val="nil" w:sz="0" w:space="0"/>
          <w:right w:val="nil" w:sz="0" w:space="0"/>
          <w:between w:val="nil" w:sz="0" w:space="0"/>
        </w:pBdr>
        <w:shd w:val="clear" w:fill="auto"/>
        <w:spacing w:before="100" w:after="100" w:line="276" w:lineRule="auto"/>
        <w:ind w:left="1440" w:right="0" w:hanging="720"/>
        <w:jc w:val="both"/>
        <w:rPr>
          <w:sz w:val="22"/>
          <w:szCs w:val="22"/>
        </w:rPr>
      </w:pPr>
      <w:r w:rsidRPr="00000000" w:rsidDel="00000000" w:rsidR="00000000">
        <w:rPr>
          <w:rtl w:val="0"/>
        </w:rPr>
        <w:t xml:space="preserve">the action proposed to be taken or that has been taken with regard to the matters specified in the notification.</w:t>
      </w:r>
    </w:p>
    <w:p w:rsidRPr="00000000" w:rsidR="00000000" w:rsidDel="00000000" w:rsidP="00000000" w:rsidRDefault="00000000" w14:paraId="000002A8">
      <w:pPr>
        <w:keepNext w:val="0"/>
        <w:keepLines w:val="0"/>
        <w:pageBreakBefore w:val="0"/>
        <w:widowControl w:val="1"/>
        <w:numPr>
          <w:ilvl w:val="2"/>
          <w:numId w:val="7"/>
        </w:numPr>
        <w:pBdr>
          <w:top w:val="nil" w:sz="0" w:space="0"/>
          <w:left w:val="nil" w:sz="0" w:space="0"/>
          <w:bottom w:val="nil" w:sz="0" w:space="0"/>
          <w:right w:val="nil" w:sz="0" w:space="0"/>
          <w:between w:val="nil" w:sz="0" w:space="0"/>
        </w:pBdr>
        <w:shd w:val="clear" w:fill="auto"/>
        <w:spacing w:before="100" w:after="100" w:line="276" w:lineRule="auto"/>
        <w:ind w:left="720" w:right="0"/>
        <w:jc w:val="both"/>
        <w:rPr>
          <w:sz w:val="20"/>
          <w:szCs w:val="20"/>
        </w:rPr>
      </w:pPr>
      <w:r w:rsidRPr="00000000" w:rsidDel="00000000" w:rsidR="00000000">
        <w:rPr>
          <w:rtl w:val="0"/>
        </w:rPr>
        <w:t xml:space="preserve">For the purpose of fulfilling this requirement, the ADGM entities will notify the FSRA immediately upon the filing of </w:t>
      </w:r>
      <w:r w:rsidRPr="00000000" w:rsidDel="00000000" w:rsidR="00000000">
        <w:rPr>
          <w:rtl w:val="0"/>
        </w:rPr>
        <w:t xml:space="preserve">CNMRs</w:t>
      </w:r>
      <w:r w:rsidRPr="00000000" w:rsidDel="00000000" w:rsidR="00000000">
        <w:rPr>
          <w:rtl w:val="0"/>
        </w:rPr>
        <w:t xml:space="preserve"> through goAML.</w:t>
      </w:r>
    </w:p>
    <w:p w:rsidRPr="00000000" w:rsidR="00000000" w:rsidDel="00000000" w:rsidP="00000000" w:rsidRDefault="00000000" w14:paraId="000002A9">
      <w:pPr>
        <w:keepNext w:val="0"/>
        <w:keepLines w:val="0"/>
        <w:pageBreakBefore w:val="0"/>
        <w:widowControl w:val="1"/>
        <w:numPr>
          <w:ilvl w:val="2"/>
          <w:numId w:val="7"/>
        </w:numPr>
        <w:pBdr>
          <w:top w:val="nil" w:sz="0" w:space="0"/>
          <w:left w:val="nil" w:sz="0" w:space="0"/>
          <w:bottom w:val="nil" w:sz="0" w:space="0"/>
          <w:right w:val="nil" w:sz="0" w:space="0"/>
          <w:between w:val="nil" w:sz="0" w:space="0"/>
        </w:pBdr>
        <w:shd w:val="clear" w:fill="auto"/>
        <w:spacing w:before="100" w:after="100" w:line="276" w:lineRule="auto"/>
        <w:ind w:left="720" w:right="0"/>
        <w:jc w:val="both"/>
        <w:rPr>
          <w:u w:val="none"/>
        </w:rPr>
      </w:pPr>
      <w:r w:rsidRPr="00000000" w:rsidDel="00000000" w:rsidR="00000000">
        <w:rPr>
          <w:rtl w:val="0"/>
        </w:rPr>
        <w:t xml:space="preserve">CNMs and PNMs should also be reported in respect of previous business relationships and transactions occurring and accounts held prior to the designation, covering a timeframe of five (5) years even if no current funds or other assets are held. It should be clarified in the description provided with the CNM/PNM that no funds or other assets are currently being held, and there is no current business relationship with the subject of the CNM/PNM, and the status of the accounts (closed) if applicable.</w:t>
      </w:r>
    </w:p>
    <w:p w:rsidRPr="00000000" w:rsidR="00000000" w:rsidDel="00000000" w:rsidP="00000000" w:rsidRDefault="00000000" w14:paraId="000002AA">
      <w:pPr>
        <w:keepNext w:val="0"/>
        <w:keepLines w:val="0"/>
        <w:pageBreakBefore w:val="0"/>
        <w:widowControl w:val="1"/>
        <w:numPr>
          <w:ilvl w:val="2"/>
          <w:numId w:val="7"/>
        </w:numPr>
        <w:pBdr>
          <w:top w:val="nil" w:sz="0" w:space="0"/>
          <w:left w:val="nil" w:sz="0" w:space="0"/>
          <w:bottom w:val="nil" w:sz="0" w:space="0"/>
          <w:right w:val="nil" w:sz="0" w:space="0"/>
          <w:between w:val="nil" w:sz="0" w:space="0"/>
        </w:pBdr>
        <w:shd w:val="clear" w:fill="auto"/>
        <w:spacing w:before="100" w:after="100" w:line="276" w:lineRule="auto"/>
        <w:ind w:left="720" w:right="0"/>
        <w:jc w:val="both"/>
        <w:rPr>
          <w:u w:val="none"/>
        </w:rPr>
      </w:pPr>
      <w:r w:rsidRPr="00000000" w:rsidDel="00000000" w:rsidR="00000000">
        <w:rPr>
          <w:rtl w:val="0"/>
        </w:rPr>
        <w:t xml:space="preserve">Any suspicious transactions or activities that might be related to sanctions evasion, and which do not include CNMs/PNMs to TFS of the UN or the UAE should be reported to the FIU by raising a STR/SAR through the goAML platform.</w:t>
      </w:r>
    </w:p>
    <w:p w:rsidRPr="00000000" w:rsidR="00000000" w:rsidDel="00000000" w:rsidP="00000000" w:rsidRDefault="00000000" w14:paraId="000002AB">
      <w:pPr>
        <w:keepNext w:val="0"/>
        <w:keepLines w:val="0"/>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00" w:line="360" w:lineRule="auto"/>
        <w:ind w:left="720" w:right="0" w:hanging="720"/>
        <w:jc w:val="both"/>
        <w:rPr/>
      </w:pPr>
      <w:r w:rsidRPr="00000000" w:rsidDel="00000000" w:rsidR="00000000">
        <w:rPr>
          <w:b w:val="1"/>
          <w:bCs w:val="1"/>
          <w:sz w:val="24"/>
          <w:szCs w:val="24"/>
          <w:rtl w:val="0"/>
        </w:rPr>
        <w:t xml:space="preserve">Removal of TFS</w:t>
      </w:r>
    </w:p>
    <w:p w:rsidRPr="00000000" w:rsidR="00000000" w:rsidDel="00000000" w:rsidP="00000000" w:rsidRDefault="00000000" w14:paraId="000002AC">
      <w:pPr>
        <w:keepNext w:val="0"/>
        <w:keepLines w:val="0"/>
        <w:pageBreakBefore w:val="0"/>
        <w:widowControl w:val="1"/>
        <w:numPr>
          <w:ilvl w:val="2"/>
          <w:numId w:val="7"/>
        </w:numPr>
        <w:pBdr>
          <w:top w:val="nil" w:sz="0" w:space="0"/>
          <w:left w:val="nil" w:sz="0" w:space="0"/>
          <w:bottom w:val="nil" w:sz="0" w:space="0"/>
          <w:right w:val="nil" w:sz="0" w:space="0"/>
          <w:between w:val="nil" w:sz="0" w:space="0"/>
        </w:pBdr>
        <w:shd w:val="clear" w:fill="auto"/>
        <w:spacing w:before="100" w:after="100" w:line="276" w:lineRule="auto"/>
        <w:ind w:left="720" w:right="0" w:hanging="720"/>
        <w:jc w:val="both"/>
      </w:pPr>
      <w:r w:rsidRPr="00000000" w:rsidDel="00000000" w:rsidR="00000000">
        <w:rPr>
          <w:rtl w:val="0"/>
        </w:rPr>
        <w:t xml:space="preserve">Upon delisting, all TFS measures will be subject to the MLROs review, in conjunction with the Binance Global Head of Sanctions and Legal, and approval before the lifting of freezing measures, unless there is an active Freeze Order related to the delisted Person issued by a UAE Competent Authority (FIU, Public Prosecution, etc.).</w:t>
      </w:r>
      <w:r w:rsidRPr="00000000" w:rsidDel="00000000" w:rsidR="00000000">
        <w:rPr>
          <w:rtl w:val="0"/>
        </w:rPr>
      </w:r>
    </w:p>
    <w:p w:rsidRPr="00000000" w:rsidR="00000000" w:rsidDel="00000000" w:rsidP="00000000" w:rsidRDefault="00000000" w14:paraId="000002AD">
      <w:pPr>
        <w:pStyle w:val="Heading1"/>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400" w:after="200" w:line="360" w:lineRule="auto"/>
        <w:ind w:left="720" w:right="0" w:hanging="720"/>
        <w:jc w:val="both"/>
        <w:rPr/>
      </w:pPr>
      <w:bookmarkStart w:name="_heading=h.3mkmmllgfzej" w:colFirst="0" w:colLast="0" w:id="81"/>
      <w:bookmarkEnd w:id="81"/>
      <w:r w:rsidRPr="00000000" w:rsidDel="00000000" w:rsidR="00000000">
        <w:rPr>
          <w:sz w:val="28"/>
          <w:szCs w:val="28"/>
          <w:rtl w:val="0"/>
        </w:rPr>
        <w:t xml:space="preserve">TRAINING</w:t>
        <w:tab/>
      </w:r>
      <w:r w:rsidRPr="00000000" w:rsidDel="00000000" w:rsidR="00000000">
        <w:rPr>
          <w:rtl w:val="0"/>
        </w:rPr>
      </w:r>
    </w:p>
    <w:p w:rsidRPr="00000000" w:rsidR="00000000" w:rsidDel="00000000" w:rsidP="00000000" w:rsidRDefault="00000000" w14:paraId="000002AE">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52bzydzbjo3z" w:colFirst="0" w:colLast="0" w:id="82"/>
      <w:bookmarkEnd w:id="82"/>
      <w:r w:rsidRPr="00000000" w:rsidDel="00000000" w:rsidR="00000000">
        <w:rPr>
          <w:sz w:val="24"/>
          <w:szCs w:val="24"/>
          <w:rtl w:val="0"/>
        </w:rPr>
        <w:t xml:space="preserve">Overview</w:t>
      </w:r>
      <w:r w:rsidRPr="00000000" w:rsidDel="00000000" w:rsidR="00000000">
        <w:rPr>
          <w:rtl w:val="0"/>
        </w:rPr>
      </w:r>
    </w:p>
    <w:p w:rsidRPr="00000000" w:rsidR="00000000" w:rsidDel="00000000" w:rsidP="00000000" w:rsidRDefault="00000000" w14:paraId="000002AF">
      <w:pPr>
        <w:numPr>
          <w:ilvl w:val="2"/>
          <w:numId w:val="7"/>
        </w:numPr>
        <w:spacing w:after="100" w:line="276" w:lineRule="auto"/>
        <w:ind w:left="720" w:hanging="720"/>
      </w:pPr>
      <w:r w:rsidRPr="00000000" w:rsidDel="00000000" w:rsidR="00000000">
        <w:rPr>
          <w:rtl w:val="0"/>
        </w:rPr>
        <w:t xml:space="preserve">Mandatory AML/CFT/CPF and sanctions Training is an integral control for ensuring Senior Management and all Personnel understand the relevant financial crime risks associated with ML, TF, PF, and sanctions.  Global Compliance Senior Management shall support AML and Sanctions training as this initiative is a key factor in promoting effective risk management practices and contributing to a strong culture of compliance within the Group and meeting the training requirements set out in the ADGM AML Rulebook, and the UAE AML Law.</w:t>
      </w:r>
    </w:p>
    <w:p w:rsidRPr="00000000" w:rsidR="00000000" w:rsidDel="00000000" w:rsidP="00000000" w:rsidRDefault="00000000" w14:paraId="000002B0">
      <w:pPr>
        <w:numPr>
          <w:ilvl w:val="2"/>
          <w:numId w:val="7"/>
        </w:numPr>
        <w:spacing w:after="100" w:line="276" w:lineRule="auto"/>
        <w:ind w:left="720" w:hanging="720"/>
      </w:pPr>
      <w:r w:rsidRPr="00000000" w:rsidDel="00000000" w:rsidR="00000000">
        <w:rPr>
          <w:rtl w:val="0"/>
        </w:rPr>
        <w:t xml:space="preserve">Global Compliance shall design and make available relevant training to ensure that the Group Personnel (including certain contingent workers and third parties as required) are appropriately trained on AML/CTF/CPF risks facing the Group, the legal and regulatory environment, and the key requirements of this Policy.  The training is generally focused on enabling the knowledge and behaviour required to ensure that the Group Personnel are fully equipped to address any AML/CTF/CPF and sanctions risk they encounter in discharging their roles and responsibilities within the Group and to fulfil their individual obligations under applicable AML/CFT/CPF laws. </w:t>
      </w:r>
    </w:p>
    <w:p w:rsidRPr="00000000" w:rsidR="00000000" w:rsidDel="00000000" w:rsidP="00000000" w:rsidRDefault="00000000" w14:paraId="000002B1">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ufic6zujmhmc" w:colFirst="0" w:colLast="0" w:id="83"/>
      <w:bookmarkEnd w:id="83"/>
      <w:r w:rsidRPr="00000000" w:rsidDel="00000000" w:rsidR="00000000">
        <w:rPr>
          <w:sz w:val="24"/>
          <w:szCs w:val="24"/>
          <w:rtl w:val="0"/>
        </w:rPr>
        <w:t xml:space="preserve">Group Personnel Training </w:t>
      </w:r>
      <w:r w:rsidRPr="00000000" w:rsidDel="00000000" w:rsidR="00000000">
        <w:rPr>
          <w:rtl w:val="0"/>
        </w:rPr>
      </w:r>
    </w:p>
    <w:p w:rsidRPr="00000000" w:rsidR="00000000" w:rsidDel="00000000" w:rsidP="00000000" w:rsidRDefault="00000000" w14:paraId="000002B2">
      <w:pPr>
        <w:numPr>
          <w:ilvl w:val="2"/>
          <w:numId w:val="7"/>
        </w:numPr>
        <w:tabs>
          <w:tab w:val="left" w:leader="none" w:pos="1980"/>
        </w:tabs>
        <w:spacing w:after="100" w:line="276" w:lineRule="auto"/>
        <w:ind w:left="720" w:hanging="720"/>
      </w:pPr>
      <w:r w:rsidRPr="00000000" w:rsidDel="00000000" w:rsidR="00000000">
        <w:rPr>
          <w:rtl w:val="0"/>
        </w:rPr>
        <w:t xml:space="preserve">All Group Personnel must complete a mandatory AML/CTF training program within 30 days of joining the Group and annually thereafter at a minimum.  This frequency must meet or exceed the minimum training intervals required under applicable AML/CFT laws and regulations.  At a minimum, this training must cover the following core content:</w:t>
      </w:r>
    </w:p>
    <w:p w:rsidRPr="00000000" w:rsidR="00000000" w:rsidDel="00000000" w:rsidP="00000000" w:rsidRDefault="00000000" w14:paraId="000002B3">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The ML, TF and PF risks facing the Binance Group, with an emphasis on key financial crime risks affecting the Group as a global digital asset exchange and custody wallet provider;</w:t>
      </w:r>
      <w:r w:rsidRPr="00000000" w:rsidDel="00000000" w:rsidR="00000000">
        <w:rPr>
          <w:rtl w:val="0"/>
        </w:rPr>
      </w:r>
    </w:p>
    <w:p w:rsidRPr="00000000" w:rsidR="00000000" w:rsidDel="00000000" w:rsidP="00000000" w:rsidRDefault="00000000" w14:paraId="000002B4">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The recognition of the activities which may relate to ML, TF and PF, including the three stages of ML; </w:t>
      </w:r>
      <w:r w:rsidRPr="00000000" w:rsidDel="00000000" w:rsidR="00000000">
        <w:rPr>
          <w:rtl w:val="0"/>
        </w:rPr>
      </w:r>
    </w:p>
    <w:p w:rsidRPr="00000000" w:rsidR="00000000" w:rsidDel="00000000" w:rsidP="00000000" w:rsidRDefault="00000000" w14:paraId="000002B5">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International AML/CTF standards and key AML/CTF laws and regulations, and the consequences for the Group if senior management, and Customers do not comply with the applicable AML/CTF laws; </w:t>
      </w:r>
      <w:r w:rsidRPr="00000000" w:rsidDel="00000000" w:rsidR="00000000">
        <w:rPr>
          <w:rtl w:val="0"/>
        </w:rPr>
      </w:r>
    </w:p>
    <w:p w:rsidRPr="00000000" w:rsidR="00000000" w:rsidDel="00000000" w:rsidP="00000000" w:rsidRDefault="00000000" w14:paraId="000002B6">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The key controls in the Global AML Program, and their roles and responsibilities in combating ML, TF and PF, including the responsibility of every Personnel to escalate unusual or suspicious Customer behaviour, account activities or Transactions; and</w:t>
      </w:r>
      <w:r w:rsidRPr="00000000" w:rsidDel="00000000" w:rsidR="00000000">
        <w:rPr>
          <w:rtl w:val="0"/>
        </w:rPr>
      </w:r>
    </w:p>
    <w:p w:rsidRPr="00000000" w:rsidR="00000000" w:rsidDel="00000000" w:rsidP="00000000" w:rsidRDefault="00000000" w14:paraId="000002B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The Group’s Non-Disclosure Policy regarding LEA inquiries, internal investigations, as well as Tipping-Off policy with respect to SAR/STRs.</w:t>
      </w:r>
      <w:r w:rsidRPr="00000000" w:rsidDel="00000000" w:rsidR="00000000">
        <w:rPr>
          <w:rtl w:val="0"/>
        </w:rPr>
      </w:r>
    </w:p>
    <w:p w:rsidRPr="00000000" w:rsidR="00000000" w:rsidDel="00000000" w:rsidP="00000000" w:rsidRDefault="00000000" w14:paraId="000002B8">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100" w:line="276" w:lineRule="auto"/>
        <w:ind w:left="0" w:right="0" w:firstLine="0"/>
        <w:jc w:val="both"/>
        <w:rPr>
          <w:i w:val="0"/>
          <w:iCs w:val="0"/>
          <w:smallCaps w:val="0"/>
          <w:strike w:val="0"/>
          <w:color w:val="000000"/>
          <w:sz w:val="22"/>
          <w:szCs w:val="22"/>
          <w:u w:val="none"/>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In addition, all </w:t>
      </w:r>
      <w:r w:rsidRPr="00000000" w:rsidDel="00000000" w:rsidR="00000000">
        <w:rPr>
          <w:rtl w:val="0"/>
        </w:rPr>
        <w:t xml:space="preserve">Personnel</w:t>
      </w:r>
      <w:r w:rsidRPr="00000000" w:rsidDel="00000000" w:rsidR="00000000">
        <w:rPr>
          <w:i w:val="0"/>
          <w:iCs w:val="0"/>
          <w:smallCaps w:val="0"/>
          <w:strike w:val="0"/>
          <w:color w:val="000000"/>
          <w:sz w:val="22"/>
          <w:szCs w:val="22"/>
          <w:u w:val="none"/>
          <w:shd w:val="clear" w:fill="auto"/>
          <w:vertAlign w:val="baseline"/>
          <w:rtl w:val="0"/>
        </w:rPr>
        <w:t xml:space="preserve"> need to complete the annual Global Sanctions Mandatory Training as prescribed in the Global Sanctions Policy and in line with sanctions compliance requirements under applicable laws.</w:t>
      </w:r>
    </w:p>
    <w:p w:rsidRPr="00000000" w:rsidR="00000000" w:rsidDel="00000000" w:rsidP="00000000" w:rsidRDefault="00000000" w14:paraId="000002B9">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foniqqt6cgsn" w:colFirst="0" w:colLast="0" w:id="84"/>
      <w:bookmarkEnd w:id="84"/>
      <w:r w:rsidRPr="00000000" w:rsidDel="00000000" w:rsidR="00000000">
        <w:rPr>
          <w:sz w:val="24"/>
          <w:szCs w:val="24"/>
          <w:rtl w:val="0"/>
        </w:rPr>
        <w:t xml:space="preserve">Targeted Training</w:t>
      </w:r>
      <w:r w:rsidRPr="00000000" w:rsidDel="00000000" w:rsidR="00000000">
        <w:rPr>
          <w:rtl w:val="0"/>
        </w:rPr>
      </w:r>
    </w:p>
    <w:p w:rsidRPr="00000000" w:rsidR="00000000" w:rsidDel="00000000" w:rsidP="00000000" w:rsidRDefault="00000000" w14:paraId="000002BA">
      <w:pPr>
        <w:numPr>
          <w:ilvl w:val="2"/>
          <w:numId w:val="7"/>
        </w:numPr>
        <w:spacing w:after="100" w:line="276" w:lineRule="auto"/>
        <w:ind w:left="720" w:hanging="720"/>
      </w:pPr>
      <w:r w:rsidRPr="00000000" w:rsidDel="00000000" w:rsidR="00000000">
        <w:rPr>
          <w:rtl w:val="0"/>
        </w:rPr>
        <w:t xml:space="preserve">In addition to mandatory core content training, </w:t>
      </w:r>
      <w:r w:rsidRPr="00000000" w:rsidDel="00000000" w:rsidR="00000000">
        <w:rPr>
          <w:rtl w:val="0"/>
        </w:rPr>
        <w:t xml:space="preserve">personnel</w:t>
      </w:r>
      <w:r w:rsidRPr="00000000" w:rsidDel="00000000" w:rsidR="00000000">
        <w:rPr>
          <w:rtl w:val="0"/>
        </w:rPr>
        <w:t xml:space="preserve"> may need specialised training tailored to their roles and the AML/CTF risks associated with their responsibilities or local jurisdiction.  Business units and other functions are responsible for identifying </w:t>
      </w:r>
      <w:r w:rsidRPr="00000000" w:rsidDel="00000000" w:rsidR="00000000">
        <w:rPr>
          <w:rtl w:val="0"/>
        </w:rPr>
        <w:t xml:space="preserve">personnel</w:t>
      </w:r>
      <w:r w:rsidRPr="00000000" w:rsidDel="00000000" w:rsidR="00000000">
        <w:rPr>
          <w:rtl w:val="0"/>
        </w:rPr>
        <w:t xml:space="preserve"> who require additional role-specific or targeted AML/CTF training.</w:t>
      </w:r>
    </w:p>
    <w:p w:rsidRPr="00000000" w:rsidR="00000000" w:rsidDel="00000000" w:rsidP="00000000" w:rsidRDefault="00000000" w14:paraId="000002BB">
      <w:pPr>
        <w:numPr>
          <w:ilvl w:val="2"/>
          <w:numId w:val="7"/>
        </w:numPr>
        <w:spacing w:after="100" w:line="276" w:lineRule="auto"/>
        <w:ind w:left="720" w:hanging="720"/>
      </w:pPr>
      <w:r w:rsidRPr="00000000" w:rsidDel="00000000" w:rsidR="00000000">
        <w:rPr>
          <w:rtl w:val="0"/>
        </w:rPr>
        <w:t xml:space="preserve">The Compliance Training Department will develop and deliver this training to ensure local </w:t>
      </w:r>
      <w:r w:rsidRPr="00000000" w:rsidDel="00000000" w:rsidR="00000000">
        <w:rPr>
          <w:rtl w:val="0"/>
        </w:rPr>
        <w:t xml:space="preserve">Personnel</w:t>
      </w:r>
      <w:r w:rsidRPr="00000000" w:rsidDel="00000000" w:rsidR="00000000">
        <w:rPr>
          <w:rtl w:val="0"/>
        </w:rPr>
        <w:t xml:space="preserve"> within an in-country Binance entity meet legal and regulatory requirements for AML/CTF risk management.  Each year, the Country Compliance Department submits its training program to Global Compliance for review and approval to maintain alignment with global standards and ensure it meets jurisdiction-specific regulatory requirements.</w:t>
      </w:r>
    </w:p>
    <w:p w:rsidRPr="00000000" w:rsidR="00000000" w:rsidDel="00000000" w:rsidP="00000000" w:rsidRDefault="00000000" w14:paraId="000002BC">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k9qs31pn6drh" w:colFirst="0" w:colLast="0" w:id="85"/>
      <w:bookmarkEnd w:id="85"/>
      <w:r w:rsidRPr="00000000" w:rsidDel="00000000" w:rsidR="00000000">
        <w:rPr>
          <w:sz w:val="24"/>
          <w:szCs w:val="24"/>
          <w:rtl w:val="0"/>
        </w:rPr>
        <w:t xml:space="preserve">Compliance Training </w:t>
      </w:r>
      <w:r w:rsidRPr="00000000" w:rsidDel="00000000" w:rsidR="00000000">
        <w:rPr>
          <w:rtl w:val="0"/>
        </w:rPr>
      </w:r>
    </w:p>
    <w:p w:rsidRPr="00000000" w:rsidR="00000000" w:rsidDel="00000000" w:rsidP="00000000" w:rsidRDefault="00000000" w14:paraId="000002BD">
      <w:pPr>
        <w:numPr>
          <w:ilvl w:val="2"/>
          <w:numId w:val="7"/>
        </w:numPr>
        <w:spacing w:line="276" w:lineRule="auto"/>
        <w:ind w:left="720" w:hanging="720"/>
      </w:pPr>
      <w:r w:rsidRPr="00000000" w:rsidDel="00000000" w:rsidR="00000000">
        <w:rPr>
          <w:rtl w:val="0"/>
        </w:rPr>
        <w:t xml:space="preserve">To ensure that Compliance analysts and officers are competent and to enable them to discharge their respective roles and responsibilities in identifying, investigating and reporting financial crime risk, Global Compliance shall design and make available a Compliance training program for all compliance Personnel of the Group covering both core AML/CFT competencies and jurisdiction-specific regulatory obligations.</w:t>
      </w:r>
    </w:p>
    <w:p w:rsidRPr="00000000" w:rsidR="00000000" w:rsidDel="00000000" w:rsidP="00000000" w:rsidRDefault="00000000" w14:paraId="000002BE">
      <w:pPr>
        <w:pStyle w:val="Heading2"/>
        <w:numPr>
          <w:ilvl w:val="1"/>
          <w:numId w:val="7"/>
        </w:numPr>
        <w:spacing w:before="200" w:lineRule="auto"/>
        <w:ind w:left="720" w:hanging="720"/>
        <w:rPr/>
      </w:pPr>
      <w:bookmarkStart w:name="_heading=h.qg8lsttajrgg" w:colFirst="0" w:colLast="0" w:id="86"/>
      <w:bookmarkEnd w:id="86"/>
      <w:r w:rsidRPr="00000000" w:rsidDel="00000000" w:rsidR="00000000">
        <w:rPr>
          <w:sz w:val="24"/>
          <w:szCs w:val="24"/>
          <w:rtl w:val="0"/>
        </w:rPr>
        <w:t xml:space="preserve">Training Needs Analysis</w:t>
      </w:r>
      <w:r w:rsidRPr="00000000" w:rsidDel="00000000" w:rsidR="00000000">
        <w:rPr>
          <w:rtl w:val="0"/>
        </w:rPr>
      </w:r>
    </w:p>
    <w:p w:rsidRPr="00000000" w:rsidR="00000000" w:rsidDel="00000000" w:rsidP="00000000" w:rsidRDefault="00000000" w14:paraId="000002BF">
      <w:pPr>
        <w:numPr>
          <w:ilvl w:val="2"/>
          <w:numId w:val="7"/>
        </w:numPr>
        <w:spacing w:line="276" w:lineRule="auto"/>
        <w:ind w:left="720" w:hanging="720"/>
      </w:pPr>
      <w:r w:rsidRPr="00000000" w:rsidDel="00000000" w:rsidR="00000000">
        <w:rPr>
          <w:rtl w:val="0"/>
        </w:rPr>
        <w:t xml:space="preserve">Global Compliance shall undertake a ‘Training Needs Analysis’ with the respective business units and other functions within the Group.  This analysis determines the type and extent of role-specific or targeted training.  This analysis will be periodically reviewed and updated to ensure that the targeted training remains appropriate and relevant in light of emerging risks and updated regulatory requirements.</w:t>
      </w:r>
    </w:p>
    <w:p w:rsidRPr="00000000" w:rsidR="00000000" w:rsidDel="00000000" w:rsidP="00000000" w:rsidRDefault="00000000" w14:paraId="000002C0">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saemw42hytil" w:colFirst="0" w:colLast="0" w:id="87"/>
      <w:bookmarkEnd w:id="87"/>
      <w:r w:rsidRPr="00000000" w:rsidDel="00000000" w:rsidR="00000000">
        <w:rPr>
          <w:sz w:val="24"/>
          <w:szCs w:val="24"/>
          <w:rtl w:val="0"/>
        </w:rPr>
        <w:t xml:space="preserve">Periodic Assessments </w:t>
      </w:r>
      <w:r w:rsidRPr="00000000" w:rsidDel="00000000" w:rsidR="00000000">
        <w:rPr>
          <w:rtl w:val="0"/>
        </w:rPr>
      </w:r>
    </w:p>
    <w:p w:rsidRPr="00000000" w:rsidR="00000000" w:rsidDel="00000000" w:rsidP="00000000" w:rsidRDefault="00000000" w14:paraId="000002C1">
      <w:pPr>
        <w:numPr>
          <w:ilvl w:val="2"/>
          <w:numId w:val="7"/>
        </w:numPr>
        <w:spacing w:line="276" w:lineRule="auto"/>
        <w:ind w:left="720" w:hanging="720"/>
      </w:pPr>
      <w:r w:rsidRPr="00000000" w:rsidDel="00000000" w:rsidR="00000000">
        <w:rPr>
          <w:rtl w:val="0"/>
        </w:rPr>
        <w:t xml:space="preserve">Global Compliance shall also periodically assess the content of the AML training program to assess if the training content remains relevant.  Training will be updated to reflect changes in the business, regulatory, and legal environment, as well as to respond to new and emerging financial crime threats and risks.</w:t>
      </w:r>
    </w:p>
    <w:p w:rsidRPr="00000000" w:rsidR="00000000" w:rsidDel="00000000" w:rsidP="00000000" w:rsidRDefault="00000000" w14:paraId="000002C2">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fi98vuyvahhi" w:colFirst="0" w:colLast="0" w:id="88"/>
      <w:bookmarkEnd w:id="88"/>
      <w:r w:rsidRPr="00000000" w:rsidDel="00000000" w:rsidR="00000000">
        <w:rPr>
          <w:sz w:val="24"/>
          <w:szCs w:val="24"/>
          <w:rtl w:val="0"/>
        </w:rPr>
        <w:t xml:space="preserve">Retention Records</w:t>
      </w:r>
      <w:r w:rsidRPr="00000000" w:rsidDel="00000000" w:rsidR="00000000">
        <w:rPr>
          <w:rtl w:val="0"/>
        </w:rPr>
      </w:r>
    </w:p>
    <w:p w:rsidRPr="00000000" w:rsidR="00000000" w:rsidDel="00000000" w:rsidP="00000000" w:rsidRDefault="00000000" w14:paraId="000002C3">
      <w:pPr>
        <w:numPr>
          <w:ilvl w:val="2"/>
          <w:numId w:val="7"/>
        </w:numPr>
        <w:spacing w:line="276" w:lineRule="auto"/>
        <w:ind w:left="720" w:hanging="720"/>
      </w:pPr>
      <w:r w:rsidRPr="00000000" w:rsidDel="00000000" w:rsidR="00000000">
        <w:rPr>
          <w:rtl w:val="0"/>
        </w:rPr>
        <w:t xml:space="preserve">The Group shall retain records of Personnel that completed their training sessions, which includes the attendance records and relevant training materials for a minimum of six (6) years or longer where required by applicable AML/CFT laws.</w:t>
      </w:r>
    </w:p>
    <w:p w:rsidRPr="00000000" w:rsidR="00000000" w:rsidDel="00000000" w:rsidP="00000000" w:rsidRDefault="00000000" w14:paraId="000002C4">
      <w:pPr>
        <w:pStyle w:val="Heading1"/>
        <w:numPr>
          <w:ilvl w:val="0"/>
          <w:numId w:val="7"/>
        </w:numPr>
        <w:spacing w:before="400" w:after="200" w:lineRule="auto"/>
        <w:ind w:left="720" w:hanging="720"/>
        <w:rPr/>
      </w:pPr>
      <w:bookmarkStart w:name="_heading=h.61sscjdi7lrs" w:colFirst="0" w:colLast="0" w:id="89"/>
      <w:bookmarkEnd w:id="89"/>
      <w:r w:rsidRPr="00000000" w:rsidDel="00000000" w:rsidR="00000000">
        <w:rPr>
          <w:sz w:val="28"/>
          <w:szCs w:val="28"/>
          <w:rtl w:val="0"/>
        </w:rPr>
        <w:t xml:space="preserve">REGULATORY ENGAGEMENT AND COMMUNICATION</w:t>
      </w:r>
      <w:r w:rsidRPr="00000000" w:rsidDel="00000000" w:rsidR="00000000">
        <w:rPr>
          <w:rtl w:val="0"/>
        </w:rPr>
        <w:t xml:space="preserve"> </w:t>
      </w:r>
    </w:p>
    <w:p w:rsidRPr="00000000" w:rsidR="00000000" w:rsidDel="00000000" w:rsidP="00000000" w:rsidRDefault="00000000" w14:paraId="000002C5">
      <w:pPr>
        <w:keepNext w:val="0"/>
        <w:keepLines w:val="0"/>
        <w:pageBreakBefore w:val="0"/>
        <w:widowControl w:val="1"/>
        <w:numPr>
          <w:ilvl w:val="1"/>
          <w:numId w:val="7"/>
        </w:numPr>
        <w:pBdr>
          <w:top w:val="nil" w:sz="0" w:space="0"/>
          <w:left w:val="nil" w:sz="0" w:space="0"/>
          <w:bottom w:val="nil" w:sz="0" w:space="0"/>
          <w:right w:val="nil" w:sz="0" w:space="0"/>
          <w:between w:val="nil" w:sz="0" w:space="0"/>
        </w:pBdr>
        <w:shd w:val="clear" w:fill="auto"/>
        <w:spacing w:before="100" w:after="100" w:line="276" w:lineRule="auto"/>
        <w:ind w:left="720" w:right="0"/>
        <w:jc w:val="both"/>
        <w:rPr/>
      </w:pPr>
      <w:r w:rsidRPr="00000000" w:rsidDel="00000000" w:rsidR="00000000">
        <w:rPr>
          <w:rtl w:val="0"/>
        </w:rPr>
        <w:t xml:space="preserve">It is Binance Group’s policy for Compliance to coordinate responses to any regulatory inquiries as well as regulatory communications, with the Regional Compliance Office, Country Compliance Officer and/or Local MLRO, Legal and other applicable Global functions to ensure responses meet applicable requirements under the applicable ADGM AML Rulebook, and UAE AML Law.</w:t>
      </w:r>
    </w:p>
    <w:p w:rsidRPr="00000000" w:rsidR="00000000" w:rsidDel="00000000" w:rsidP="00000000" w:rsidRDefault="00000000" w14:paraId="000002C6">
      <w:pPr>
        <w:keepNext w:val="0"/>
        <w:keepLines w:val="0"/>
        <w:pageBreakBefore w:val="0"/>
        <w:widowControl w:val="1"/>
        <w:numPr>
          <w:ilvl w:val="1"/>
          <w:numId w:val="7"/>
        </w:numPr>
        <w:pBdr>
          <w:top w:val="nil" w:sz="0" w:space="0"/>
          <w:left w:val="nil" w:sz="0" w:space="0"/>
          <w:bottom w:val="nil" w:sz="0" w:space="0"/>
          <w:right w:val="nil" w:sz="0" w:space="0"/>
          <w:between w:val="nil" w:sz="0" w:space="0"/>
        </w:pBdr>
        <w:shd w:val="clear" w:fill="auto"/>
        <w:spacing w:before="100" w:after="100" w:line="276" w:lineRule="auto"/>
        <w:ind w:left="720" w:right="0" w:hanging="720"/>
        <w:jc w:val="both"/>
        <w:rPr/>
      </w:pPr>
      <w:r w:rsidRPr="00000000" w:rsidDel="00000000" w:rsidR="00000000">
        <w:rPr>
          <w:rtl w:val="0"/>
        </w:rPr>
        <w:t xml:space="preserve">The Country Compliance Officer or the Country MLRO shall be the designated Compliance Officer to manage local regulatory inquiries relating to the AML Programs.  The Country Compliance Officer or the Country MLRO may designate another compliance officer in the Country Compliance Department to support the local regulatory engagement, but such Compliance Officer should have sufficient seniority to manage and respond to the regulatory inquiries with confidence.  The Country Compliance Department shall report regulatory engagements and communications to Global Compliance and the Regional Compliance Officers in a timely manner and in accordance with applicable regulatory reporting obligations.</w:t>
      </w:r>
    </w:p>
    <w:p w:rsidRPr="00000000" w:rsidR="00000000" w:rsidDel="00000000" w:rsidP="00000000" w:rsidRDefault="00000000" w14:paraId="000002C7">
      <w:pPr>
        <w:keepNext w:val="0"/>
        <w:keepLines w:val="0"/>
        <w:pageBreakBefore w:val="0"/>
        <w:widowControl w:val="1"/>
        <w:numPr>
          <w:ilvl w:val="1"/>
          <w:numId w:val="7"/>
        </w:numPr>
        <w:pBdr>
          <w:top w:val="nil" w:sz="0" w:space="0"/>
          <w:left w:val="nil" w:sz="0" w:space="0"/>
          <w:bottom w:val="nil" w:sz="0" w:space="0"/>
          <w:right w:val="nil" w:sz="0" w:space="0"/>
          <w:between w:val="nil" w:sz="0" w:space="0"/>
        </w:pBdr>
        <w:shd w:val="clear" w:fill="auto"/>
        <w:spacing w:before="100" w:after="100" w:line="276" w:lineRule="auto"/>
        <w:ind w:left="720" w:right="0" w:hanging="720"/>
        <w:jc w:val="both"/>
        <w:rPr/>
      </w:pPr>
      <w:r w:rsidRPr="00000000" w:rsidDel="00000000" w:rsidR="00000000">
        <w:rPr>
          <w:rtl w:val="0"/>
        </w:rPr>
        <w:t xml:space="preserve">All regulatory communication should be retained by the Country Compliance Department in accordance with record-keeping requirements under applicable AML/CFT laws.  In the event of a communication or in-person meeting with the local regulators, the matters stated in the communication or the meeting, including any follow-up actions by Binance or Compliance, should be noted down and retained by Country Compliance. </w:t>
      </w:r>
    </w:p>
    <w:p w:rsidRPr="00000000" w:rsidR="00000000" w:rsidDel="00000000" w:rsidP="00000000" w:rsidRDefault="00000000" w14:paraId="000002C8">
      <w:pPr>
        <w:pStyle w:val="Heading1"/>
        <w:numPr>
          <w:ilvl w:val="0"/>
          <w:numId w:val="7"/>
        </w:numPr>
        <w:spacing w:before="400" w:after="200" w:lineRule="auto"/>
        <w:ind w:left="720" w:hanging="720"/>
        <w:rPr/>
      </w:pPr>
      <w:bookmarkStart w:name="_heading=h.fbmht65yvxnv" w:colFirst="0" w:colLast="0" w:id="90"/>
      <w:bookmarkEnd w:id="90"/>
      <w:r w:rsidRPr="00000000" w:rsidDel="00000000" w:rsidR="00000000">
        <w:rPr>
          <w:sz w:val="28"/>
          <w:szCs w:val="28"/>
          <w:rtl w:val="0"/>
        </w:rPr>
        <w:t xml:space="preserve">CLIENT CONFIDENTIALITY AND INFORMATION SHARING</w:t>
      </w:r>
      <w:r w:rsidRPr="00000000" w:rsidDel="00000000" w:rsidR="00000000">
        <w:rPr>
          <w:rtl w:val="0"/>
        </w:rPr>
      </w:r>
    </w:p>
    <w:p w:rsidRPr="00000000" w:rsidR="00000000" w:rsidDel="00000000" w:rsidP="00000000" w:rsidRDefault="00000000" w14:paraId="000002C9">
      <w:pPr>
        <w:numPr>
          <w:ilvl w:val="1"/>
          <w:numId w:val="7"/>
        </w:numPr>
        <w:spacing w:after="100" w:line="276" w:lineRule="auto"/>
        <w:ind w:left="720"/>
        <w:rPr/>
      </w:pPr>
      <w:r w:rsidRPr="00000000" w:rsidDel="00000000" w:rsidR="00000000">
        <w:rPr>
          <w:rtl w:val="0"/>
        </w:rPr>
        <w:t xml:space="preserve">When there is a legal requirement to provide information, such as a request from the FIU with a legal basis, entities within the Binance Group will comply and provide the necessary information in accordance with applicable AML/CFT laws, including ADGM, FSRA and UAE frameworks.  The scope of the information shared is subject to this Policy.  Section 20.1.3 - 20.1.4 of this Policy outlines the principles for data sharing with regulators, law enforcement, and third parties, ensuring proper response to FIU requests, including by specifying the appropriate legal basis, data protection measures used and data transfer mechanisms.</w:t>
      </w:r>
    </w:p>
    <w:p w:rsidRPr="00000000" w:rsidR="00000000" w:rsidDel="00000000" w:rsidP="00000000" w:rsidRDefault="00000000" w14:paraId="000002CA">
      <w:pPr>
        <w:keepNext w:val="0"/>
        <w:keepLines w:val="0"/>
        <w:pageBreakBefore w:val="0"/>
        <w:widowControl w:val="1"/>
        <w:numPr>
          <w:ilvl w:val="1"/>
          <w:numId w:val="7"/>
        </w:numPr>
        <w:pBdr>
          <w:top w:val="nil" w:sz="0" w:space="0"/>
          <w:left w:val="nil" w:sz="0" w:space="0"/>
          <w:bottom w:val="nil" w:sz="0" w:space="0"/>
          <w:right w:val="nil" w:sz="0" w:space="0"/>
          <w:between w:val="nil" w:sz="0" w:space="0"/>
        </w:pBdr>
        <w:shd w:val="clear" w:fill="auto"/>
        <w:spacing w:before="0" w:after="100" w:line="276" w:lineRule="auto"/>
        <w:ind w:left="720" w:right="0" w:hanging="720"/>
        <w:jc w:val="both"/>
        <w:rPr/>
      </w:pPr>
      <w:r w:rsidRPr="00000000" w:rsidDel="00000000" w:rsidR="00000000">
        <w:rPr>
          <w:rtl w:val="0"/>
        </w:rPr>
        <w:t xml:space="preserve">The collection, use, and disclosure of clients' personal data will comply with the privacy policies outlined in the Binance Group Privacy Program, as detailed in the Group Data Protection Policy.  The legal bases for data processing are specified in the relevant Privacy Notices available on the Binance websites.  Where legally required, data transfer mechanisms between relevant Binance entities are established and documented within data processing agreements and must comply with cross-border data transfer requirements under applicable AML/CFT and data protection laws.</w:t>
      </w:r>
    </w:p>
    <w:p w:rsidRPr="00000000" w:rsidR="00000000" w:rsidDel="00000000" w:rsidP="00000000" w:rsidRDefault="00000000" w14:paraId="000002CB">
      <w:pPr>
        <w:keepNext w:val="0"/>
        <w:keepLines w:val="0"/>
        <w:pageBreakBefore w:val="0"/>
        <w:widowControl w:val="0"/>
        <w:numPr>
          <w:ilvl w:val="1"/>
          <w:numId w:val="7"/>
        </w:numPr>
        <w:pBdr>
          <w:top w:val="nil" w:sz="0" w:space="0"/>
          <w:left w:val="nil" w:sz="0" w:space="0"/>
          <w:bottom w:val="nil" w:sz="0" w:space="0"/>
          <w:right w:val="nil" w:sz="0" w:space="0"/>
          <w:between w:val="nil" w:sz="0" w:space="0"/>
        </w:pBdr>
        <w:shd w:val="clear" w:fill="auto"/>
        <w:spacing w:before="0" w:after="100" w:line="276" w:lineRule="auto"/>
        <w:ind w:left="720" w:right="0" w:hanging="720"/>
        <w:jc w:val="both"/>
        <w:rPr/>
      </w:pPr>
      <w:r w:rsidRPr="00000000" w:rsidDel="00000000" w:rsidR="00000000">
        <w:rPr>
          <w:rtl w:val="0"/>
        </w:rPr>
        <w:t xml:space="preserve">Binance may receive requests from local regulators, local Law Enforcement Agencies and other relevant authorities</w:t>
      </w:r>
      <w:r w:rsidRPr="00000000" w:rsidDel="00000000" w:rsidR="00000000">
        <w:rPr>
          <w:vertAlign w:val="superscript"/>
        </w:rPr>
        <w:footnoteReference w:customMarkFollows="0" w:id="6"/>
      </w:r>
      <w:r w:rsidRPr="00000000" w:rsidDel="00000000" w:rsidR="00000000">
        <w:rPr>
          <w:rtl w:val="0"/>
        </w:rPr>
        <w:t xml:space="preserve"> in particular on specific Transactions, clients or related to our operations in general, where personal data may be exposed.  In those cases, the relevant team will be contacted to review the requests.  If the request comes from a jurisdiction where Binance has a license or registration, the local team tasked with managing that region will review the request.  Regulatory, Compliance and Tax Teams, where relevant, will also be asked to review the request in order to provide satisfactory answers to those regulators.  The Privacy Legal Team and Data Protection Officer for the particular region will establish whether the particular request has a lawful basis and will relay this information to the other teams involved. </w:t>
      </w:r>
    </w:p>
    <w:p w:rsidRPr="00000000" w:rsidR="00000000" w:rsidDel="00000000" w:rsidP="00000000" w:rsidRDefault="00000000" w14:paraId="000002CC">
      <w:pPr>
        <w:keepNext w:val="0"/>
        <w:keepLines w:val="0"/>
        <w:pageBreakBefore w:val="0"/>
        <w:widowControl w:val="1"/>
        <w:numPr>
          <w:ilvl w:val="1"/>
          <w:numId w:val="7"/>
        </w:numPr>
        <w:pBdr>
          <w:top w:val="nil" w:sz="0" w:space="0"/>
          <w:left w:val="nil" w:sz="0" w:space="0"/>
          <w:bottom w:val="nil" w:sz="0" w:space="0"/>
          <w:right w:val="nil" w:sz="0" w:space="0"/>
          <w:between w:val="nil" w:sz="0" w:space="0"/>
        </w:pBdr>
        <w:shd w:val="clear" w:fill="auto"/>
        <w:spacing w:before="0" w:after="100" w:line="276" w:lineRule="auto"/>
        <w:ind w:left="720" w:right="0" w:hanging="720"/>
        <w:jc w:val="both"/>
        <w:rPr/>
      </w:pPr>
      <w:r w:rsidRPr="00000000" w:rsidDel="00000000" w:rsidR="00000000">
        <w:rPr>
          <w:rtl w:val="0"/>
        </w:rPr>
        <w:t xml:space="preserve">All requests for data received from FIUs in regulated jurisdictions which are directed to the relevant legal entity within the Group will be dealt with according to applicable local law in a timely manner.  This includes information on whether the person or persons that are the subject of a particular request is or was a Binance Customer and which specific Binance entity they are or were a client of.</w:t>
      </w:r>
    </w:p>
    <w:p w:rsidRPr="00000000" w:rsidR="00000000" w:rsidDel="00000000" w:rsidP="00000000" w:rsidRDefault="00000000" w14:paraId="000002CD">
      <w:pPr>
        <w:keepNext w:val="0"/>
        <w:keepLines w:val="0"/>
        <w:pageBreakBefore w:val="0"/>
        <w:widowControl w:val="1"/>
        <w:numPr>
          <w:ilvl w:val="1"/>
          <w:numId w:val="7"/>
        </w:numPr>
        <w:pBdr>
          <w:top w:val="nil" w:sz="0" w:space="0"/>
          <w:left w:val="nil" w:sz="0" w:space="0"/>
          <w:bottom w:val="nil" w:sz="0" w:space="0"/>
          <w:right w:val="nil" w:sz="0" w:space="0"/>
          <w:between w:val="nil" w:sz="0" w:space="0"/>
        </w:pBdr>
        <w:shd w:val="clear" w:fill="auto"/>
        <w:spacing w:before="0" w:after="100" w:line="276" w:lineRule="auto"/>
        <w:ind w:left="720" w:right="0" w:hanging="720"/>
        <w:jc w:val="both"/>
        <w:rPr/>
      </w:pPr>
      <w:r w:rsidRPr="00000000" w:rsidDel="00000000" w:rsidR="00000000">
        <w:rPr>
          <w:rtl w:val="0"/>
        </w:rPr>
        <w:t xml:space="preserve">Personal data collected for the purpose of complying with AML/CTF/CPF laws will follow the requirements of each jurisdiction’s requirements and avoid requesting unnecessary data, following the principle of data minimization and ensuring alignment with our Data Minimization Policy and applicable legal obligations under ADGM, FSRA, and UAE frameworks.</w:t>
      </w:r>
    </w:p>
    <w:p w:rsidRPr="00000000" w:rsidR="00000000" w:rsidDel="00000000" w:rsidP="00000000" w:rsidRDefault="00000000" w14:paraId="000002CE">
      <w:pPr>
        <w:keepNext w:val="0"/>
        <w:keepLines w:val="0"/>
        <w:pageBreakBefore w:val="0"/>
        <w:widowControl w:val="1"/>
        <w:numPr>
          <w:ilvl w:val="1"/>
          <w:numId w:val="7"/>
        </w:numPr>
        <w:pBdr>
          <w:top w:val="nil" w:sz="0" w:space="0"/>
          <w:left w:val="nil" w:sz="0" w:space="0"/>
          <w:bottom w:val="nil" w:sz="0" w:space="0"/>
          <w:right w:val="nil" w:sz="0" w:space="0"/>
          <w:between w:val="nil" w:sz="0" w:space="0"/>
        </w:pBdr>
        <w:shd w:val="clear" w:fill="auto"/>
        <w:spacing w:before="0" w:after="100" w:line="276" w:lineRule="auto"/>
        <w:ind w:left="720" w:right="0" w:hanging="720"/>
        <w:jc w:val="both"/>
        <w:rPr/>
      </w:pPr>
      <w:r w:rsidRPr="00000000" w:rsidDel="00000000" w:rsidR="00000000">
        <w:rPr>
          <w:rtl w:val="0"/>
        </w:rPr>
        <w:t xml:space="preserve">AML/CTF activities must be documented in the Records of Processing Activities (RoPA)</w:t>
      </w:r>
      <w:r w:rsidRPr="00000000" w:rsidDel="00000000" w:rsidR="00000000">
        <w:rPr>
          <w:vertAlign w:val="superscript"/>
        </w:rPr>
        <w:footnoteReference w:customMarkFollows="0" w:id="7"/>
      </w:r>
      <w:r w:rsidRPr="00000000" w:rsidDel="00000000" w:rsidR="00000000">
        <w:rPr>
          <w:rtl w:val="0"/>
        </w:rPr>
        <w:t xml:space="preserve"> and updated as necessary and must be reviewed on an annual basis, in accordance with the Methodology for Creating and Maintaining a Records of Processing Activity (RoPA) Policy.  A RoPA refers to a requirement laid out in the </w:t>
      </w:r>
      <w:hyperlink r:id="rId15">
        <w:r w:rsidRPr="00000000" w:rsidDel="00000000" w:rsidR="00000000">
          <w:rPr>
            <w:rtl w:val="0"/>
          </w:rPr>
          <w:t xml:space="preserve">General Data Protection Regulation</w:t>
        </w:r>
      </w:hyperlink>
      <w:r w:rsidRPr="00000000" w:rsidDel="00000000" w:rsidR="00000000">
        <w:rPr>
          <w:rtl w:val="0"/>
        </w:rPr>
        <w:t xml:space="preserve"> (GDPR), which states, in part, that a data controller must “maintain a record of processing activities under its responsibility,” including “all categories of processing activities.” A valid RoPA will be the product of efficient record keeping procedures and accountability, and the continued review and maintenance of these procedures by Binance will promote our compliance with GDPR standards.  The Records of Processing Activities (RoPA) will define the legal bases for processing personal data, as required by the AML/CTF laws of each jurisdiction.  It will also establish the mechanisms for external data sharing, methods of data storage, and the data retention requirements as mandated by the laws in each local jurisdiction where the Binance Group operates, in accordance with our Binance Group Data Retention Policy.</w:t>
      </w:r>
    </w:p>
    <w:p w:rsidRPr="00000000" w:rsidR="00000000" w:rsidDel="00000000" w:rsidP="00000000" w:rsidRDefault="00000000" w14:paraId="000002CF">
      <w:pPr>
        <w:keepNext w:val="0"/>
        <w:keepLines w:val="0"/>
        <w:pageBreakBefore w:val="0"/>
        <w:widowControl w:val="1"/>
        <w:numPr>
          <w:ilvl w:val="1"/>
          <w:numId w:val="7"/>
        </w:numPr>
        <w:pBdr>
          <w:top w:val="nil" w:sz="0" w:space="0"/>
          <w:left w:val="nil" w:sz="0" w:space="0"/>
          <w:bottom w:val="nil" w:sz="0" w:space="0"/>
          <w:right w:val="nil" w:sz="0" w:space="0"/>
          <w:between w:val="nil" w:sz="0" w:space="0"/>
        </w:pBdr>
        <w:shd w:val="clear" w:fill="auto"/>
        <w:spacing w:before="0" w:after="100" w:line="276" w:lineRule="auto"/>
        <w:ind w:left="720" w:right="0" w:hanging="720"/>
        <w:jc w:val="both"/>
        <w:rPr/>
      </w:pPr>
      <w:r w:rsidRPr="00000000" w:rsidDel="00000000" w:rsidR="00000000">
        <w:rPr>
          <w:rtl w:val="0"/>
        </w:rPr>
        <w:t xml:space="preserve">For the purpose of implementing the Global AML Program and effective financial crime risk management within the Binance Group, and in accordance with the applicable procedures:</w:t>
      </w:r>
    </w:p>
    <w:p w:rsidRPr="00000000" w:rsidR="00000000" w:rsidDel="00000000" w:rsidP="00000000" w:rsidRDefault="00000000" w14:paraId="000002D0">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The sharing of personal data within the Group for the purpose of complying with Anti-Money Laundering (AML) obligations shall be conducted in accordance with the principles of data minimization, tailored to the specific requirements of each jurisdiction.</w:t>
      </w:r>
      <w:r w:rsidRPr="00000000" w:rsidDel="00000000" w:rsidR="00000000">
        <w:rPr>
          <w:rtl w:val="0"/>
        </w:rPr>
      </w:r>
    </w:p>
    <w:p w:rsidRPr="00000000" w:rsidR="00000000" w:rsidDel="00000000" w:rsidP="00000000" w:rsidRDefault="00000000" w14:paraId="000002D1">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Compliance may share all KYC-related information, including transactional data and analysis of unusual Transactions or activities, with relevant internal stakeholders when proper justification is provided via internal case management tools, such as Binance Admin and HaoDesk.  This information is shared on a confidential basis to perform a holistic review of the user profile.</w:t>
      </w:r>
      <w:r w:rsidRPr="00000000" w:rsidDel="00000000" w:rsidR="00000000">
        <w:rPr>
          <w:i w:val="0"/>
          <w:iCs w:val="0"/>
          <w:smallCaps w:val="0"/>
          <w:strike w:val="0"/>
          <w:color w:val="000000"/>
          <w:sz w:val="22"/>
          <w:szCs w:val="22"/>
          <w:u w:val="none"/>
          <w:shd w:val="clear" w:fill="auto"/>
          <w:vertAlign w:val="superscript"/>
        </w:rPr>
        <w:footnoteReference w:customMarkFollows="0" w:id="8"/>
      </w:r>
      <w:r w:rsidRPr="00000000" w:rsidDel="00000000" w:rsidR="00000000">
        <w:rPr>
          <w:i w:val="0"/>
          <w:iCs w:val="0"/>
          <w:smallCaps w:val="0"/>
          <w:strike w:val="0"/>
          <w:color w:val="000000"/>
          <w:sz w:val="22"/>
          <w:szCs w:val="22"/>
          <w:u w:val="none"/>
          <w:shd w:val="clear" w:fill="auto"/>
          <w:vertAlign w:val="baseline"/>
          <w:rtl w:val="0"/>
        </w:rPr>
        <w:t xml:space="preserve"> However, the following information is restricted from being disclosed within the Group:  the filing of an external SAR/STR with the FIU; information provided based on a request from the FIU; information transferred to LEA, including information on suspicion of committing a crime; information provided to the FIU or LEA about suspending Transactions and blocking accounts; information provided to the FIU on the transmission of information to LEA and on the orders issued by LEA; and information on plans to initiate or conduct analysis on money laundering or terrorist financing. </w:t>
      </w:r>
      <w:r w:rsidRPr="00000000" w:rsidDel="00000000" w:rsidR="00000000">
        <w:rPr>
          <w:rtl w:val="0"/>
        </w:rPr>
      </w:r>
    </w:p>
    <w:p w:rsidRPr="00000000" w:rsidR="00000000" w:rsidDel="00000000" w:rsidP="00000000" w:rsidRDefault="00000000" w14:paraId="000002D2">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Restricted information may be exchanged by entities within a Group that are considered financial institutions or between those institutions and their branches and majority-owned subsidiaries located in third countries.  This exchange is permissible provided that those branches and majority-owned subsidiaries fully comply with the group-wide policies and procedures, including procedures for sharing information within the Group and that such sharing is consistent with the applicable ADGM, FSRA, and UAE rules on group-wide information sharing.</w:t>
      </w:r>
      <w:r w:rsidRPr="00000000" w:rsidDel="00000000" w:rsidR="00000000">
        <w:rPr>
          <w:rtl w:val="0"/>
        </w:rPr>
      </w:r>
    </w:p>
    <w:p w:rsidRPr="00000000" w:rsidR="00000000" w:rsidDel="00000000" w:rsidP="00000000" w:rsidRDefault="00000000" w14:paraId="000002D3">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The Group will follow the specific conditions detailed in section 20.1.3-4 of this Policy for external data sharing and engagement with Law Enforcement and other authorities. </w:t>
      </w:r>
      <w:r w:rsidRPr="00000000" w:rsidDel="00000000" w:rsidR="00000000">
        <w:rPr>
          <w:rtl w:val="0"/>
        </w:rPr>
      </w:r>
    </w:p>
    <w:p w:rsidRPr="00000000" w:rsidR="00000000" w:rsidDel="00000000" w:rsidP="00000000" w:rsidRDefault="00000000" w14:paraId="000002D4">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The Group shares information on the suspicion that certain assets may originate from criminal activities or be linked to the financing of terrorism.  Such suspicions identified by Global Compliance are communicated to the MLROs via internal case management tools.  When an MLRO detects such suspicion, it is reported to the Financial Crime Investigations (FCI) team, through internal case management tools, such as Binance Admin and HaoDesk.  The suspicion is then investigated in accordance with the Global FCI Guidelines and Procedures and the Internal SAR Filing Guidelines and Procedures.  MLROs have access to suspicions reported by other MLROs within the Group.</w:t>
      </w:r>
      <w:r w:rsidRPr="00000000" w:rsidDel="00000000" w:rsidR="00000000">
        <w:rPr>
          <w:rtl w:val="0"/>
        </w:rPr>
      </w:r>
    </w:p>
    <w:p w:rsidRPr="00000000" w:rsidR="00000000" w:rsidDel="00000000" w:rsidP="00000000" w:rsidRDefault="00000000" w14:paraId="000002D5">
      <w:pPr>
        <w:keepNext w:val="0"/>
        <w:keepLines w:val="0"/>
        <w:pageBreakBefore w:val="0"/>
        <w:widowControl w:val="1"/>
        <w:numPr>
          <w:ilvl w:val="1"/>
          <w:numId w:val="7"/>
        </w:numPr>
        <w:pBdr>
          <w:top w:val="nil" w:sz="0" w:space="0"/>
          <w:left w:val="nil" w:sz="0" w:space="0"/>
          <w:bottom w:val="nil" w:sz="0" w:space="0"/>
          <w:right w:val="nil" w:sz="0" w:space="0"/>
          <w:between w:val="nil" w:sz="0" w:space="0"/>
        </w:pBdr>
        <w:shd w:val="clear" w:fill="auto"/>
        <w:spacing w:before="0" w:after="100" w:line="276" w:lineRule="auto"/>
        <w:ind w:left="720" w:right="0" w:hanging="720"/>
        <w:jc w:val="both"/>
        <w:rPr/>
      </w:pPr>
      <w:r w:rsidRPr="00000000" w:rsidDel="00000000" w:rsidR="00000000">
        <w:rPr>
          <w:rtl w:val="0"/>
        </w:rPr>
        <w:t xml:space="preserve">The Group discloses information to local entities only regarding users affiliated with those entities to verify suspicions and decide on the necessary actions, such as account restrictions, offboarding, or retention.  Given the sensitivity of shared information, including the initiation and conduction ML/TF analysis and information on SAR/STR, all Personnel, individuals on behalf of local entities, and all persons with access to shared information within the Group are required to maintain strict confidentiality regarding all shared information.  Adequate safeguards must be in place to ensure the confidentiality and proper use of disclosed or shared information.  Access to such information must be restricted, and no unauthorised disclosures are permitted to avoid Tipping Off.  To ensure the protection of information shared within the Binance Group, Binance has implemented several data protection measures, including the Binance Cyber Security Program, the Information Asset Security Management Policy, and the Incident Response Plan.  These measures are designed to control access to the information, prevent unauthorised access, provide safeguards, and describe actions to be taken in the event of data leaks or unauthorised access in compliance with applicable AML/CFT confidentiality requirements.</w:t>
      </w:r>
    </w:p>
    <w:p w:rsidRPr="00000000" w:rsidR="00000000" w:rsidDel="00000000" w:rsidP="00000000" w:rsidRDefault="00000000" w14:paraId="000002D6">
      <w:pPr>
        <w:keepNext w:val="0"/>
        <w:keepLines w:val="0"/>
        <w:pageBreakBefore w:val="0"/>
        <w:widowControl w:val="1"/>
        <w:numPr>
          <w:ilvl w:val="1"/>
          <w:numId w:val="7"/>
        </w:numPr>
        <w:pBdr>
          <w:top w:val="nil" w:sz="0" w:space="0"/>
          <w:left w:val="nil" w:sz="0" w:space="0"/>
          <w:bottom w:val="nil" w:sz="0" w:space="0"/>
          <w:right w:val="nil" w:sz="0" w:space="0"/>
          <w:between w:val="nil" w:sz="0" w:space="0"/>
        </w:pBdr>
        <w:shd w:val="clear" w:fill="auto"/>
        <w:spacing w:before="0" w:after="100" w:line="276" w:lineRule="auto"/>
        <w:ind w:left="720" w:right="0" w:hanging="720"/>
        <w:jc w:val="both"/>
        <w:rPr/>
      </w:pPr>
      <w:r w:rsidRPr="00000000" w:rsidDel="00000000" w:rsidR="00000000">
        <w:rPr>
          <w:rtl w:val="0"/>
        </w:rPr>
        <w:t xml:space="preserve">The Group is not required to provide any information to the Customer or to any third party (at the Customer’s direction) about the ways in which the personal data of the relevant individuals has been or may have been used or disclosed by the Group as part of its financial crime risk management.  In particular, the Group will not disclose any information related to the Group’s assessment of the risk of the Customer, or of his/her Transactions or account activities unless directed by applicable local law. </w:t>
      </w:r>
    </w:p>
    <w:p w:rsidRPr="00000000" w:rsidR="00000000" w:rsidDel="00000000" w:rsidP="00000000" w:rsidRDefault="00000000" w14:paraId="000002D7">
      <w:pPr>
        <w:keepNext w:val="0"/>
        <w:keepLines w:val="0"/>
        <w:pageBreakBefore w:val="0"/>
        <w:widowControl w:val="1"/>
        <w:numPr>
          <w:ilvl w:val="1"/>
          <w:numId w:val="7"/>
        </w:numPr>
        <w:pBdr>
          <w:top w:val="nil" w:sz="0" w:space="0"/>
          <w:left w:val="nil" w:sz="0" w:space="0"/>
          <w:bottom w:val="nil" w:sz="0" w:space="0"/>
          <w:right w:val="nil" w:sz="0" w:space="0"/>
          <w:between w:val="nil" w:sz="0" w:space="0"/>
        </w:pBdr>
        <w:shd w:val="clear" w:fill="auto"/>
        <w:spacing w:before="0" w:after="100" w:line="276" w:lineRule="auto"/>
        <w:ind w:left="720" w:right="0" w:hanging="720"/>
        <w:jc w:val="both"/>
        <w:rPr/>
      </w:pPr>
      <w:r w:rsidRPr="00000000" w:rsidDel="00000000" w:rsidR="00000000">
        <w:rPr>
          <w:rtl w:val="0"/>
        </w:rPr>
        <w:t xml:space="preserve">The above does not go against the Group’s Data Subject Rights Request Procedure and any other privacy rights applicable to the Customer. </w:t>
      </w:r>
    </w:p>
    <w:p w:rsidRPr="00000000" w:rsidR="00000000" w:rsidDel="00000000" w:rsidP="00000000" w:rsidRDefault="00000000" w14:paraId="000002D8">
      <w:pPr>
        <w:pStyle w:val="Heading1"/>
        <w:keepNext w:val="0"/>
        <w:keepLines w:val="0"/>
        <w:pageBreakBefore w:val="1"/>
        <w:widowControl w:val="1"/>
        <w:numPr>
          <w:ilvl w:val="0"/>
          <w:numId w:val="7"/>
        </w:numPr>
        <w:pBdr>
          <w:top w:val="nil" w:sz="0" w:space="0"/>
          <w:left w:val="nil" w:sz="0" w:space="0"/>
          <w:bottom w:val="nil" w:sz="0" w:space="0"/>
          <w:right w:val="nil" w:sz="0" w:space="0"/>
          <w:between w:val="nil" w:sz="0" w:space="0"/>
        </w:pBdr>
        <w:shd w:val="clear" w:fill="auto"/>
        <w:spacing w:before="300" w:after="100" w:line="360" w:lineRule="auto"/>
        <w:ind w:left="720" w:right="0" w:hanging="720"/>
        <w:jc w:val="both"/>
        <w:rPr/>
      </w:pPr>
      <w:bookmarkStart w:name="_heading=h.wajfvpntyppm" w:colFirst="0" w:colLast="0" w:id="91"/>
      <w:bookmarkEnd w:id="91"/>
      <w:r w:rsidRPr="00000000" w:rsidDel="00000000" w:rsidR="00000000">
        <w:rPr>
          <w:sz w:val="28"/>
          <w:szCs w:val="28"/>
          <w:rtl w:val="0"/>
        </w:rPr>
        <w:t xml:space="preserve">INTERNAL POLICY AND PROCEDURES </w:t>
      </w:r>
      <w:r w:rsidRPr="00000000" w:rsidDel="00000000" w:rsidR="00000000">
        <w:rPr>
          <w:rtl w:val="0"/>
        </w:rPr>
      </w:r>
    </w:p>
    <w:p w:rsidRPr="00000000" w:rsidR="00000000" w:rsidDel="00000000" w:rsidP="00000000" w:rsidRDefault="00000000" w14:paraId="000002D9">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0" w:after="120" w:line="360" w:lineRule="auto"/>
        <w:ind w:left="720" w:right="0" w:hanging="720"/>
        <w:jc w:val="both"/>
        <w:rPr/>
      </w:pPr>
      <w:bookmarkStart w:name="_heading=h.idcqulm9fh7p" w:colFirst="0" w:colLast="0" w:id="92"/>
      <w:bookmarkEnd w:id="92"/>
      <w:r w:rsidRPr="00000000" w:rsidDel="00000000" w:rsidR="00000000">
        <w:rPr>
          <w:sz w:val="24"/>
          <w:szCs w:val="24"/>
          <w:rtl w:val="0"/>
        </w:rPr>
        <w:t xml:space="preserve">Documented Policy and Procedures</w:t>
      </w:r>
      <w:r w:rsidRPr="00000000" w:rsidDel="00000000" w:rsidR="00000000">
        <w:rPr>
          <w:rtl w:val="0"/>
        </w:rPr>
      </w:r>
    </w:p>
    <w:p w:rsidRPr="00000000" w:rsidR="00000000" w:rsidDel="00000000" w:rsidP="00000000" w:rsidRDefault="00000000" w14:paraId="000002DA">
      <w:pPr>
        <w:numPr>
          <w:ilvl w:val="2"/>
          <w:numId w:val="7"/>
        </w:numPr>
        <w:spacing w:after="200" w:line="276" w:lineRule="auto"/>
        <w:ind w:left="720" w:hanging="720"/>
      </w:pPr>
      <w:r w:rsidRPr="00000000" w:rsidDel="00000000" w:rsidR="00000000">
        <w:rPr>
          <w:rtl w:val="0"/>
        </w:rPr>
        <w:t xml:space="preserve">The Global Compliance team’s policies, procedures, and controls on AML/CTF and CPF measures are clearly specified in writing within the policies that form the Global Financial Crimes Compliance Program, as detailed in Appendix 1 to this Policy.  All Group Personnel (including contingent workers) must comply with the requirements of the Policy, and the underlying procedures.  This includes ensuring that documented policies and procedures meet the standards prescribed under the ADGM AML Rulebook, and the UAE AML Law, covering governance, CDD, ongoing monitoring, suspicious transaction reporting, record keeping, training, and internal controls.</w:t>
      </w:r>
    </w:p>
    <w:p w:rsidRPr="00000000" w:rsidR="00000000" w:rsidDel="00000000" w:rsidP="00000000" w:rsidRDefault="00000000" w14:paraId="000002DB">
      <w:pPr>
        <w:numPr>
          <w:ilvl w:val="2"/>
          <w:numId w:val="7"/>
        </w:numPr>
        <w:spacing w:after="200" w:line="276" w:lineRule="auto"/>
        <w:ind w:left="720" w:hanging="720"/>
      </w:pPr>
      <w:r w:rsidRPr="00000000" w:rsidDel="00000000" w:rsidR="00000000">
        <w:rPr>
          <w:rtl w:val="0"/>
        </w:rPr>
        <w:t xml:space="preserve">The Global Compliance team provides the relevant training, where required, to Personnel to ensure Personnel are aware of their obligations in respect of managing financial crime risks and provides instructions as well as guidance on how to ensure compliance with the Group Financial Crimes Compliance Program.  Personnel comply with the requirements by acting in accordance with relevant training, Department Operating Instructions (DOIs), process notes, the Group Code of Conduct and other materials brought to their attention.  Procedures must include mechanisms to monitor compliance, report breaches, and implement remedial actions, in accordance with applicable ADGM, FSRA, and UAE requirements.</w:t>
      </w:r>
    </w:p>
    <w:p w:rsidRPr="00000000" w:rsidR="00000000" w:rsidDel="00000000" w:rsidP="00000000" w:rsidRDefault="00000000" w14:paraId="000002DC">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18wx9qbf0t2c" w:colFirst="0" w:colLast="0" w:id="93"/>
      <w:bookmarkEnd w:id="93"/>
      <w:r w:rsidRPr="00000000" w:rsidDel="00000000" w:rsidR="00000000">
        <w:rPr>
          <w:sz w:val="24"/>
          <w:szCs w:val="24"/>
          <w:rtl w:val="0"/>
        </w:rPr>
        <w:t xml:space="preserve">Document Review</w:t>
      </w:r>
      <w:r w:rsidRPr="00000000" w:rsidDel="00000000" w:rsidR="00000000">
        <w:rPr>
          <w:rtl w:val="0"/>
        </w:rPr>
      </w:r>
    </w:p>
    <w:p w:rsidRPr="00000000" w:rsidR="00000000" w:rsidDel="00000000" w:rsidP="00000000" w:rsidRDefault="00000000" w14:paraId="000002DD">
      <w:pPr>
        <w:numPr>
          <w:ilvl w:val="2"/>
          <w:numId w:val="7"/>
        </w:numPr>
        <w:spacing w:after="100" w:line="276" w:lineRule="auto"/>
        <w:ind w:left="720" w:hanging="720"/>
      </w:pPr>
      <w:r w:rsidRPr="00000000" w:rsidDel="00000000" w:rsidR="00000000">
        <w:rPr>
          <w:rtl w:val="0"/>
        </w:rPr>
        <w:t xml:space="preserve">The </w:t>
      </w:r>
      <w:r w:rsidRPr="00000000" w:rsidDel="00000000" w:rsidR="00000000">
        <w:rPr>
          <w:highlight w:val="yellow"/>
          <w:rtl w:val="0"/>
        </w:rPr>
        <w:t xml:space="preserve">Global AML Policy shall be reviewed at least annually or upon a trigger event such as regulatory change, audit finding or technology-related solution that materially changes how the business will function as a whole.</w:t>
      </w:r>
      <w:r w:rsidRPr="00000000" w:rsidDel="00000000" w:rsidR="00000000">
        <w:rPr>
          <w:rtl w:val="0"/>
        </w:rPr>
        <w:t xml:space="preserve">  This review must also address any changes to ADGM AML Rulebook, and the UAE AML Law to ensure continued compliance.</w:t>
      </w:r>
    </w:p>
    <w:p w:rsidRPr="00000000" w:rsidR="00000000" w:rsidDel="00000000" w:rsidP="00000000" w:rsidRDefault="00000000" w14:paraId="000002DE">
      <w:pPr>
        <w:numPr>
          <w:ilvl w:val="2"/>
          <w:numId w:val="7"/>
        </w:numPr>
        <w:spacing w:after="100" w:line="276" w:lineRule="auto"/>
        <w:ind w:left="720" w:hanging="720"/>
      </w:pPr>
      <w:r w:rsidRPr="00000000" w:rsidDel="00000000" w:rsidR="00000000">
        <w:rPr>
          <w:rtl w:val="0"/>
        </w:rPr>
        <w:t xml:space="preserve">The AML/CTF procedures and guidance developed pursuant to the Global AML Policy shall be reviewed at least annually to ensure that the controls, processes and measures are effective and are in compliance with the Global AML Policy and meet minimum regulatory requirements for governance, CDD, suspicious activity reporting, and record retention as set out by ADGM, FSRA, and UAE frameworks. </w:t>
      </w:r>
    </w:p>
    <w:p w:rsidRPr="00000000" w:rsidR="00000000" w:rsidDel="00000000" w:rsidP="00000000" w:rsidRDefault="00000000" w14:paraId="000002DF">
      <w:pPr>
        <w:numPr>
          <w:ilvl w:val="2"/>
          <w:numId w:val="7"/>
        </w:numPr>
        <w:spacing w:after="100" w:line="276" w:lineRule="auto"/>
        <w:ind w:left="720" w:hanging="720"/>
        <w:rPr>
          <w:highlight w:val="yellow"/>
        </w:rPr>
      </w:pPr>
      <w:r w:rsidRPr="00000000" w:rsidDel="00000000" w:rsidR="00000000">
        <w:rPr>
          <w:highlight w:val="yellow"/>
          <w:rtl w:val="0"/>
        </w:rPr>
        <w:t xml:space="preserve">The Global AML Policy is effective immediately upon approval and issuance by the CCO and ADGM MLROs or delegates.  Binance Group stakeholders have three months from the date of approval and issuance to implement.</w:t>
      </w:r>
      <w:r w:rsidRPr="00000000" w:rsidDel="00000000" w:rsidR="00000000">
        <w:rPr>
          <w:highlight w:val="yellow"/>
          <w:vertAlign w:val="superscript"/>
        </w:rPr>
        <w:footnoteReference w:customMarkFollows="0" w:id="9"/>
      </w:r>
      <w:r w:rsidRPr="00000000" w:rsidDel="00000000" w:rsidR="00000000">
        <w:rPr>
          <w:rtl w:val="0"/>
        </w:rPr>
      </w:r>
    </w:p>
    <w:p w:rsidRPr="00000000" w:rsidR="00000000" w:rsidDel="00000000" w:rsidP="00000000" w:rsidRDefault="00000000" w14:paraId="000002E0">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ay1ynigl5wz4" w:colFirst="0" w:colLast="0" w:id="94"/>
      <w:bookmarkEnd w:id="94"/>
      <w:r w:rsidRPr="00000000" w:rsidDel="00000000" w:rsidR="00000000">
        <w:rPr>
          <w:sz w:val="24"/>
          <w:szCs w:val="24"/>
          <w:rtl w:val="0"/>
        </w:rPr>
        <w:t xml:space="preserve">Document Deviation</w:t>
      </w:r>
      <w:r w:rsidRPr="00000000" w:rsidDel="00000000" w:rsidR="00000000">
        <w:rPr>
          <w:rtl w:val="0"/>
        </w:rPr>
      </w:r>
    </w:p>
    <w:p w:rsidRPr="00000000" w:rsidR="00000000" w:rsidDel="00000000" w:rsidP="00000000" w:rsidRDefault="00000000" w14:paraId="000002E1">
      <w:pPr>
        <w:numPr>
          <w:ilvl w:val="2"/>
          <w:numId w:val="7"/>
        </w:numPr>
        <w:spacing w:after="100" w:line="276" w:lineRule="auto"/>
        <w:ind w:left="720" w:hanging="720"/>
      </w:pPr>
      <w:r w:rsidRPr="00000000" w:rsidDel="00000000" w:rsidR="00000000">
        <w:rPr>
          <w:rtl w:val="0"/>
        </w:rPr>
        <w:t xml:space="preserve">In the event where the licensed or registered entity AML requirements deviate from the Global AML Program or are more stringent, the Local Compliance Department is required to create a Country Addendum to record the deviation and the more stringent requirements.  Where the Global AML Program and local in-country standards differ, the Binance-Country entity shall take a risk based approach to ensure compliance with local requirements while considering that the requirements set out in ADGM AML Rulebook, and the UAE AML Law are not compromised.</w:t>
      </w:r>
    </w:p>
    <w:p w:rsidRPr="00000000" w:rsidR="00000000" w:rsidDel="00000000" w:rsidP="00000000" w:rsidRDefault="00000000" w14:paraId="000002E2">
      <w:pPr>
        <w:numPr>
          <w:ilvl w:val="2"/>
          <w:numId w:val="7"/>
        </w:numPr>
        <w:spacing w:after="100" w:line="276" w:lineRule="auto"/>
        <w:ind w:left="720" w:hanging="720"/>
      </w:pPr>
      <w:r w:rsidRPr="00000000" w:rsidDel="00000000" w:rsidR="00000000">
        <w:rPr>
          <w:rtl w:val="0"/>
        </w:rPr>
        <w:t xml:space="preserve">The Country Addendum is also required to record the necessary incremental changes to the global AML/CTF procedures and the function or unit that is responsible for implementation. </w:t>
      </w:r>
    </w:p>
    <w:p w:rsidRPr="00000000" w:rsidR="00000000" w:rsidDel="00000000" w:rsidP="00000000" w:rsidRDefault="00000000" w14:paraId="000002E3">
      <w:pPr>
        <w:numPr>
          <w:ilvl w:val="2"/>
          <w:numId w:val="7"/>
        </w:numPr>
        <w:spacing w:after="100" w:line="276" w:lineRule="auto"/>
        <w:ind w:left="720" w:hanging="720"/>
      </w:pPr>
      <w:r w:rsidRPr="00000000" w:rsidDel="00000000" w:rsidR="00000000">
        <w:rPr>
          <w:rtl w:val="0"/>
        </w:rPr>
        <w:t xml:space="preserve">Both the CCO or delegate and the in-country senior management shall approve the Country addendum.  The Country Addendum template is at Appendix 1 to this Policy. </w:t>
      </w:r>
    </w:p>
    <w:p w:rsidRPr="00000000" w:rsidR="00000000" w:rsidDel="00000000" w:rsidP="00000000" w:rsidRDefault="00000000" w14:paraId="000002E4">
      <w:pPr>
        <w:numPr>
          <w:ilvl w:val="2"/>
          <w:numId w:val="7"/>
        </w:numPr>
        <w:spacing w:after="200" w:line="276" w:lineRule="auto"/>
        <w:ind w:left="720" w:hanging="720"/>
      </w:pPr>
      <w:r w:rsidRPr="00000000" w:rsidDel="00000000" w:rsidR="00000000">
        <w:rPr>
          <w:rtl w:val="0"/>
        </w:rPr>
        <w:t xml:space="preserve">The Country Compliance Department is also required to document the necessary incremental procedures to comply with the Country Addendum.  The Country Addendum, together with the procedures, must be submitted to the Global Compliance Department for review prior to the implementation. </w:t>
      </w:r>
    </w:p>
    <w:p w:rsidRPr="00000000" w:rsidR="00000000" w:rsidDel="00000000" w:rsidP="00000000" w:rsidRDefault="00000000" w14:paraId="000002E5">
      <w:pPr>
        <w:numPr>
          <w:ilvl w:val="2"/>
          <w:numId w:val="7"/>
        </w:numPr>
        <w:spacing w:after="200" w:line="276" w:lineRule="auto"/>
        <w:ind w:left="720" w:hanging="720"/>
      </w:pPr>
      <w:r w:rsidRPr="00000000" w:rsidDel="00000000" w:rsidR="00000000">
        <w:rPr>
          <w:rtl w:val="0"/>
        </w:rPr>
        <w:t xml:space="preserve">All approved Country Addenda are retained by Global Compliance in a shared repository.  </w:t>
      </w:r>
    </w:p>
    <w:p w:rsidRPr="00000000" w:rsidR="00000000" w:rsidDel="00000000" w:rsidP="00000000" w:rsidRDefault="00000000" w14:paraId="000002E6">
      <w:pPr>
        <w:numPr>
          <w:ilvl w:val="2"/>
          <w:numId w:val="7"/>
        </w:numPr>
        <w:spacing w:after="200" w:line="276" w:lineRule="auto"/>
        <w:ind w:left="720" w:hanging="720"/>
      </w:pPr>
      <w:r w:rsidRPr="00000000" w:rsidDel="00000000" w:rsidR="00000000">
        <w:rPr>
          <w:rtl w:val="0"/>
        </w:rPr>
        <w:t xml:space="preserve">The Country Compliance Department is responsible for the regular review and refresh of the Country Addendum, and to ensure that the Global AML Program, as supplemented by the Country Addendum, fully meets the local in-country AML/CTF regulations and requirements while maintaining compliance with applicable ADGM, FSRA, and UAE minimum standards.</w:t>
      </w:r>
    </w:p>
    <w:p w:rsidRPr="00000000" w:rsidR="00000000" w:rsidDel="00000000" w:rsidP="00000000" w:rsidRDefault="00000000" w14:paraId="000002E7">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200" w:after="120" w:line="360" w:lineRule="auto"/>
        <w:ind w:left="720" w:right="0" w:hanging="720"/>
        <w:jc w:val="both"/>
        <w:rPr/>
      </w:pPr>
      <w:bookmarkStart w:name="_heading=h.5e2tv4fm28g6" w:colFirst="0" w:colLast="0" w:id="95"/>
      <w:bookmarkEnd w:id="95"/>
      <w:r w:rsidRPr="00000000" w:rsidDel="00000000" w:rsidR="00000000">
        <w:rPr>
          <w:sz w:val="24"/>
          <w:szCs w:val="24"/>
          <w:rtl w:val="0"/>
        </w:rPr>
        <w:t xml:space="preserve">Policy Dispensation and Deferrals</w:t>
      </w:r>
      <w:r w:rsidRPr="00000000" w:rsidDel="00000000" w:rsidR="00000000">
        <w:rPr>
          <w:rtl w:val="0"/>
        </w:rPr>
      </w:r>
    </w:p>
    <w:p w:rsidRPr="00000000" w:rsidR="00000000" w:rsidDel="00000000" w:rsidP="00000000" w:rsidRDefault="00000000" w14:paraId="000002E8">
      <w:pPr>
        <w:numPr>
          <w:ilvl w:val="2"/>
          <w:numId w:val="7"/>
        </w:numPr>
        <w:spacing w:after="100" w:line="276" w:lineRule="auto"/>
        <w:ind w:left="720" w:hanging="720"/>
      </w:pPr>
      <w:r w:rsidRPr="00000000" w:rsidDel="00000000" w:rsidR="00000000">
        <w:rPr>
          <w:rtl w:val="0"/>
        </w:rPr>
        <w:t xml:space="preserve">Policy dispensations and deferrals are time-bound exemptions from the whole or part of this Policy and related procedures.  Dispensations from requirements to comply with this Policy or its related procedures may be granted by the CCO and ADGM MLROs or </w:t>
      </w:r>
      <w:r w:rsidRPr="00000000" w:rsidDel="00000000" w:rsidR="00000000">
        <w:rPr>
          <w:rtl w:val="0"/>
        </w:rPr>
        <w:t xml:space="preserve">delegate</w:t>
      </w:r>
      <w:r w:rsidRPr="00000000" w:rsidDel="00000000" w:rsidR="00000000">
        <w:rPr>
          <w:rtl w:val="0"/>
        </w:rPr>
        <w:t xml:space="preserve"> only in exceptional circumstances. </w:t>
      </w:r>
    </w:p>
    <w:p w:rsidRPr="00000000" w:rsidR="00000000" w:rsidDel="00000000" w:rsidP="00000000" w:rsidRDefault="00000000" w14:paraId="000002E9">
      <w:pPr>
        <w:numPr>
          <w:ilvl w:val="2"/>
          <w:numId w:val="7"/>
        </w:numPr>
        <w:spacing w:after="100" w:line="276" w:lineRule="auto"/>
        <w:ind w:left="720" w:hanging="720"/>
      </w:pPr>
      <w:r w:rsidRPr="00000000" w:rsidDel="00000000" w:rsidR="00000000">
        <w:rPr>
          <w:rtl w:val="0"/>
        </w:rPr>
        <w:t xml:space="preserve">In the event any Binance entity is unable to implement the full Global AML Program because of certain in-country restrictions, the Country Compliance Department shall apply for a formal dispensation of the specific control or measure.  The application should be supported by the relevant local regulations which effectively constrain the Binance entity from implementing a particular Global Compliance control or measure in the country. </w:t>
      </w:r>
    </w:p>
    <w:p w:rsidRPr="00000000" w:rsidR="00000000" w:rsidDel="00000000" w:rsidP="00000000" w:rsidRDefault="00000000" w14:paraId="000002EA">
      <w:pPr>
        <w:numPr>
          <w:ilvl w:val="2"/>
          <w:numId w:val="7"/>
        </w:numPr>
        <w:spacing w:after="100" w:line="276" w:lineRule="auto"/>
        <w:ind w:left="720" w:hanging="720"/>
      </w:pPr>
      <w:r w:rsidRPr="00000000" w:rsidDel="00000000" w:rsidR="00000000">
        <w:rPr>
          <w:rtl w:val="0"/>
        </w:rPr>
        <w:t xml:space="preserve">Where the licensed or registered entity requires more than three months to implement the Global AML Program or a particular control or measure pursuant to this program, the Country Compliance Department shall apply for a Deferral.  The application should be supported with valid reasons why a deferral is sought and should include the period of time for the requested deferral.</w:t>
      </w:r>
    </w:p>
    <w:p w:rsidRPr="00000000" w:rsidR="00000000" w:rsidDel="00000000" w:rsidP="00000000" w:rsidRDefault="00000000" w14:paraId="000002EB">
      <w:pPr>
        <w:numPr>
          <w:ilvl w:val="2"/>
          <w:numId w:val="7"/>
        </w:numPr>
        <w:spacing w:after="100" w:line="276" w:lineRule="auto"/>
        <w:ind w:left="720" w:hanging="720"/>
      </w:pPr>
      <w:r w:rsidRPr="00000000" w:rsidDel="00000000" w:rsidR="00000000">
        <w:rPr>
          <w:rtl w:val="0"/>
        </w:rPr>
        <w:t xml:space="preserve">All applications for dispensations or deferrals must be submitted by the Country Compliance Department to Global Compliance.  Binance will develop a process to effectively manage these dispensations and deferrals.  These applications must be endorsed by the in-country senior management or a country risk committee (where established), and approved by the Policy Owner, Control Owner or Process Owner, as applicable. </w:t>
      </w:r>
    </w:p>
    <w:p w:rsidRPr="00000000" w:rsidR="00000000" w:rsidDel="00000000" w:rsidP="00000000" w:rsidRDefault="00000000" w14:paraId="000002EC">
      <w:pPr>
        <w:numPr>
          <w:ilvl w:val="2"/>
          <w:numId w:val="7"/>
        </w:numPr>
        <w:spacing w:after="100" w:line="276" w:lineRule="auto"/>
        <w:ind w:left="720" w:hanging="720"/>
      </w:pPr>
      <w:r w:rsidRPr="00000000" w:rsidDel="00000000" w:rsidR="00000000">
        <w:rPr>
          <w:rtl w:val="0"/>
        </w:rPr>
        <w:t xml:space="preserve">Global Compliance will maintain a register of approved Dispensations and Deferral and advise the Country Compliance Department where the period for the dispensation or deferral is to expire.</w:t>
      </w:r>
    </w:p>
    <w:p w:rsidRPr="00000000" w:rsidR="00000000" w:rsidDel="00000000" w:rsidP="00000000" w:rsidRDefault="00000000" w14:paraId="000002ED">
      <w:pPr>
        <w:numPr>
          <w:ilvl w:val="2"/>
          <w:numId w:val="7"/>
        </w:numPr>
        <w:spacing w:after="100" w:line="276" w:lineRule="auto"/>
        <w:ind w:left="720" w:hanging="720"/>
      </w:pPr>
      <w:r w:rsidRPr="00000000" w:rsidDel="00000000" w:rsidR="00000000">
        <w:rPr>
          <w:rtl w:val="0"/>
        </w:rPr>
        <w:t xml:space="preserve">In the event, the Country Compliance Department wishes to renew the approved Dispensation or Deferral, they should do so before the expiry of the period approved for the dispensation or deferral.</w:t>
      </w:r>
    </w:p>
    <w:p w:rsidRPr="00000000" w:rsidR="00000000" w:rsidDel="00000000" w:rsidP="00000000" w:rsidRDefault="00000000" w14:paraId="000002EE">
      <w:pPr>
        <w:pStyle w:val="Heading2"/>
        <w:numPr>
          <w:ilvl w:val="1"/>
          <w:numId w:val="7"/>
        </w:numPr>
        <w:spacing w:after="100" w:lineRule="auto"/>
        <w:ind w:left="720" w:hanging="720"/>
        <w:rPr/>
      </w:pPr>
      <w:bookmarkStart w:name="_heading=h.fi40r6q2sl7q" w:colFirst="0" w:colLast="0" w:id="96"/>
      <w:bookmarkEnd w:id="96"/>
      <w:r w:rsidRPr="00000000" w:rsidDel="00000000" w:rsidR="00000000">
        <w:rPr>
          <w:sz w:val="24"/>
          <w:szCs w:val="24"/>
          <w:rtl w:val="0"/>
        </w:rPr>
        <w:t xml:space="preserve">Language Requirement and Translation </w:t>
      </w:r>
      <w:r w:rsidRPr="00000000" w:rsidDel="00000000" w:rsidR="00000000">
        <w:rPr>
          <w:rtl w:val="0"/>
        </w:rPr>
      </w:r>
    </w:p>
    <w:p w:rsidRPr="00000000" w:rsidR="00000000" w:rsidDel="00000000" w:rsidP="00000000" w:rsidRDefault="00000000" w14:paraId="000002EF">
      <w:pPr>
        <w:numPr>
          <w:ilvl w:val="2"/>
          <w:numId w:val="7"/>
        </w:numPr>
        <w:spacing w:after="100" w:line="276" w:lineRule="auto"/>
        <w:ind w:left="720" w:hanging="720"/>
      </w:pPr>
      <w:r w:rsidRPr="00000000" w:rsidDel="00000000" w:rsidR="00000000">
        <w:rPr>
          <w:rtl w:val="0"/>
        </w:rPr>
        <w:t xml:space="preserve">All documents used for purposes of the Global AML Program, including amendments to any policy or procedures, Transaction records, reviews, investigation and assurance testing shall be documented and retained in English. </w:t>
      </w:r>
    </w:p>
    <w:p w:rsidRPr="00000000" w:rsidR="00000000" w:rsidDel="00000000" w:rsidP="00000000" w:rsidRDefault="00000000" w14:paraId="000002F0">
      <w:pPr>
        <w:numPr>
          <w:ilvl w:val="2"/>
          <w:numId w:val="7"/>
        </w:numPr>
        <w:spacing w:after="100" w:line="276" w:lineRule="auto"/>
        <w:ind w:left="720" w:hanging="720"/>
      </w:pPr>
      <w:r w:rsidRPr="00000000" w:rsidDel="00000000" w:rsidR="00000000">
        <w:rPr>
          <w:rtl w:val="0"/>
        </w:rPr>
        <w:t xml:space="preserve">All relevant documents relating to the Country Addendum (including a Country AML/CTF Policy) are maintained in English or translated to English.  The translations shall be either certified by a “Qualified Translator” or a Group Personnel with native or bilingual proficiency that the English translation is a fair translation of the original non-English document.  A “Qualified Translator” is an individual who has requisite accreditation, certification, education, or professional experience in line with locally accepted standards.  The Personnel must be another Personnel and not the Personnel who created the original non–English document. </w:t>
      </w:r>
    </w:p>
    <w:p w:rsidRPr="00000000" w:rsidR="00000000" w:rsidDel="00000000" w:rsidP="00000000" w:rsidRDefault="00000000" w14:paraId="000002F1">
      <w:pPr>
        <w:pStyle w:val="Heading2"/>
        <w:numPr>
          <w:ilvl w:val="1"/>
          <w:numId w:val="7"/>
        </w:numPr>
        <w:spacing w:after="100" w:lineRule="auto"/>
        <w:ind w:left="720" w:hanging="720"/>
        <w:rPr/>
      </w:pPr>
      <w:bookmarkStart w:name="_heading=h.65ze6td0s2us" w:colFirst="0" w:colLast="0" w:id="97"/>
      <w:bookmarkEnd w:id="97"/>
      <w:r w:rsidRPr="00000000" w:rsidDel="00000000" w:rsidR="00000000">
        <w:rPr>
          <w:sz w:val="24"/>
          <w:szCs w:val="24"/>
          <w:rtl w:val="0"/>
        </w:rPr>
        <w:t xml:space="preserve">Retention of Policy and Procedures</w:t>
      </w:r>
      <w:r w:rsidRPr="00000000" w:rsidDel="00000000" w:rsidR="00000000">
        <w:rPr>
          <w:rtl w:val="0"/>
        </w:rPr>
      </w:r>
    </w:p>
    <w:p w:rsidRPr="00000000" w:rsidR="00000000" w:rsidDel="00000000" w:rsidP="00000000" w:rsidRDefault="00000000" w14:paraId="000002F2">
      <w:pPr>
        <w:numPr>
          <w:ilvl w:val="2"/>
          <w:numId w:val="7"/>
        </w:numPr>
        <w:spacing w:after="100" w:line="276" w:lineRule="auto"/>
        <w:ind w:left="720" w:hanging="720"/>
      </w:pPr>
      <w:r w:rsidRPr="00000000" w:rsidDel="00000000" w:rsidR="00000000">
        <w:rPr>
          <w:rtl w:val="0"/>
        </w:rPr>
        <w:t xml:space="preserve">This policy and the related procedures and documents shall be uploaded and retained by Global Compliance on the Global Compliance team’s </w:t>
      </w:r>
      <w:hyperlink r:id="rId16">
        <w:r w:rsidRPr="00000000" w:rsidDel="00000000" w:rsidR="00000000">
          <w:rPr>
            <w:color w:val="1155cc"/>
            <w:u w:val="single"/>
            <w:rtl w:val="0"/>
          </w:rPr>
          <w:t xml:space="preserve">Confluence page  </w:t>
        </w:r>
      </w:hyperlink>
      <w:r w:rsidRPr="00000000" w:rsidDel="00000000" w:rsidR="00000000">
        <w:rPr>
          <w:rtl w:val="0"/>
        </w:rPr>
        <w:t xml:space="preserve">in accordance with Binance’s Policies Management Policy and in compliance with the minimum document retention requirements under ADGM AML Rulebook and the UAE AML Law obligations.</w:t>
      </w:r>
    </w:p>
    <w:p w:rsidRPr="00000000" w:rsidR="00000000" w:rsidDel="00000000" w:rsidP="00000000" w:rsidRDefault="00000000" w14:paraId="000002F3">
      <w:pPr>
        <w:numPr>
          <w:ilvl w:val="2"/>
          <w:numId w:val="7"/>
        </w:numPr>
        <w:spacing w:after="100" w:line="276" w:lineRule="auto"/>
        <w:ind w:left="720" w:hanging="720"/>
      </w:pPr>
      <w:r w:rsidRPr="00000000" w:rsidDel="00000000" w:rsidR="00000000">
        <w:rPr>
          <w:rtl w:val="0"/>
        </w:rPr>
        <w:t xml:space="preserve">The Country Compliance Department has access to view these documents on the Global Compliance Confluence page.  Global Compliance grants edit access for the owner of the Policy, Procedure or Country Addendum to review and refresh their documents. </w:t>
      </w:r>
    </w:p>
    <w:p w:rsidRPr="00000000" w:rsidR="00000000" w:rsidDel="00000000" w:rsidP="00000000" w:rsidRDefault="00000000" w14:paraId="000002F4">
      <w:pPr>
        <w:numPr>
          <w:ilvl w:val="2"/>
          <w:numId w:val="7"/>
        </w:numPr>
        <w:spacing w:after="100" w:line="276" w:lineRule="auto"/>
        <w:ind w:left="720" w:hanging="720"/>
      </w:pPr>
      <w:r w:rsidRPr="00000000" w:rsidDel="00000000" w:rsidR="00000000">
        <w:rPr>
          <w:rtl w:val="0"/>
        </w:rPr>
        <w:t xml:space="preserve">All retired documents shall be archived in accordance with the Group’s Policies Management Policy and applicable regulatory requirements for archival and record retention.</w:t>
      </w:r>
    </w:p>
    <w:p w:rsidRPr="00000000" w:rsidR="00000000" w:rsidDel="00000000" w:rsidP="00000000" w:rsidRDefault="00000000" w14:paraId="000002F5">
      <w:pPr>
        <w:pStyle w:val="Heading1"/>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200" w:after="100" w:line="360" w:lineRule="auto"/>
        <w:ind w:left="720" w:right="0" w:hanging="720"/>
        <w:jc w:val="both"/>
        <w:rPr/>
      </w:pPr>
      <w:bookmarkStart w:name="_heading=h.uope0lwfp1j" w:colFirst="0" w:colLast="0" w:id="98"/>
      <w:bookmarkEnd w:id="98"/>
      <w:r w:rsidRPr="00000000" w:rsidDel="00000000" w:rsidR="00000000">
        <w:rPr>
          <w:sz w:val="28"/>
          <w:szCs w:val="28"/>
          <w:rtl w:val="0"/>
        </w:rPr>
        <w:t xml:space="preserve">RECORD RETENTION</w:t>
      </w:r>
      <w:r w:rsidRPr="00000000" w:rsidDel="00000000" w:rsidR="00000000">
        <w:rPr>
          <w:rtl w:val="0"/>
        </w:rPr>
      </w:r>
    </w:p>
    <w:p w:rsidRPr="00000000" w:rsidR="00000000" w:rsidDel="00000000" w:rsidP="00000000" w:rsidRDefault="00000000" w14:paraId="000002F6">
      <w:pPr>
        <w:widowControl w:val="0"/>
        <w:numPr>
          <w:ilvl w:val="1"/>
          <w:numId w:val="7"/>
        </w:numPr>
        <w:spacing w:after="100" w:line="276" w:lineRule="auto"/>
        <w:ind w:left="720"/>
        <w:rPr/>
      </w:pPr>
      <w:r w:rsidRPr="00000000" w:rsidDel="00000000" w:rsidR="00000000">
        <w:rPr>
          <w:rtl w:val="0"/>
        </w:rPr>
        <w:t xml:space="preserve">Each relevant Binance Group entity shall independently retain records related to financial crime risk management, including but not limited to CDD, Transactions, screening, surveillance, Transaction monitoring, training, assurance activities, and incident reports.  Records must be retained for at least six (6) years, measured from the later of: (i) the date of completion of the Transaction; (ii) termination of the Business Relations; (iii) closure of the account; (iv) completion of a supervisory inspection; or (v) the date of a final judicial ruling.  Where different retention periods apply, the longer period shall be followed.</w:t>
      </w:r>
    </w:p>
    <w:p w:rsidRPr="00000000" w:rsidR="00000000" w:rsidDel="00000000" w:rsidP="00000000" w:rsidRDefault="00000000" w14:paraId="000002F7">
      <w:pPr>
        <w:keepNext w:val="0"/>
        <w:keepLines w:val="0"/>
        <w:pageBreakBefore w:val="0"/>
        <w:widowControl w:val="1"/>
        <w:numPr>
          <w:ilvl w:val="1"/>
          <w:numId w:val="7"/>
        </w:numPr>
        <w:pBdr>
          <w:top w:val="nil" w:sz="0" w:space="0"/>
          <w:left w:val="nil" w:sz="0" w:space="0"/>
          <w:bottom w:val="nil" w:sz="0" w:space="0"/>
          <w:right w:val="nil" w:sz="0" w:space="0"/>
          <w:between w:val="nil" w:sz="0" w:space="0"/>
        </w:pBdr>
        <w:shd w:val="clear" w:fill="auto"/>
        <w:spacing w:before="0" w:after="100" w:line="276" w:lineRule="auto"/>
        <w:ind w:left="720" w:right="0" w:hanging="720"/>
        <w:jc w:val="both"/>
        <w:rPr/>
      </w:pPr>
      <w:r w:rsidRPr="00000000" w:rsidDel="00000000" w:rsidR="00000000">
        <w:rPr>
          <w:rtl w:val="0"/>
        </w:rPr>
        <w:t xml:space="preserve">The records shall be maintained in a manner such that they would be readily accessible and retrievable in a reasonable time and on a need-to-know basis for the execution of an activity required for the purpose of the Global AML Program or in response to a regulatory or LEA request.  Record storage and retrieval must comply with the Group’s Privacy Data Retention Policy, Information Asset Security Management Policy, and applicable legal requirements for security, confidentiality, and data integrity. </w:t>
      </w:r>
    </w:p>
    <w:p w:rsidRPr="00000000" w:rsidR="00000000" w:rsidDel="00000000" w:rsidP="00000000" w:rsidRDefault="00000000" w14:paraId="000002F8">
      <w:pPr>
        <w:keepNext w:val="0"/>
        <w:keepLines w:val="0"/>
        <w:pageBreakBefore w:val="0"/>
        <w:widowControl w:val="1"/>
        <w:numPr>
          <w:ilvl w:val="1"/>
          <w:numId w:val="7"/>
        </w:numPr>
        <w:pBdr>
          <w:top w:val="nil" w:sz="0" w:space="0"/>
          <w:left w:val="nil" w:sz="0" w:space="0"/>
          <w:bottom w:val="nil" w:sz="0" w:space="0"/>
          <w:right w:val="nil" w:sz="0" w:space="0"/>
          <w:between w:val="nil" w:sz="0" w:space="0"/>
        </w:pBdr>
        <w:shd w:val="clear" w:fill="auto"/>
        <w:spacing w:before="0" w:after="100" w:line="276" w:lineRule="auto"/>
        <w:ind w:left="720" w:right="0" w:hanging="720"/>
        <w:jc w:val="both"/>
        <w:rPr/>
      </w:pPr>
      <w:r w:rsidRPr="00000000" w:rsidDel="00000000" w:rsidR="00000000">
        <w:rPr>
          <w:rtl w:val="0"/>
        </w:rPr>
        <w:t xml:space="preserve">Following the expiry of the relevant Record Retention Period, personal data collected by the Group as a result of the above records shall be deleted unless required to do otherwise by applicable laws and regulations. </w:t>
      </w:r>
    </w:p>
    <w:p w:rsidRPr="00000000" w:rsidR="00000000" w:rsidDel="00000000" w:rsidP="00000000" w:rsidRDefault="00000000" w14:paraId="000002F9">
      <w:pPr>
        <w:keepNext w:val="0"/>
        <w:keepLines w:val="0"/>
        <w:pageBreakBefore w:val="0"/>
        <w:widowControl w:val="1"/>
        <w:numPr>
          <w:ilvl w:val="1"/>
          <w:numId w:val="7"/>
        </w:numPr>
        <w:pBdr>
          <w:top w:val="nil" w:sz="0" w:space="0"/>
          <w:left w:val="nil" w:sz="0" w:space="0"/>
          <w:bottom w:val="nil" w:sz="0" w:space="0"/>
          <w:right w:val="nil" w:sz="0" w:space="0"/>
          <w:between w:val="nil" w:sz="0" w:space="0"/>
        </w:pBdr>
        <w:shd w:val="clear" w:fill="auto"/>
        <w:spacing w:before="0" w:after="100" w:line="276" w:lineRule="auto"/>
        <w:ind w:left="720" w:right="0" w:hanging="720"/>
        <w:jc w:val="both"/>
        <w:rPr/>
      </w:pPr>
      <w:r w:rsidRPr="00000000" w:rsidDel="00000000" w:rsidR="00000000">
        <w:rPr>
          <w:rtl w:val="0"/>
        </w:rPr>
        <w:t xml:space="preserve">The following documents shall be retained beyond the relevant Record Retention Period when directed by Group Legal, local regulators or local Law Enforcement Agencies:</w:t>
      </w:r>
    </w:p>
    <w:p w:rsidRPr="00000000" w:rsidR="00000000" w:rsidDel="00000000" w:rsidP="00000000" w:rsidRDefault="00000000" w14:paraId="000002FA">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Documents relating to an Internal Suspicious Activity investigation, whether a decision was made to file a SAR/STR or not; </w:t>
      </w:r>
      <w:r w:rsidRPr="00000000" w:rsidDel="00000000" w:rsidR="00000000">
        <w:rPr>
          <w:rtl w:val="0"/>
        </w:rPr>
      </w:r>
    </w:p>
    <w:p w:rsidRPr="00000000" w:rsidR="00000000" w:rsidDel="00000000" w:rsidP="00000000" w:rsidRDefault="00000000" w14:paraId="000002FB">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Copies of the SAR/STRs filed with the local Financial Intelligence Unit or the FIU or LEA, as well as their supporting documents; and</w:t>
      </w:r>
      <w:r w:rsidRPr="00000000" w:rsidDel="00000000" w:rsidR="00000000">
        <w:rPr>
          <w:rtl w:val="0"/>
        </w:rPr>
      </w:r>
    </w:p>
    <w:p w:rsidRPr="00000000" w:rsidR="00000000" w:rsidDel="00000000" w:rsidP="00000000" w:rsidRDefault="00000000" w14:paraId="000002FC">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76" w:lineRule="auto"/>
        <w:ind w:left="108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Documents relating to an investigation by the Investigation Team, whether pursuant to a request or inquiry by a LEA.</w:t>
      </w:r>
      <w:r w:rsidRPr="00000000" w:rsidDel="00000000" w:rsidR="00000000">
        <w:rPr>
          <w:rtl w:val="0"/>
        </w:rPr>
      </w:r>
    </w:p>
    <w:p w:rsidRPr="00000000" w:rsidR="00000000" w:rsidDel="00000000" w:rsidP="00000000" w:rsidRDefault="00000000" w14:paraId="000002FD">
      <w:pPr>
        <w:keepNext w:val="0"/>
        <w:keepLines w:val="0"/>
        <w:pageBreakBefore w:val="0"/>
        <w:widowControl w:val="1"/>
        <w:numPr>
          <w:ilvl w:val="1"/>
          <w:numId w:val="7"/>
        </w:numPr>
        <w:pBdr>
          <w:top w:val="nil" w:sz="0" w:space="0"/>
          <w:left w:val="nil" w:sz="0" w:space="0"/>
          <w:bottom w:val="nil" w:sz="0" w:space="0"/>
          <w:right w:val="nil" w:sz="0" w:space="0"/>
          <w:between w:val="nil" w:sz="0" w:space="0"/>
        </w:pBdr>
        <w:shd w:val="clear" w:fill="auto"/>
        <w:spacing w:before="0" w:after="0" w:line="276" w:lineRule="auto"/>
        <w:ind w:left="720" w:right="0" w:hanging="720"/>
        <w:jc w:val="both"/>
        <w:rPr/>
      </w:pPr>
      <w:r w:rsidRPr="00000000" w:rsidDel="00000000" w:rsidR="00000000">
        <w:rPr>
          <w:rtl w:val="0"/>
        </w:rPr>
        <w:t xml:space="preserve">The Local Compliance Department, in conjunction with the Privacy and Information Security department, shall ensure that arrangements are in place to retain records for longer than the minimum periods prescribed under applicable ADGM, FSRA, and UAE requirements where required by local law and/or regulations.  These requirements and arrangements shall be recorded in the Country Addendum.</w:t>
      </w:r>
    </w:p>
    <w:p w:rsidRPr="00000000" w:rsidR="00000000" w:rsidDel="00000000" w:rsidP="00000000" w:rsidRDefault="00000000" w14:paraId="000002FE">
      <w:pPr>
        <w:pStyle w:val="Heading1"/>
        <w:numPr>
          <w:ilvl w:val="0"/>
          <w:numId w:val="7"/>
        </w:numPr>
        <w:spacing w:before="200" w:after="100" w:lineRule="auto"/>
        <w:ind w:left="720" w:hanging="720"/>
        <w:rPr/>
      </w:pPr>
      <w:bookmarkStart w:name="_heading=h.cfmmfpacrobk" w:colFirst="0" w:colLast="0" w:id="99"/>
      <w:bookmarkEnd w:id="99"/>
      <w:r w:rsidRPr="00000000" w:rsidDel="00000000" w:rsidR="00000000">
        <w:rPr>
          <w:sz w:val="28"/>
          <w:szCs w:val="28"/>
          <w:rtl w:val="0"/>
        </w:rPr>
        <w:t xml:space="preserve">REPORTING BREACHES</w:t>
      </w:r>
      <w:r w:rsidRPr="00000000" w:rsidDel="00000000" w:rsidR="00000000">
        <w:rPr>
          <w:rtl w:val="0"/>
        </w:rPr>
      </w:r>
    </w:p>
    <w:p w:rsidRPr="00000000" w:rsidR="00000000" w:rsidDel="00000000" w:rsidP="00000000" w:rsidRDefault="00000000" w14:paraId="000002FF">
      <w:pPr>
        <w:keepNext w:val="0"/>
        <w:keepLines w:val="0"/>
        <w:pageBreakBefore w:val="0"/>
        <w:widowControl w:val="1"/>
        <w:numPr>
          <w:ilvl w:val="1"/>
          <w:numId w:val="7"/>
        </w:numPr>
        <w:pBdr>
          <w:top w:val="nil" w:sz="0" w:space="0"/>
          <w:left w:val="nil" w:sz="0" w:space="0"/>
          <w:bottom w:val="nil" w:sz="0" w:space="0"/>
          <w:right w:val="nil" w:sz="0" w:space="0"/>
          <w:between w:val="nil" w:sz="0" w:space="0"/>
        </w:pBdr>
        <w:shd w:val="clear" w:fill="auto"/>
        <w:spacing w:before="0" w:after="100" w:line="276" w:lineRule="auto"/>
        <w:ind w:left="720" w:right="0" w:hanging="720"/>
        <w:jc w:val="both"/>
        <w:rPr/>
      </w:pPr>
      <w:r w:rsidRPr="00000000" w:rsidDel="00000000" w:rsidR="00000000">
        <w:rPr>
          <w:rtl w:val="0"/>
        </w:rPr>
        <w:t xml:space="preserve">Any member of staff who identifies a breach of the Global AML Program must report it immediately (where relevant with the assistance of their line manager) to Global Compliance through the appropriate channels.  This obligation aligns with the requirement under the ADGM AML Rulebook, and the UAE AML Law for firms to maintain internal reporting mechanisms for compliance failures or control deficiencies.</w:t>
      </w:r>
    </w:p>
    <w:p w:rsidRPr="00000000" w:rsidR="00000000" w:rsidDel="00000000" w:rsidP="00000000" w:rsidRDefault="00000000" w14:paraId="00000300">
      <w:pPr>
        <w:keepNext w:val="0"/>
        <w:keepLines w:val="0"/>
        <w:pageBreakBefore w:val="0"/>
        <w:widowControl w:val="0"/>
        <w:numPr>
          <w:ilvl w:val="1"/>
          <w:numId w:val="7"/>
        </w:numPr>
        <w:pBdr>
          <w:top w:val="nil" w:sz="0" w:space="0"/>
          <w:left w:val="nil" w:sz="0" w:space="0"/>
          <w:bottom w:val="nil" w:sz="0" w:space="0"/>
          <w:right w:val="nil" w:sz="0" w:space="0"/>
          <w:between w:val="nil" w:sz="0" w:space="0"/>
        </w:pBdr>
        <w:shd w:val="clear" w:fill="auto"/>
        <w:spacing w:before="0" w:after="100" w:line="276" w:lineRule="auto"/>
        <w:ind w:left="720" w:right="0" w:hanging="720"/>
        <w:jc w:val="both"/>
        <w:rPr/>
      </w:pPr>
      <w:r w:rsidRPr="00000000" w:rsidDel="00000000" w:rsidR="00000000">
        <w:rPr>
          <w:rtl w:val="0"/>
        </w:rPr>
        <w:t xml:space="preserve">Global Compliance must analyse the information provided to them.  In the event the breach is significant or a repeat, relevant Heads of Global Compliance Teams shall discuss with the CCO and ADGM MLROs whether the breach ought to be reported to Senior Management and local regulators.  Where the breach relates to AML/CTF systems and controls, record-keeping failures, CDD deficiencies, or suspicious transaction handling, reporting must be made to the FSRA (for ADGM entities) or the UAE competent authority in line with statutory requirements.  In all cases, firms must document the breach, the assessment undertaken, remedial steps implemented, and maintain records for no less than six (6) years in accordance with AML record-keeping rules.</w:t>
      </w:r>
    </w:p>
    <w:p w:rsidRPr="00000000" w:rsidR="00000000" w:rsidDel="00000000" w:rsidP="00000000" w:rsidRDefault="00000000" w14:paraId="00000301">
      <w:pPr>
        <w:pStyle w:val="Heading1"/>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400" w:after="200" w:line="360" w:lineRule="auto"/>
        <w:ind w:left="720" w:right="0" w:hanging="720"/>
        <w:jc w:val="both"/>
        <w:rPr/>
      </w:pPr>
      <w:bookmarkStart w:name="_heading=h.pf0np277h8nq" w:colFirst="0" w:colLast="0" w:id="100"/>
      <w:bookmarkEnd w:id="100"/>
      <w:r w:rsidRPr="00000000" w:rsidDel="00000000" w:rsidR="00000000">
        <w:rPr>
          <w:sz w:val="28"/>
          <w:szCs w:val="28"/>
          <w:rtl w:val="0"/>
        </w:rPr>
        <w:t xml:space="preserve">GLOSSARY</w:t>
      </w:r>
      <w:r w:rsidRPr="00000000" w:rsidDel="00000000" w:rsidR="00000000">
        <w:rPr>
          <w:rtl w:val="0"/>
        </w:rPr>
      </w:r>
    </w:p>
    <w:tbl>
      <w:tblPr>
        <w:tblStyle w:val="Table5"/>
        <w:tblW w:w="9330.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1665"/>
        <w:gridCol w:w="7665"/>
        <w:tblGridChange w:id="0">
          <w:tblGrid>
            <w:gridCol w:w="1665"/>
            <w:gridCol w:w="7665"/>
          </w:tblGrid>
        </w:tblGridChange>
      </w:tblGrid>
      <w:tr>
        <w:trPr>
          <w:cantSplit w:val="0"/>
          <w:trHeight w:val="424.4677734375" w:hRule="atLeast"/>
          <w:tblHeader w:val="0"/>
        </w:trPr>
        <w:tc>
          <w:tcPr>
            <w:shd w:val="clear" w:fill="f0b90b"/>
            <w:tcMar>
              <w:left w:w="115.0" w:type="dxa"/>
              <w:right w:w="115.0" w:type="dxa"/>
            </w:tcMar>
          </w:tcPr>
          <w:p w:rsidRPr="00000000" w:rsidR="00000000" w:rsidDel="00000000" w:rsidP="00000000" w:rsidRDefault="00000000" w14:paraId="00000302">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Term</w:t>
            </w:r>
          </w:p>
        </w:tc>
        <w:tc>
          <w:tcPr>
            <w:shd w:val="clear" w:fill="f0b90b"/>
            <w:tcMar>
              <w:left w:w="115.0" w:type="dxa"/>
              <w:right w:w="115.0" w:type="dxa"/>
            </w:tcMar>
          </w:tcPr>
          <w:p w:rsidRPr="00000000" w:rsidR="00000000" w:rsidDel="00000000" w:rsidP="00000000" w:rsidRDefault="00000000" w14:paraId="00000303">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Definition</w:t>
            </w:r>
          </w:p>
        </w:tc>
      </w:tr>
      <w:tr>
        <w:trPr>
          <w:cantSplit w:val="0"/>
          <w:trHeight w:val="20" w:hRule="atLeast"/>
          <w:tblHeader w:val="0"/>
        </w:trPr>
        <w:tc>
          <w:tcPr>
            <w:tcMar>
              <w:top w:w="72.0" w:type="dxa"/>
              <w:left w:w="72.0" w:type="dxa"/>
              <w:bottom w:w="72.0" w:type="dxa"/>
              <w:right w:w="72.0" w:type="dxa"/>
            </w:tcMar>
            <w:vAlign w:val="center"/>
          </w:tcPr>
          <w:p w:rsidRPr="00000000" w:rsidR="00000000" w:rsidDel="00000000" w:rsidP="00000000" w:rsidRDefault="00000000" w14:paraId="00000304">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ADGM</w:t>
            </w:r>
          </w:p>
        </w:tc>
        <w:tc>
          <w:tcPr>
            <w:tcMar>
              <w:top w:w="72.0" w:type="dxa"/>
              <w:left w:w="72.0" w:type="dxa"/>
              <w:bottom w:w="72.0" w:type="dxa"/>
              <w:right w:w="72.0" w:type="dxa"/>
            </w:tcMar>
            <w:vAlign w:val="center"/>
          </w:tcPr>
          <w:p w:rsidRPr="00000000" w:rsidR="00000000" w:rsidDel="00000000" w:rsidP="00000000" w:rsidRDefault="00000000" w14:paraId="00000305">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Abu Dhabi Global Market.</w:t>
            </w:r>
          </w:p>
        </w:tc>
      </w:tr>
      <w:tr>
        <w:trPr>
          <w:cantSplit w:val="0"/>
          <w:trHeight w:val="20" w:hRule="atLeast"/>
          <w:tblHeader w:val="0"/>
        </w:trPr>
        <w:tc>
          <w:tcPr>
            <w:tcMar>
              <w:top w:w="72.0" w:type="dxa"/>
              <w:left w:w="72.0" w:type="dxa"/>
              <w:bottom w:w="72.0" w:type="dxa"/>
              <w:right w:w="72.0" w:type="dxa"/>
            </w:tcMar>
            <w:vAlign w:val="center"/>
          </w:tcPr>
          <w:p w:rsidRPr="00000000" w:rsidR="00000000" w:rsidDel="00000000" w:rsidP="00000000" w:rsidRDefault="00000000" w14:paraId="00000306">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ADGM AML Rulebook</w:t>
            </w:r>
          </w:p>
        </w:tc>
        <w:tc>
          <w:tcPr>
            <w:tcMar>
              <w:top w:w="72.0" w:type="dxa"/>
              <w:left w:w="72.0" w:type="dxa"/>
              <w:bottom w:w="72.0" w:type="dxa"/>
              <w:right w:w="72.0" w:type="dxa"/>
            </w:tcMar>
            <w:vAlign w:val="center"/>
          </w:tcPr>
          <w:p w:rsidRPr="00000000" w:rsidR="00000000" w:rsidDel="00000000" w:rsidP="00000000" w:rsidRDefault="00000000" w14:paraId="00000307">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ADGM Anti-Money Laundering and Sanctions Rules and Guidance Rulebook (as amended).</w:t>
            </w:r>
          </w:p>
        </w:tc>
      </w:tr>
      <w:tr>
        <w:trPr>
          <w:cantSplit w:val="0"/>
          <w:trHeight w:val="20" w:hRule="atLeast"/>
          <w:tblHeader w:val="0"/>
        </w:trPr>
        <w:tc>
          <w:tcPr>
            <w:tcMar>
              <w:top w:w="72.0" w:type="dxa"/>
              <w:left w:w="72.0" w:type="dxa"/>
              <w:bottom w:w="72.0" w:type="dxa"/>
              <w:right w:w="72.0" w:type="dxa"/>
            </w:tcMar>
            <w:vAlign w:val="center"/>
          </w:tcPr>
          <w:p w:rsidRPr="00000000" w:rsidR="00000000" w:rsidDel="00000000" w:rsidP="00000000" w:rsidRDefault="00000000" w14:paraId="00000308">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Beneficial Owner</w:t>
            </w:r>
          </w:p>
        </w:tc>
        <w:tc>
          <w:tcPr>
            <w:tcMar>
              <w:top w:w="72.0" w:type="dxa"/>
              <w:left w:w="72.0" w:type="dxa"/>
              <w:bottom w:w="72.0" w:type="dxa"/>
              <w:right w:w="72.0" w:type="dxa"/>
            </w:tcMar>
            <w:vAlign w:val="center"/>
          </w:tcPr>
          <w:p w:rsidRPr="00000000" w:rsidR="00000000" w:rsidDel="00000000" w:rsidP="00000000" w:rsidRDefault="00000000" w14:paraId="00000309">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rtl w:val="0"/>
              </w:rPr>
              <w:t xml:space="preserve">I</w:t>
            </w: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n relation to a Customer of Binance Group, the natural person who ultimately owns or controls the Customer or the natural person on whose behalf a Transaction is conducted or Business Relations are established, and includes:</w:t>
            </w:r>
          </w:p>
          <w:p w:rsidRPr="00000000" w:rsidR="00000000" w:rsidDel="00000000" w:rsidP="00000000" w:rsidRDefault="00000000" w14:paraId="0000030A">
            <w:pPr>
              <w:keepNext w:val="0"/>
              <w:keepLines w:val="0"/>
              <w:widowControl w:val="1"/>
              <w:numPr>
                <w:ilvl w:val="0"/>
                <w:numId w:val="4"/>
              </w:numPr>
              <w:pBdr>
                <w:top w:val="nil" w:sz="0" w:space="0"/>
                <w:left w:val="nil" w:sz="0" w:space="0"/>
                <w:bottom w:val="nil" w:sz="0" w:space="0"/>
                <w:right w:val="nil" w:sz="0" w:space="0"/>
                <w:between w:val="nil" w:sz="0" w:space="0"/>
              </w:pBdr>
              <w:shd w:val="clear" w:fill="auto"/>
              <w:spacing w:before="0" w:after="0" w:line="276" w:lineRule="auto"/>
              <w:ind w:left="450" w:right="0" w:hanging="270"/>
              <w:jc w:val="both"/>
              <w:rPr>
                <w:rFonts w:ascii="Arial" w:hAnsi="Arial" w:eastAsia="Arial" w:cs="Arial"/>
                <w:i w:val="0"/>
                <w:iCs w:val="0"/>
                <w:smallCaps w:val="0"/>
                <w:strike w:val="0"/>
                <w:color w:val="000000"/>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in relation to a body corporate:  the natural person who ultimately owns or controls (directly or indirectly) 25% or more of the shares or voting rights in the body corporate, or otherwise exercises control over the management or policies of the body corporate through ownership interests, voting rights, agreements, or other means;</w:t>
            </w:r>
            <w:r w:rsidRPr="00000000" w:rsidDel="00000000" w:rsidR="00000000">
              <w:rPr>
                <w:rtl w:val="0"/>
              </w:rPr>
            </w:r>
          </w:p>
          <w:p w:rsidRPr="00000000" w:rsidR="00000000" w:rsidDel="00000000" w:rsidP="00000000" w:rsidRDefault="00000000" w14:paraId="0000030B">
            <w:pPr>
              <w:keepNext w:val="0"/>
              <w:keepLines w:val="0"/>
              <w:widowControl w:val="1"/>
              <w:numPr>
                <w:ilvl w:val="0"/>
                <w:numId w:val="4"/>
              </w:numPr>
              <w:pBdr>
                <w:top w:val="nil" w:sz="0" w:space="0"/>
                <w:left w:val="nil" w:sz="0" w:space="0"/>
                <w:bottom w:val="nil" w:sz="0" w:space="0"/>
                <w:right w:val="nil" w:sz="0" w:space="0"/>
                <w:between w:val="nil" w:sz="0" w:space="0"/>
              </w:pBdr>
              <w:shd w:val="clear" w:fill="auto"/>
              <w:spacing w:before="0" w:after="0" w:line="276" w:lineRule="auto"/>
              <w:ind w:left="450" w:right="0" w:hanging="270"/>
              <w:jc w:val="both"/>
              <w:rPr>
                <w:rFonts w:ascii="Arial" w:hAnsi="Arial" w:eastAsia="Arial" w:cs="Arial"/>
                <w:i w:val="0"/>
                <w:iCs w:val="0"/>
                <w:smallCaps w:val="0"/>
                <w:strike w:val="0"/>
                <w:color w:val="000000"/>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in relation to a partnership:  the natural person who, directly or indirectly, is entitled to or controls 25% or more of a partnership’s capital, profits, or voting rights, or who otherwise exercises ultimate control over its management;</w:t>
            </w:r>
            <w:r w:rsidRPr="00000000" w:rsidDel="00000000" w:rsidR="00000000">
              <w:rPr>
                <w:rtl w:val="0"/>
              </w:rPr>
            </w:r>
          </w:p>
          <w:p w:rsidRPr="00000000" w:rsidR="00000000" w:rsidDel="00000000" w:rsidP="00000000" w:rsidRDefault="00000000" w14:paraId="0000030C">
            <w:pPr>
              <w:keepNext w:val="0"/>
              <w:keepLines w:val="0"/>
              <w:widowControl w:val="1"/>
              <w:numPr>
                <w:ilvl w:val="0"/>
                <w:numId w:val="4"/>
              </w:numPr>
              <w:pBdr>
                <w:top w:val="nil" w:sz="0" w:space="0"/>
                <w:left w:val="nil" w:sz="0" w:space="0"/>
                <w:bottom w:val="nil" w:sz="0" w:space="0"/>
                <w:right w:val="nil" w:sz="0" w:space="0"/>
                <w:between w:val="nil" w:sz="0" w:space="0"/>
              </w:pBdr>
              <w:shd w:val="clear" w:fill="auto"/>
              <w:spacing w:before="0" w:after="0" w:line="276" w:lineRule="auto"/>
              <w:ind w:left="450" w:right="0" w:hanging="270"/>
              <w:jc w:val="both"/>
              <w:rPr>
                <w:rFonts w:ascii="Arial" w:hAnsi="Arial" w:eastAsia="Arial" w:cs="Arial"/>
                <w:i w:val="0"/>
                <w:iCs w:val="0"/>
                <w:smallCaps w:val="0"/>
                <w:strike w:val="0"/>
                <w:color w:val="000000"/>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in relation to a trust:  the settlor, all trustees (other than the Customer), each beneficiary, any beneficiary class (if not individually identified), and any natural person who exercises control over the trust; </w:t>
            </w:r>
            <w:r w:rsidRPr="00000000" w:rsidDel="00000000" w:rsidR="00000000">
              <w:rPr>
                <w:rtl w:val="0"/>
              </w:rPr>
            </w:r>
          </w:p>
          <w:p w:rsidRPr="00000000" w:rsidR="00000000" w:rsidDel="00000000" w:rsidP="00000000" w:rsidRDefault="00000000" w14:paraId="0000030D">
            <w:pPr>
              <w:keepNext w:val="0"/>
              <w:keepLines w:val="0"/>
              <w:widowControl w:val="1"/>
              <w:numPr>
                <w:ilvl w:val="0"/>
                <w:numId w:val="4"/>
              </w:numPr>
              <w:pBdr>
                <w:top w:val="nil" w:sz="0" w:space="0"/>
                <w:left w:val="nil" w:sz="0" w:space="0"/>
                <w:bottom w:val="nil" w:sz="0" w:space="0"/>
                <w:right w:val="nil" w:sz="0" w:space="0"/>
                <w:between w:val="nil" w:sz="0" w:space="0"/>
              </w:pBdr>
              <w:shd w:val="clear" w:fill="auto"/>
              <w:spacing w:before="0" w:after="0" w:line="276" w:lineRule="auto"/>
              <w:ind w:left="450" w:right="0" w:hanging="270"/>
              <w:jc w:val="both"/>
              <w:rPr>
                <w:rFonts w:ascii="Arial" w:hAnsi="Arial" w:eastAsia="Arial" w:cs="Arial"/>
                <w:i w:val="0"/>
                <w:iCs w:val="0"/>
                <w:smallCaps w:val="0"/>
                <w:strike w:val="0"/>
                <w:color w:val="000000"/>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in relation to a foundation:  the key individuals connected to the foundation or Legal Arrangement.  These include the founder, the members of the foundation council or other governing body, and the guardian, if one exists.  It also includes the beneficiaries, if they are named, or a designee if no beneficiaries are named, in either case, the person or persons who, in Binance’s opinion, are the main intended beneficiaries of the foundation or arrangement.  Finally, Binance must also identify any individual who has control over the foundation or other Legal Arrangement.</w:t>
            </w:r>
            <w:r w:rsidRPr="00000000" w:rsidDel="00000000" w:rsidR="00000000">
              <w:rPr>
                <w:rtl w:val="0"/>
              </w:rPr>
            </w:r>
          </w:p>
        </w:tc>
      </w:tr>
      <w:tr>
        <w:trPr>
          <w:cantSplit w:val="0"/>
          <w:trHeight w:val="20" w:hRule="atLeast"/>
          <w:tblHeader w:val="0"/>
        </w:trPr>
        <w:tc>
          <w:tcPr>
            <w:tcMar>
              <w:top w:w="72.0" w:type="dxa"/>
              <w:left w:w="72.0" w:type="dxa"/>
              <w:bottom w:w="72.0" w:type="dxa"/>
              <w:right w:w="72.0" w:type="dxa"/>
            </w:tcMar>
            <w:vAlign w:val="center"/>
          </w:tcPr>
          <w:p w:rsidRPr="00000000" w:rsidR="00000000" w:rsidDel="00000000" w:rsidP="00000000" w:rsidRDefault="00000000" w14:paraId="0000030E">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“Binance” or “Binance Group” or the “Group”</w:t>
            </w:r>
          </w:p>
        </w:tc>
        <w:tc>
          <w:tcPr>
            <w:tcMar>
              <w:top w:w="72.0" w:type="dxa"/>
              <w:left w:w="72.0" w:type="dxa"/>
              <w:bottom w:w="72.0" w:type="dxa"/>
              <w:right w:w="72.0" w:type="dxa"/>
            </w:tcMar>
            <w:vAlign w:val="center"/>
          </w:tcPr>
          <w:p w:rsidRPr="00000000" w:rsidR="00000000" w:rsidDel="00000000" w:rsidP="00000000" w:rsidRDefault="00000000" w14:paraId="0000030F">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Binance.com and all other entities that are substantially controlled by or affiliated with Binance.com.</w:t>
            </w:r>
          </w:p>
        </w:tc>
      </w:tr>
      <w:tr>
        <w:trPr>
          <w:cantSplit w:val="0"/>
          <w:trHeight w:val="20" w:hRule="atLeast"/>
          <w:tblHeader w:val="0"/>
        </w:trPr>
        <w:tc>
          <w:tcPr>
            <w:tcMar>
              <w:top w:w="72.0" w:type="dxa"/>
              <w:left w:w="72.0" w:type="dxa"/>
              <w:bottom w:w="72.0" w:type="dxa"/>
              <w:right w:w="72.0" w:type="dxa"/>
            </w:tcMar>
            <w:vAlign w:val="center"/>
          </w:tcPr>
          <w:p w:rsidRPr="00000000" w:rsidR="00000000" w:rsidDel="00000000" w:rsidP="00000000" w:rsidRDefault="00000000" w14:paraId="00000310">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Blockchain</w:t>
            </w:r>
          </w:p>
        </w:tc>
        <w:tc>
          <w:tcPr>
            <w:tcMar>
              <w:top w:w="72.0" w:type="dxa"/>
              <w:left w:w="72.0" w:type="dxa"/>
              <w:bottom w:w="72.0" w:type="dxa"/>
              <w:right w:w="72.0" w:type="dxa"/>
            </w:tcMar>
            <w:vAlign w:val="center"/>
          </w:tcPr>
          <w:p w:rsidRPr="00000000" w:rsidR="00000000" w:rsidDel="00000000" w:rsidP="00000000" w:rsidRDefault="00000000" w14:paraId="00000311">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rtl w:val="0"/>
              </w:rPr>
              <w:t xml:space="preserve">A</w:t>
            </w: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 system of recording information in a way that makes it difficult or impossible to change, hack or cheat the system; it is a digital ledger of transactions that is duplicated and distributed across the entire network of computer systems on the blockchain.</w:t>
            </w:r>
          </w:p>
        </w:tc>
      </w:tr>
      <w:tr>
        <w:trPr>
          <w:cantSplit w:val="0"/>
          <w:trHeight w:val="20" w:hRule="atLeast"/>
          <w:tblHeader w:val="0"/>
        </w:trPr>
        <w:tc>
          <w:tcPr>
            <w:tcMar>
              <w:top w:w="72.0" w:type="dxa"/>
              <w:left w:w="72.0" w:type="dxa"/>
              <w:bottom w:w="72.0" w:type="dxa"/>
              <w:right w:w="72.0" w:type="dxa"/>
            </w:tcMar>
            <w:vAlign w:val="center"/>
          </w:tcPr>
          <w:p w:rsidRPr="00000000" w:rsidR="00000000" w:rsidDel="00000000" w:rsidP="00000000" w:rsidRDefault="00000000" w14:paraId="00000312">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Business Relations</w:t>
            </w:r>
          </w:p>
        </w:tc>
        <w:tc>
          <w:tcPr>
            <w:tcMar>
              <w:top w:w="72.0" w:type="dxa"/>
              <w:left w:w="72.0" w:type="dxa"/>
              <w:bottom w:w="72.0" w:type="dxa"/>
              <w:right w:w="72.0" w:type="dxa"/>
            </w:tcMar>
            <w:vAlign w:val="center"/>
          </w:tcPr>
          <w:p w:rsidRPr="00000000" w:rsidR="00000000" w:rsidDel="00000000" w:rsidP="00000000" w:rsidRDefault="00000000" w14:paraId="00000313">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rtl w:val="0"/>
              </w:rPr>
              <w:t xml:space="preserve">T</w:t>
            </w: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he establishment or maintenance of a business, professional, or commercial relationship (whether involving cryptocurrencies or otherwise)  between Binance Group and a Customer, which is expected, at the when the contact is established, to have an element of duration.</w:t>
            </w:r>
          </w:p>
        </w:tc>
      </w:tr>
      <w:tr>
        <w:trPr>
          <w:cantSplit w:val="0"/>
          <w:trHeight w:val="20" w:hRule="atLeast"/>
          <w:tblHeader w:val="0"/>
        </w:trPr>
        <w:tc>
          <w:tcPr>
            <w:tcMar>
              <w:top w:w="72.0" w:type="dxa"/>
              <w:left w:w="72.0" w:type="dxa"/>
              <w:bottom w:w="72.0" w:type="dxa"/>
              <w:right w:w="72.0" w:type="dxa"/>
            </w:tcMar>
            <w:vAlign w:val="center"/>
          </w:tcPr>
          <w:p w:rsidRPr="00000000" w:rsidR="00000000" w:rsidDel="00000000" w:rsidP="00000000" w:rsidRDefault="00000000" w14:paraId="00000314">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Cash</w:t>
            </w:r>
          </w:p>
        </w:tc>
        <w:tc>
          <w:tcPr>
            <w:tcMar>
              <w:top w:w="72.0" w:type="dxa"/>
              <w:left w:w="72.0" w:type="dxa"/>
              <w:bottom w:w="72.0" w:type="dxa"/>
              <w:right w:w="72.0" w:type="dxa"/>
            </w:tcMar>
            <w:vAlign w:val="center"/>
          </w:tcPr>
          <w:p w:rsidRPr="00000000" w:rsidR="00000000" w:rsidDel="00000000" w:rsidP="00000000" w:rsidRDefault="00000000" w14:paraId="00000315">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rtl w:val="0"/>
              </w:rPr>
              <w:t xml:space="preserve">P</w:t>
            </w: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hysical currency (coins or banknotes) that is legal tender, and bearer negotiable instruments (including cheques, drafts, and other monetary instruments in bearer form).</w:t>
            </w:r>
          </w:p>
        </w:tc>
      </w:tr>
      <w:tr>
        <w:trPr>
          <w:cantSplit w:val="0"/>
          <w:trHeight w:val="20" w:hRule="atLeast"/>
          <w:tblHeader w:val="0"/>
        </w:trPr>
        <w:tc>
          <w:tcPr>
            <w:tcMar>
              <w:top w:w="72.0" w:type="dxa"/>
              <w:left w:w="72.0" w:type="dxa"/>
              <w:bottom w:w="72.0" w:type="dxa"/>
              <w:right w:w="72.0" w:type="dxa"/>
            </w:tcMar>
            <w:vAlign w:val="center"/>
          </w:tcPr>
          <w:p w:rsidRPr="00000000" w:rsidR="00000000" w:rsidDel="00000000" w:rsidP="00000000" w:rsidRDefault="00000000" w14:paraId="00000316">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Customer</w:t>
            </w:r>
          </w:p>
        </w:tc>
        <w:tc>
          <w:tcPr>
            <w:tcMar>
              <w:top w:w="72.0" w:type="dxa"/>
              <w:left w:w="72.0" w:type="dxa"/>
              <w:bottom w:w="72.0" w:type="dxa"/>
              <w:right w:w="72.0" w:type="dxa"/>
            </w:tcMar>
            <w:vAlign w:val="center"/>
          </w:tcPr>
          <w:p w:rsidRPr="00000000" w:rsidR="00000000" w:rsidDel="00000000" w:rsidP="00000000" w:rsidRDefault="00000000" w14:paraId="00000317">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rtl w:val="0"/>
              </w:rPr>
              <w:t xml:space="preserve">A</w:t>
            </w: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 person (whether a natural person, Legal Person or Legal Arrangement):</w:t>
            </w:r>
          </w:p>
          <w:p w:rsidRPr="00000000" w:rsidR="00000000" w:rsidDel="00000000" w:rsidP="00000000" w:rsidRDefault="00000000" w14:paraId="00000318">
            <w:pPr>
              <w:numPr>
                <w:ilvl w:val="0"/>
                <w:numId w:val="3"/>
              </w:numPr>
              <w:spacing w:after="0" w:line="276" w:lineRule="auto"/>
              <w:ind w:left="630" w:hanging="360"/>
              <w:jc w:val="both"/>
              <w:rPr>
                <w:rFonts w:ascii="Arial" w:hAnsi="Arial" w:eastAsia="Arial" w:cs="Arial"/>
              </w:rPr>
            </w:pPr>
            <w:r w:rsidRPr="00000000" w:rsidDel="00000000" w:rsidR="00000000">
              <w:rPr>
                <w:rFonts w:ascii="Arial" w:hAnsi="Arial" w:eastAsia="Arial" w:cs="Arial"/>
                <w:rtl w:val="0"/>
              </w:rPr>
              <w:t xml:space="preserve">with whom the Binance Group establishes or intends to establish Business Relations with; or</w:t>
            </w:r>
          </w:p>
          <w:p w:rsidRPr="00000000" w:rsidR="00000000" w:rsidDel="00000000" w:rsidP="00000000" w:rsidRDefault="00000000" w14:paraId="00000319">
            <w:pPr>
              <w:numPr>
                <w:ilvl w:val="0"/>
                <w:numId w:val="3"/>
              </w:numPr>
              <w:spacing w:after="0" w:line="276" w:lineRule="auto"/>
              <w:ind w:left="630" w:hanging="360"/>
              <w:jc w:val="both"/>
              <w:rPr>
                <w:rFonts w:ascii="Arial" w:hAnsi="Arial" w:eastAsia="Arial" w:cs="Arial"/>
              </w:rPr>
            </w:pPr>
            <w:r w:rsidRPr="00000000" w:rsidDel="00000000" w:rsidR="00000000">
              <w:rPr>
                <w:rFonts w:ascii="Arial" w:hAnsi="Arial" w:eastAsia="Arial" w:cs="Arial"/>
                <w:rtl w:val="0"/>
              </w:rPr>
              <w:t xml:space="preserve">for whom the Binance Group undertakes or intends to undertake an occasional Transaction (without an account being opened).</w:t>
            </w:r>
          </w:p>
          <w:p w:rsidRPr="00000000" w:rsidR="00000000" w:rsidDel="00000000" w:rsidP="00000000" w:rsidRDefault="00000000" w14:paraId="0000031A">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The term “User” may also be used in Binance Policies and Procedures to describe the “Customer”.</w:t>
            </w:r>
          </w:p>
        </w:tc>
      </w:tr>
      <w:tr>
        <w:trPr>
          <w:cantSplit w:val="0"/>
          <w:trHeight w:val="20" w:hRule="atLeast"/>
          <w:tblHeader w:val="0"/>
        </w:trPr>
        <w:tc>
          <w:tcPr>
            <w:tcMar>
              <w:top w:w="72.0" w:type="dxa"/>
              <w:left w:w="72.0" w:type="dxa"/>
              <w:bottom w:w="72.0" w:type="dxa"/>
              <w:right w:w="72.0" w:type="dxa"/>
            </w:tcMar>
            <w:vAlign w:val="center"/>
          </w:tcPr>
          <w:p w:rsidRPr="00000000" w:rsidR="00000000" w:rsidDel="00000000" w:rsidP="00000000" w:rsidRDefault="00000000" w14:paraId="0000031B">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Digital Asset</w:t>
            </w:r>
          </w:p>
        </w:tc>
        <w:tc>
          <w:tcPr>
            <w:tcMar>
              <w:top w:w="72.0" w:type="dxa"/>
              <w:left w:w="72.0" w:type="dxa"/>
              <w:bottom w:w="72.0" w:type="dxa"/>
              <w:right w:w="72.0" w:type="dxa"/>
            </w:tcMar>
            <w:vAlign w:val="center"/>
          </w:tcPr>
          <w:p w:rsidRPr="00000000" w:rsidR="00000000" w:rsidDel="00000000" w:rsidP="00000000" w:rsidRDefault="00000000" w14:paraId="0000031C">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rtl w:val="0"/>
              </w:rPr>
              <w:t xml:space="preserve">A</w:t>
            </w: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 digital representation of value that can be digitally traded, transferred or can be used for payment or investment purposes; that uses distributed ledger or similar and is not issued or guaranteed by a central bank or public authority; Digital Virtual assets may be interchangeably used as “cryptocurrency” and/or “virtual currency”.  They may also be described as “digital payment tokens'' in some local regulations.</w:t>
            </w:r>
          </w:p>
        </w:tc>
      </w:tr>
      <w:tr>
        <w:trPr>
          <w:cantSplit w:val="0"/>
          <w:trHeight w:val="20" w:hRule="atLeast"/>
          <w:tblHeader w:val="0"/>
        </w:trPr>
        <w:tc>
          <w:tcPr>
            <w:tcMar>
              <w:top w:w="72.0" w:type="dxa"/>
              <w:left w:w="72.0" w:type="dxa"/>
              <w:bottom w:w="72.0" w:type="dxa"/>
              <w:right w:w="72.0" w:type="dxa"/>
            </w:tcMar>
            <w:vAlign w:val="center"/>
          </w:tcPr>
          <w:p w:rsidRPr="00000000" w:rsidR="00000000" w:rsidDel="00000000" w:rsidP="00000000" w:rsidRDefault="00000000" w14:paraId="0000031D">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E-wallet</w:t>
            </w:r>
          </w:p>
        </w:tc>
        <w:tc>
          <w:tcPr>
            <w:tcMar>
              <w:top w:w="72.0" w:type="dxa"/>
              <w:left w:w="72.0" w:type="dxa"/>
              <w:bottom w:w="72.0" w:type="dxa"/>
              <w:right w:w="72.0" w:type="dxa"/>
            </w:tcMar>
            <w:vAlign w:val="center"/>
          </w:tcPr>
          <w:p w:rsidRPr="00000000" w:rsidR="00000000" w:rsidDel="00000000" w:rsidP="00000000" w:rsidRDefault="00000000" w14:paraId="0000031E">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rtl w:val="0"/>
              </w:rPr>
              <w:t xml:space="preserve">A</w:t>
            </w: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 digital wallet that securely stores a Customer’s cryptocurrencies, personal information, passwords and access to various Binance services.</w:t>
            </w:r>
          </w:p>
        </w:tc>
      </w:tr>
      <w:tr>
        <w:trPr>
          <w:cantSplit w:val="0"/>
          <w:trHeight w:val="20" w:hRule="atLeast"/>
          <w:tblHeader w:val="0"/>
        </w:trPr>
        <w:tc>
          <w:tcPr>
            <w:tcMar>
              <w:top w:w="72.0" w:type="dxa"/>
              <w:left w:w="72.0" w:type="dxa"/>
              <w:bottom w:w="72.0" w:type="dxa"/>
              <w:right w:w="72.0" w:type="dxa"/>
            </w:tcMar>
            <w:vAlign w:val="center"/>
          </w:tcPr>
          <w:p w:rsidRPr="00000000" w:rsidR="00000000" w:rsidDel="00000000" w:rsidP="00000000" w:rsidRDefault="00000000" w14:paraId="0000031F">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FATF</w:t>
            </w:r>
          </w:p>
        </w:tc>
        <w:tc>
          <w:tcPr>
            <w:tcMar>
              <w:top w:w="72.0" w:type="dxa"/>
              <w:left w:w="72.0" w:type="dxa"/>
              <w:bottom w:w="72.0" w:type="dxa"/>
              <w:right w:w="72.0" w:type="dxa"/>
            </w:tcMar>
            <w:vAlign w:val="center"/>
          </w:tcPr>
          <w:p w:rsidRPr="00000000" w:rsidR="00000000" w:rsidDel="00000000" w:rsidP="00000000" w:rsidRDefault="00000000" w14:paraId="00000320">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Financial Action Task Force.</w:t>
            </w:r>
          </w:p>
        </w:tc>
      </w:tr>
      <w:tr>
        <w:trPr>
          <w:cantSplit w:val="0"/>
          <w:trHeight w:val="20" w:hRule="atLeast"/>
          <w:tblHeader w:val="0"/>
        </w:trPr>
        <w:tc>
          <w:tcPr>
            <w:tcMar>
              <w:top w:w="72.0" w:type="dxa"/>
              <w:left w:w="72.0" w:type="dxa"/>
              <w:bottom w:w="72.0" w:type="dxa"/>
              <w:right w:w="72.0" w:type="dxa"/>
            </w:tcMar>
            <w:vAlign w:val="center"/>
          </w:tcPr>
          <w:p w:rsidRPr="00000000" w:rsidR="00000000" w:rsidDel="00000000" w:rsidP="00000000" w:rsidRDefault="00000000" w14:paraId="00000321">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Fiat currency</w:t>
            </w:r>
          </w:p>
        </w:tc>
        <w:tc>
          <w:tcPr>
            <w:tcMar>
              <w:top w:w="72.0" w:type="dxa"/>
              <w:left w:w="72.0" w:type="dxa"/>
              <w:bottom w:w="72.0" w:type="dxa"/>
              <w:right w:w="72.0" w:type="dxa"/>
            </w:tcMar>
            <w:vAlign w:val="center"/>
          </w:tcPr>
          <w:p w:rsidRPr="00000000" w:rsidR="00000000" w:rsidDel="00000000" w:rsidP="00000000" w:rsidRDefault="00000000" w14:paraId="00000322">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rtl w:val="0"/>
              </w:rPr>
              <w:t xml:space="preserve">A</w:t>
            </w: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ny kind of money declared to be legal tender by a government of a country of jurisdiction. </w:t>
            </w:r>
          </w:p>
        </w:tc>
      </w:tr>
      <w:tr>
        <w:trPr>
          <w:cantSplit w:val="0"/>
          <w:trHeight w:val="20" w:hRule="atLeast"/>
          <w:tblHeader w:val="0"/>
        </w:trPr>
        <w:tc>
          <w:tcPr>
            <w:tcMar>
              <w:top w:w="72.0" w:type="dxa"/>
              <w:left w:w="72.0" w:type="dxa"/>
              <w:bottom w:w="72.0" w:type="dxa"/>
              <w:right w:w="72.0" w:type="dxa"/>
            </w:tcMar>
            <w:vAlign w:val="center"/>
          </w:tcPr>
          <w:p w:rsidRPr="00000000" w:rsidR="00000000" w:rsidDel="00000000" w:rsidP="00000000" w:rsidRDefault="00000000" w14:paraId="00000323">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Fiat Offramp channels</w:t>
            </w:r>
          </w:p>
        </w:tc>
        <w:tc>
          <w:tcPr>
            <w:tcMar>
              <w:top w:w="72.0" w:type="dxa"/>
              <w:left w:w="72.0" w:type="dxa"/>
              <w:bottom w:w="72.0" w:type="dxa"/>
              <w:right w:w="72.0" w:type="dxa"/>
            </w:tcMar>
            <w:vAlign w:val="center"/>
          </w:tcPr>
          <w:p w:rsidRPr="00000000" w:rsidR="00000000" w:rsidDel="00000000" w:rsidP="00000000" w:rsidRDefault="00000000" w14:paraId="00000324">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rtl w:val="0"/>
              </w:rPr>
              <w:t xml:space="preserve">A</w:t>
            </w: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lso known as “fiat channels” means any delivery channel which involves Digital Assets to Fiat Currency (i.e., withdrawals from an E-wallet).</w:t>
            </w:r>
          </w:p>
        </w:tc>
      </w:tr>
      <w:tr>
        <w:trPr>
          <w:cantSplit w:val="0"/>
          <w:trHeight w:val="20" w:hRule="atLeast"/>
          <w:tblHeader w:val="0"/>
        </w:trPr>
        <w:tc>
          <w:tcPr>
            <w:tcMar>
              <w:top w:w="72.0" w:type="dxa"/>
              <w:left w:w="72.0" w:type="dxa"/>
              <w:bottom w:w="72.0" w:type="dxa"/>
              <w:right w:w="72.0" w:type="dxa"/>
            </w:tcMar>
            <w:vAlign w:val="center"/>
          </w:tcPr>
          <w:p w:rsidRPr="00000000" w:rsidR="00000000" w:rsidDel="00000000" w:rsidP="00000000" w:rsidRDefault="00000000" w14:paraId="00000325">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Fiat Onramp Channels</w:t>
            </w:r>
          </w:p>
        </w:tc>
        <w:tc>
          <w:tcPr>
            <w:tcMar>
              <w:top w:w="72.0" w:type="dxa"/>
              <w:left w:w="72.0" w:type="dxa"/>
              <w:bottom w:w="72.0" w:type="dxa"/>
              <w:right w:w="72.0" w:type="dxa"/>
            </w:tcMar>
            <w:vAlign w:val="center"/>
          </w:tcPr>
          <w:p w:rsidRPr="00000000" w:rsidR="00000000" w:rsidDel="00000000" w:rsidP="00000000" w:rsidRDefault="00000000" w14:paraId="00000326">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rtl w:val="0"/>
              </w:rPr>
              <w:t xml:space="preserve">A</w:t>
            </w: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lso known as “fiat channels” means any delivery channel which involves Fiat Currency to Digital Assets (i.e., deposits into an E-wallet).</w:t>
            </w:r>
          </w:p>
        </w:tc>
      </w:tr>
      <w:tr>
        <w:trPr>
          <w:cantSplit w:val="0"/>
          <w:trHeight w:val="20" w:hRule="atLeast"/>
          <w:tblHeader w:val="0"/>
        </w:trPr>
        <w:tc>
          <w:tcPr>
            <w:tcMar>
              <w:top w:w="72.0" w:type="dxa"/>
              <w:left w:w="72.0" w:type="dxa"/>
              <w:bottom w:w="72.0" w:type="dxa"/>
              <w:right w:w="72.0" w:type="dxa"/>
            </w:tcMar>
            <w:vAlign w:val="center"/>
          </w:tcPr>
          <w:p w:rsidRPr="00000000" w:rsidR="00000000" w:rsidDel="00000000" w:rsidP="00000000" w:rsidRDefault="00000000" w14:paraId="00000327">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Financial Crime</w:t>
            </w:r>
          </w:p>
        </w:tc>
        <w:tc>
          <w:tcPr>
            <w:tcMar>
              <w:top w:w="72.0" w:type="dxa"/>
              <w:left w:w="72.0" w:type="dxa"/>
              <w:bottom w:w="72.0" w:type="dxa"/>
              <w:right w:w="72.0" w:type="dxa"/>
            </w:tcMar>
            <w:vAlign w:val="center"/>
          </w:tcPr>
          <w:p w:rsidRPr="00000000" w:rsidR="00000000" w:rsidDel="00000000" w:rsidP="00000000" w:rsidRDefault="00000000" w14:paraId="00000328">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rtl w:val="0"/>
              </w:rPr>
              <w:t xml:space="preserve">M</w:t>
            </w: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oney laundering, terrorism financing, proliferation financing, and related predicate offenses including but not limited to fraud, bribery, corruption and theft; it also includes terrorist and proliferation financing, sanction non-compliance (including evasion and circumvention), bribery &amp; corruption. </w:t>
            </w:r>
          </w:p>
        </w:tc>
      </w:tr>
      <w:tr>
        <w:trPr>
          <w:cantSplit w:val="0"/>
          <w:trHeight w:val="20" w:hRule="atLeast"/>
          <w:tblHeader w:val="0"/>
        </w:trPr>
        <w:tc>
          <w:tcPr>
            <w:tcMar>
              <w:top w:w="72.0" w:type="dxa"/>
              <w:left w:w="72.0" w:type="dxa"/>
              <w:bottom w:w="72.0" w:type="dxa"/>
              <w:right w:w="72.0" w:type="dxa"/>
            </w:tcMar>
            <w:vAlign w:val="center"/>
          </w:tcPr>
          <w:p w:rsidRPr="00000000" w:rsidR="00000000" w:rsidDel="00000000" w:rsidP="00000000" w:rsidRDefault="00000000" w14:paraId="00000329">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Financial Crime Compliance</w:t>
            </w:r>
          </w:p>
        </w:tc>
        <w:tc>
          <w:tcPr>
            <w:tcMar>
              <w:top w:w="72.0" w:type="dxa"/>
              <w:left w:w="72.0" w:type="dxa"/>
              <w:bottom w:w="72.0" w:type="dxa"/>
              <w:right w:w="72.0" w:type="dxa"/>
            </w:tcMar>
            <w:vAlign w:val="center"/>
          </w:tcPr>
          <w:p w:rsidRPr="00000000" w:rsidR="00000000" w:rsidDel="00000000" w:rsidP="00000000" w:rsidRDefault="00000000" w14:paraId="0000032A">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rtl w:val="0"/>
              </w:rPr>
              <w:t xml:space="preserve">T</w:t>
            </w: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he policies, procedures, and controls adopted to prevent, detect, and respond to ML/TF/PF and other financial crimes and to ensure sanction compliance and provide compliance oversight to the Anti-Bribery &amp; Corruption Program. </w:t>
            </w:r>
          </w:p>
        </w:tc>
      </w:tr>
      <w:tr>
        <w:trPr>
          <w:cantSplit w:val="0"/>
          <w:trHeight w:val="20" w:hRule="atLeast"/>
          <w:tblHeader w:val="0"/>
        </w:trPr>
        <w:tc>
          <w:tcPr>
            <w:tcMar>
              <w:top w:w="72.0" w:type="dxa"/>
              <w:left w:w="72.0" w:type="dxa"/>
              <w:bottom w:w="72.0" w:type="dxa"/>
              <w:right w:w="72.0" w:type="dxa"/>
            </w:tcMar>
            <w:vAlign w:val="center"/>
          </w:tcPr>
          <w:p w:rsidRPr="00000000" w:rsidR="00000000" w:rsidDel="00000000" w:rsidP="00000000" w:rsidRDefault="00000000" w14:paraId="0000032B">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FIU</w:t>
            </w:r>
          </w:p>
        </w:tc>
        <w:tc>
          <w:tcPr>
            <w:tcMar>
              <w:top w:w="72.0" w:type="dxa"/>
              <w:left w:w="72.0" w:type="dxa"/>
              <w:bottom w:w="72.0" w:type="dxa"/>
              <w:right w:w="72.0" w:type="dxa"/>
            </w:tcMar>
            <w:vAlign w:val="center"/>
          </w:tcPr>
          <w:p w:rsidRPr="00000000" w:rsidR="00000000" w:rsidDel="00000000" w:rsidP="00000000" w:rsidRDefault="00000000" w14:paraId="0000032C">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rtl w:val="0"/>
              </w:rPr>
              <w:t xml:space="preserve">T</w:t>
            </w: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he national agency responsible for receiving, analysing, and disseminating reports of suspicious transactions and activities related to ML, TF, and PF, in accordance with applicable laws and regulations in its jurisdiction.</w:t>
            </w:r>
          </w:p>
        </w:tc>
      </w:tr>
      <w:tr>
        <w:trPr>
          <w:cantSplit w:val="0"/>
          <w:trHeight w:val="20" w:hRule="atLeast"/>
          <w:tblHeader w:val="0"/>
        </w:trPr>
        <w:tc>
          <w:tcPr>
            <w:tcMar>
              <w:top w:w="72.0" w:type="dxa"/>
              <w:left w:w="72.0" w:type="dxa"/>
              <w:bottom w:w="72.0" w:type="dxa"/>
              <w:right w:w="72.0" w:type="dxa"/>
            </w:tcMar>
            <w:vAlign w:val="center"/>
          </w:tcPr>
          <w:p w:rsidRPr="00000000" w:rsidR="00000000" w:rsidDel="00000000" w:rsidP="00000000" w:rsidRDefault="00000000" w14:paraId="0000032D">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FSRA</w:t>
            </w:r>
          </w:p>
        </w:tc>
        <w:tc>
          <w:tcPr>
            <w:tcMar>
              <w:top w:w="72.0" w:type="dxa"/>
              <w:left w:w="72.0" w:type="dxa"/>
              <w:bottom w:w="72.0" w:type="dxa"/>
              <w:right w:w="72.0" w:type="dxa"/>
            </w:tcMar>
            <w:vAlign w:val="center"/>
          </w:tcPr>
          <w:p w:rsidRPr="00000000" w:rsidR="00000000" w:rsidDel="00000000" w:rsidP="00000000" w:rsidRDefault="00000000" w14:paraId="0000032E">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Financial Services Regulatory Authority. </w:t>
            </w:r>
          </w:p>
        </w:tc>
      </w:tr>
      <w:tr>
        <w:trPr>
          <w:cantSplit w:val="0"/>
          <w:trHeight w:val="20" w:hRule="atLeast"/>
          <w:tblHeader w:val="0"/>
        </w:trPr>
        <w:tc>
          <w:tcPr>
            <w:tcMar>
              <w:top w:w="72.0" w:type="dxa"/>
              <w:left w:w="72.0" w:type="dxa"/>
              <w:bottom w:w="72.0" w:type="dxa"/>
              <w:right w:w="72.0" w:type="dxa"/>
            </w:tcMar>
            <w:vAlign w:val="center"/>
          </w:tcPr>
          <w:p w:rsidRPr="00000000" w:rsidR="00000000" w:rsidDel="00000000" w:rsidP="00000000" w:rsidRDefault="00000000" w14:paraId="0000032F">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FSRA AML and Sanctions Rule and Guidance</w:t>
            </w:r>
          </w:p>
        </w:tc>
        <w:tc>
          <w:tcPr>
            <w:tcMar>
              <w:top w:w="72.0" w:type="dxa"/>
              <w:left w:w="72.0" w:type="dxa"/>
              <w:bottom w:w="72.0" w:type="dxa"/>
              <w:right w:w="72.0" w:type="dxa"/>
            </w:tcMar>
            <w:vAlign w:val="center"/>
          </w:tcPr>
          <w:p w:rsidRPr="00000000" w:rsidR="00000000" w:rsidDel="00000000" w:rsidP="00000000" w:rsidRDefault="00000000" w14:paraId="00000330">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rtl w:val="0"/>
              </w:rPr>
              <w:t xml:space="preserve">R</w:t>
            </w: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ules and guidance issued by the FSRA under the ADGM AML Rulebook.</w:t>
            </w:r>
          </w:p>
        </w:tc>
      </w:tr>
      <w:tr>
        <w:trPr>
          <w:cantSplit w:val="0"/>
          <w:trHeight w:val="20" w:hRule="atLeast"/>
          <w:tblHeader w:val="0"/>
        </w:trPr>
        <w:tc>
          <w:tcPr>
            <w:tcMar>
              <w:top w:w="72.0" w:type="dxa"/>
              <w:left w:w="72.0" w:type="dxa"/>
              <w:bottom w:w="72.0" w:type="dxa"/>
              <w:right w:w="72.0" w:type="dxa"/>
            </w:tcMar>
            <w:vAlign w:val="center"/>
          </w:tcPr>
          <w:p w:rsidRPr="00000000" w:rsidR="00000000" w:rsidDel="00000000" w:rsidP="00000000" w:rsidRDefault="00000000" w14:paraId="00000331">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Global Compliance Risk Appetite Statement</w:t>
            </w:r>
          </w:p>
        </w:tc>
        <w:tc>
          <w:tcPr>
            <w:tcMar>
              <w:top w:w="72.0" w:type="dxa"/>
              <w:left w:w="72.0" w:type="dxa"/>
              <w:bottom w:w="72.0" w:type="dxa"/>
              <w:right w:w="72.0" w:type="dxa"/>
            </w:tcMar>
            <w:vAlign w:val="center"/>
          </w:tcPr>
          <w:p w:rsidRPr="00000000" w:rsidR="00000000" w:rsidDel="00000000" w:rsidP="00000000" w:rsidRDefault="00000000" w14:paraId="00000332">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rtl w:val="0"/>
              </w:rPr>
              <w:t xml:space="preserve">A</w:t>
            </w: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 formal statement that acknowledges the presence of financial crime risk within Binance’s business and products, and recognizes that certain Customers may pose a higher risk to the Group.  </w:t>
            </w:r>
          </w:p>
        </w:tc>
      </w:tr>
      <w:tr>
        <w:trPr>
          <w:cantSplit w:val="0"/>
          <w:trHeight w:val="20" w:hRule="atLeast"/>
          <w:tblHeader w:val="0"/>
        </w:trPr>
        <w:tc>
          <w:tcPr>
            <w:tcMar>
              <w:top w:w="72.0" w:type="dxa"/>
              <w:left w:w="72.0" w:type="dxa"/>
              <w:bottom w:w="72.0" w:type="dxa"/>
              <w:right w:w="72.0" w:type="dxa"/>
            </w:tcMar>
            <w:vAlign w:val="center"/>
          </w:tcPr>
          <w:p w:rsidRPr="00000000" w:rsidR="00000000" w:rsidDel="00000000" w:rsidP="00000000" w:rsidRDefault="00000000" w14:paraId="00000333">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Group Personnel or Personnel</w:t>
            </w:r>
          </w:p>
        </w:tc>
        <w:tc>
          <w:tcPr>
            <w:tcMar>
              <w:top w:w="72.0" w:type="dxa"/>
              <w:left w:w="72.0" w:type="dxa"/>
              <w:bottom w:w="72.0" w:type="dxa"/>
              <w:right w:w="72.0" w:type="dxa"/>
            </w:tcMar>
            <w:vAlign w:val="center"/>
          </w:tcPr>
          <w:p w:rsidRPr="00000000" w:rsidR="00000000" w:rsidDel="00000000" w:rsidP="00000000" w:rsidRDefault="00000000" w14:paraId="00000334">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rtl w:val="0"/>
              </w:rPr>
              <w:t xml:space="preserve">A</w:t>
            </w: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ll employees, officers, directors, contractors, consultants, and any other individuals or entities acting for or on behalf of Binance Group, including all subsidiaries, branches, representative offices, and other legal entities under its control.</w:t>
            </w:r>
          </w:p>
        </w:tc>
      </w:tr>
      <w:tr>
        <w:trPr>
          <w:cantSplit w:val="0"/>
          <w:trHeight w:val="20" w:hRule="atLeast"/>
          <w:tblHeader w:val="0"/>
        </w:trPr>
        <w:tc>
          <w:tcPr>
            <w:tcMar>
              <w:top w:w="72.0" w:type="dxa"/>
              <w:left w:w="72.0" w:type="dxa"/>
              <w:bottom w:w="72.0" w:type="dxa"/>
              <w:right w:w="72.0" w:type="dxa"/>
            </w:tcMar>
            <w:vAlign w:val="center"/>
          </w:tcPr>
          <w:p w:rsidRPr="00000000" w:rsidR="00000000" w:rsidDel="00000000" w:rsidP="00000000" w:rsidRDefault="00000000" w14:paraId="00000335">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Legal Arrangement</w:t>
            </w:r>
          </w:p>
        </w:tc>
        <w:tc>
          <w:tcPr>
            <w:tcMar>
              <w:top w:w="72.0" w:type="dxa"/>
              <w:left w:w="72.0" w:type="dxa"/>
              <w:bottom w:w="72.0" w:type="dxa"/>
              <w:right w:w="72.0" w:type="dxa"/>
            </w:tcMar>
            <w:vAlign w:val="center"/>
          </w:tcPr>
          <w:p w:rsidRPr="00000000" w:rsidR="00000000" w:rsidDel="00000000" w:rsidP="00000000" w:rsidRDefault="00000000" w14:paraId="00000336">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rtl w:val="0"/>
              </w:rPr>
              <w:t xml:space="preserve">A</w:t>
            </w: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 trust or other similar structure.</w:t>
            </w:r>
          </w:p>
        </w:tc>
      </w:tr>
      <w:tr>
        <w:trPr>
          <w:cantSplit w:val="0"/>
          <w:trHeight w:val="20" w:hRule="atLeast"/>
          <w:tblHeader w:val="0"/>
        </w:trPr>
        <w:tc>
          <w:tcPr>
            <w:tcMar>
              <w:top w:w="72.0" w:type="dxa"/>
              <w:left w:w="72.0" w:type="dxa"/>
              <w:bottom w:w="72.0" w:type="dxa"/>
              <w:right w:w="72.0" w:type="dxa"/>
            </w:tcMar>
            <w:vAlign w:val="center"/>
          </w:tcPr>
          <w:p w:rsidRPr="00000000" w:rsidR="00000000" w:rsidDel="00000000" w:rsidP="00000000" w:rsidRDefault="00000000" w14:paraId="00000337">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LEA</w:t>
            </w:r>
          </w:p>
        </w:tc>
        <w:tc>
          <w:tcPr>
            <w:tcMar>
              <w:top w:w="72.0" w:type="dxa"/>
              <w:left w:w="72.0" w:type="dxa"/>
              <w:bottom w:w="72.0" w:type="dxa"/>
              <w:right w:w="72.0" w:type="dxa"/>
            </w:tcMar>
            <w:vAlign w:val="center"/>
          </w:tcPr>
          <w:p w:rsidRPr="00000000" w:rsidR="00000000" w:rsidDel="00000000" w:rsidP="00000000" w:rsidRDefault="00000000" w14:paraId="00000338">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Law Enforcement Agency.</w:t>
            </w:r>
          </w:p>
        </w:tc>
      </w:tr>
      <w:tr>
        <w:trPr>
          <w:cantSplit w:val="0"/>
          <w:trHeight w:val="20" w:hRule="atLeast"/>
          <w:tblHeader w:val="0"/>
        </w:trPr>
        <w:tc>
          <w:tcPr>
            <w:tcMar>
              <w:top w:w="72.0" w:type="dxa"/>
              <w:left w:w="72.0" w:type="dxa"/>
              <w:bottom w:w="72.0" w:type="dxa"/>
              <w:right w:w="72.0" w:type="dxa"/>
            </w:tcMar>
            <w:vAlign w:val="center"/>
          </w:tcPr>
          <w:p w:rsidRPr="00000000" w:rsidR="00000000" w:rsidDel="00000000" w:rsidP="00000000" w:rsidRDefault="00000000" w14:paraId="00000339">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Legal Person</w:t>
            </w:r>
          </w:p>
        </w:tc>
        <w:tc>
          <w:tcPr>
            <w:tcMar>
              <w:top w:w="72.0" w:type="dxa"/>
              <w:left w:w="72.0" w:type="dxa"/>
              <w:bottom w:w="72.0" w:type="dxa"/>
              <w:right w:w="72.0" w:type="dxa"/>
            </w:tcMar>
            <w:vAlign w:val="center"/>
          </w:tcPr>
          <w:p w:rsidRPr="00000000" w:rsidR="00000000" w:rsidDel="00000000" w:rsidP="00000000" w:rsidRDefault="00000000" w14:paraId="0000033A">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rtl w:val="0"/>
              </w:rPr>
              <w:t xml:space="preserve">A</w:t>
            </w: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n entity other than a natural person that can establish a permanent Customer relationship with a financial institution or otherwise own property.  This includes corporations, partnerships, foundations, and similar entities.</w:t>
            </w:r>
          </w:p>
          <w:p w:rsidRPr="00000000" w:rsidR="00000000" w:rsidDel="00000000" w:rsidP="00000000" w:rsidRDefault="00000000" w14:paraId="0000033B">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Legal entities may include personal investment companies (PIC) or domiciliary companies, as well as operating companies.</w:t>
            </w:r>
          </w:p>
        </w:tc>
      </w:tr>
      <w:tr>
        <w:trPr>
          <w:cantSplit w:val="0"/>
          <w:trHeight w:val="20" w:hRule="atLeast"/>
          <w:tblHeader w:val="0"/>
        </w:trPr>
        <w:tc>
          <w:tcPr>
            <w:tcMar>
              <w:top w:w="72.0" w:type="dxa"/>
              <w:left w:w="72.0" w:type="dxa"/>
              <w:bottom w:w="72.0" w:type="dxa"/>
              <w:right w:w="72.0" w:type="dxa"/>
            </w:tcMar>
            <w:vAlign w:val="center"/>
          </w:tcPr>
          <w:p w:rsidRPr="00000000" w:rsidR="00000000" w:rsidDel="00000000" w:rsidP="00000000" w:rsidRDefault="00000000" w14:paraId="0000033C">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Personal Data</w:t>
            </w:r>
          </w:p>
        </w:tc>
        <w:tc>
          <w:tcPr>
            <w:tcMar>
              <w:top w:w="72.0" w:type="dxa"/>
              <w:left w:w="72.0" w:type="dxa"/>
              <w:bottom w:w="72.0" w:type="dxa"/>
              <w:right w:w="72.0" w:type="dxa"/>
            </w:tcMar>
            <w:vAlign w:val="center"/>
          </w:tcPr>
          <w:p w:rsidRPr="00000000" w:rsidR="00000000" w:rsidDel="00000000" w:rsidP="00000000" w:rsidRDefault="00000000" w14:paraId="0000033D">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rtl w:val="0"/>
              </w:rPr>
              <w:t xml:space="preserve">A</w:t>
            </w: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ny information relating to an identified or identifiable natural person, whether true or not.  An identifiable natural person is one who can be identified, directly or indirectly, in particular by reference to:</w:t>
            </w:r>
          </w:p>
          <w:p w:rsidRPr="00000000" w:rsidR="00000000" w:rsidDel="00000000" w:rsidP="00000000" w:rsidRDefault="00000000" w14:paraId="0000033E">
            <w:pPr>
              <w:keepNext w:val="0"/>
              <w:keepLines w:val="0"/>
              <w:widowControl w:val="1"/>
              <w:numPr>
                <w:ilvl w:val="0"/>
                <w:numId w:val="5"/>
              </w:numPr>
              <w:pBdr>
                <w:top w:val="nil" w:sz="0" w:space="0"/>
                <w:left w:val="nil" w:sz="0" w:space="0"/>
                <w:bottom w:val="nil" w:sz="0" w:space="0"/>
                <w:right w:val="nil" w:sz="0" w:space="0"/>
                <w:between w:val="nil" w:sz="0" w:space="0"/>
              </w:pBdr>
              <w:shd w:val="clear" w:fill="auto"/>
              <w:spacing w:before="0" w:after="0" w:line="276" w:lineRule="auto"/>
              <w:ind w:left="360" w:right="0" w:hanging="270"/>
              <w:jc w:val="both"/>
              <w:rPr>
                <w:rFonts w:ascii="Arial" w:hAnsi="Arial" w:eastAsia="Arial" w:cs="Arial"/>
                <w:i w:val="0"/>
                <w:iCs w:val="0"/>
                <w:smallCaps w:val="0"/>
                <w:strike w:val="0"/>
                <w:color w:val="000000"/>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an identifier such as a name, an identification number, location data, an online identifier; or</w:t>
            </w:r>
            <w:r w:rsidRPr="00000000" w:rsidDel="00000000" w:rsidR="00000000">
              <w:rPr>
                <w:rtl w:val="0"/>
              </w:rPr>
            </w:r>
          </w:p>
          <w:p w:rsidRPr="00000000" w:rsidR="00000000" w:rsidDel="00000000" w:rsidP="00000000" w:rsidRDefault="00000000" w14:paraId="0000033F">
            <w:pPr>
              <w:keepNext w:val="0"/>
              <w:keepLines w:val="0"/>
              <w:widowControl w:val="1"/>
              <w:numPr>
                <w:ilvl w:val="0"/>
                <w:numId w:val="5"/>
              </w:numPr>
              <w:pBdr>
                <w:top w:val="nil" w:sz="0" w:space="0"/>
                <w:left w:val="nil" w:sz="0" w:space="0"/>
                <w:bottom w:val="nil" w:sz="0" w:space="0"/>
                <w:right w:val="nil" w:sz="0" w:space="0"/>
                <w:between w:val="nil" w:sz="0" w:space="0"/>
              </w:pBdr>
              <w:shd w:val="clear" w:fill="auto"/>
              <w:spacing w:before="0" w:after="0" w:line="276" w:lineRule="auto"/>
              <w:ind w:left="360" w:right="0" w:hanging="270"/>
              <w:jc w:val="both"/>
              <w:rPr>
                <w:rFonts w:ascii="Arial" w:hAnsi="Arial" w:eastAsia="Arial" w:cs="Arial"/>
                <w:i w:val="0"/>
                <w:iCs w:val="0"/>
                <w:smallCaps w:val="0"/>
                <w:strike w:val="0"/>
                <w:color w:val="000000"/>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one or more factors specific to the physical, physiological, genetic, mental, economic, cultural, or social identity of that natural person.</w:t>
            </w:r>
            <w:r w:rsidRPr="00000000" w:rsidDel="00000000" w:rsidR="00000000">
              <w:rPr>
                <w:rtl w:val="0"/>
              </w:rPr>
            </w:r>
          </w:p>
        </w:tc>
      </w:tr>
      <w:tr>
        <w:trPr>
          <w:cantSplit w:val="0"/>
          <w:trHeight w:val="20" w:hRule="atLeast"/>
          <w:tblHeader w:val="0"/>
        </w:trPr>
        <w:tc>
          <w:tcPr>
            <w:tcMar>
              <w:top w:w="72.0" w:type="dxa"/>
              <w:left w:w="72.0" w:type="dxa"/>
              <w:bottom w:w="72.0" w:type="dxa"/>
              <w:right w:w="72.0" w:type="dxa"/>
            </w:tcMar>
            <w:vAlign w:val="center"/>
          </w:tcPr>
          <w:p w:rsidRPr="00000000" w:rsidR="00000000" w:rsidDel="00000000" w:rsidP="00000000" w:rsidRDefault="00000000" w14:paraId="00000340">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Policy or Global AML Policy</w:t>
            </w:r>
          </w:p>
        </w:tc>
        <w:tc>
          <w:tcPr>
            <w:tcMar>
              <w:top w:w="72.0" w:type="dxa"/>
              <w:left w:w="72.0" w:type="dxa"/>
              <w:bottom w:w="72.0" w:type="dxa"/>
              <w:right w:w="72.0" w:type="dxa"/>
            </w:tcMar>
            <w:vAlign w:val="center"/>
          </w:tcPr>
          <w:p w:rsidRPr="00000000" w:rsidR="00000000" w:rsidDel="00000000" w:rsidP="00000000" w:rsidRDefault="00000000" w14:paraId="00000341">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rtl w:val="0"/>
              </w:rPr>
              <w:t xml:space="preserve">T</w:t>
            </w: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his Global Anti-Money Laundering and Countering Terrorism Financing Policy.</w:t>
            </w:r>
          </w:p>
        </w:tc>
      </w:tr>
      <w:tr>
        <w:trPr>
          <w:cantSplit w:val="0"/>
          <w:trHeight w:val="20" w:hRule="atLeast"/>
          <w:tblHeader w:val="0"/>
        </w:trPr>
        <w:tc>
          <w:tcPr>
            <w:tcMar>
              <w:top w:w="72.0" w:type="dxa"/>
              <w:left w:w="72.0" w:type="dxa"/>
              <w:bottom w:w="72.0" w:type="dxa"/>
              <w:right w:w="72.0" w:type="dxa"/>
            </w:tcMar>
            <w:vAlign w:val="center"/>
          </w:tcPr>
          <w:p w:rsidRPr="00000000" w:rsidR="00000000" w:rsidDel="00000000" w:rsidP="00000000" w:rsidRDefault="00000000" w14:paraId="00000342">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P2P</w:t>
            </w:r>
          </w:p>
        </w:tc>
        <w:tc>
          <w:tcPr>
            <w:tcMar>
              <w:top w:w="72.0" w:type="dxa"/>
              <w:left w:w="72.0" w:type="dxa"/>
              <w:bottom w:w="72.0" w:type="dxa"/>
              <w:right w:w="72.0" w:type="dxa"/>
            </w:tcMar>
            <w:vAlign w:val="center"/>
          </w:tcPr>
          <w:p w:rsidRPr="00000000" w:rsidR="00000000" w:rsidDel="00000000" w:rsidP="00000000" w:rsidRDefault="00000000" w14:paraId="00000343">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rtl w:val="0"/>
              </w:rPr>
              <w:t xml:space="preserve">A</w:t>
            </w: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lso known as “Peer to Peer”, referring to the direct exchange of assets, such as a digital currency, between individual parties without the involvement of a central authority.</w:t>
            </w:r>
          </w:p>
        </w:tc>
      </w:tr>
      <w:tr>
        <w:trPr>
          <w:cantSplit w:val="0"/>
          <w:trHeight w:val="20" w:hRule="atLeast"/>
          <w:tblHeader w:val="0"/>
        </w:trPr>
        <w:tc>
          <w:tcPr>
            <w:tcMar>
              <w:top w:w="72.0" w:type="dxa"/>
              <w:left w:w="72.0" w:type="dxa"/>
              <w:bottom w:w="72.0" w:type="dxa"/>
              <w:right w:w="72.0" w:type="dxa"/>
            </w:tcMar>
            <w:vAlign w:val="center"/>
          </w:tcPr>
          <w:p w:rsidRPr="00000000" w:rsidR="00000000" w:rsidDel="00000000" w:rsidP="00000000" w:rsidRDefault="00000000" w14:paraId="00000344">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Reasonable Measures</w:t>
            </w:r>
          </w:p>
        </w:tc>
        <w:tc>
          <w:tcPr>
            <w:tcMar>
              <w:top w:w="72.0" w:type="dxa"/>
              <w:left w:w="72.0" w:type="dxa"/>
              <w:bottom w:w="72.0" w:type="dxa"/>
              <w:right w:w="72.0" w:type="dxa"/>
            </w:tcMar>
            <w:vAlign w:val="center"/>
          </w:tcPr>
          <w:p w:rsidRPr="00000000" w:rsidR="00000000" w:rsidDel="00000000" w:rsidP="00000000" w:rsidRDefault="00000000" w14:paraId="00000345">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rtl w:val="0"/>
              </w:rPr>
              <w:t xml:space="preserve">M</w:t>
            </w: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easures that are proportionate to the ML/TF/PF risks identified and consistent with legal and regulatory obligations. </w:t>
            </w:r>
          </w:p>
        </w:tc>
      </w:tr>
      <w:tr>
        <w:trPr>
          <w:cantSplit w:val="0"/>
          <w:trHeight w:val="20" w:hRule="atLeast"/>
          <w:tblHeader w:val="0"/>
        </w:trPr>
        <w:tc>
          <w:tcPr>
            <w:tcMar>
              <w:top w:w="72.0" w:type="dxa"/>
              <w:left w:w="72.0" w:type="dxa"/>
              <w:bottom w:w="72.0" w:type="dxa"/>
              <w:right w:w="72.0" w:type="dxa"/>
            </w:tcMar>
            <w:vAlign w:val="center"/>
          </w:tcPr>
          <w:p w:rsidRPr="00000000" w:rsidR="00000000" w:rsidDel="00000000" w:rsidP="00000000" w:rsidRDefault="00000000" w14:paraId="00000346">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Regional Compliance Officers</w:t>
            </w:r>
          </w:p>
        </w:tc>
        <w:tc>
          <w:tcPr>
            <w:tcMar>
              <w:top w:w="72.0" w:type="dxa"/>
              <w:left w:w="72.0" w:type="dxa"/>
              <w:bottom w:w="72.0" w:type="dxa"/>
              <w:right w:w="72.0" w:type="dxa"/>
            </w:tcMar>
            <w:vAlign w:val="center"/>
          </w:tcPr>
          <w:p w:rsidRPr="00000000" w:rsidR="00000000" w:rsidDel="00000000" w:rsidP="00000000" w:rsidRDefault="00000000" w14:paraId="00000347">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Global Money Laundering Reporting Officers (GMLRO) or Regional Money Laundering Reporting Officers (RMLROs) as appointed by Binance.</w:t>
            </w:r>
          </w:p>
        </w:tc>
      </w:tr>
      <w:tr>
        <w:trPr>
          <w:cantSplit w:val="0"/>
          <w:trHeight w:val="20" w:hRule="atLeast"/>
          <w:tblHeader w:val="0"/>
        </w:trPr>
        <w:tc>
          <w:tcPr>
            <w:tcMar>
              <w:top w:w="72.0" w:type="dxa"/>
              <w:left w:w="72.0" w:type="dxa"/>
              <w:bottom w:w="72.0" w:type="dxa"/>
              <w:right w:w="72.0" w:type="dxa"/>
            </w:tcMar>
            <w:vAlign w:val="center"/>
          </w:tcPr>
          <w:p w:rsidRPr="00000000" w:rsidR="00000000" w:rsidDel="00000000" w:rsidP="00000000" w:rsidRDefault="00000000" w14:paraId="00000348">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Related Parties</w:t>
            </w:r>
          </w:p>
        </w:tc>
        <w:tc>
          <w:tcPr>
            <w:tcMar>
              <w:top w:w="72.0" w:type="dxa"/>
              <w:left w:w="72.0" w:type="dxa"/>
              <w:bottom w:w="72.0" w:type="dxa"/>
              <w:right w:w="72.0" w:type="dxa"/>
            </w:tcMar>
            <w:vAlign w:val="center"/>
          </w:tcPr>
          <w:p w:rsidRPr="00000000" w:rsidR="00000000" w:rsidDel="00000000" w:rsidP="00000000" w:rsidRDefault="00000000" w14:paraId="00000349">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rtl w:val="0"/>
              </w:rPr>
              <w:t xml:space="preserve">M</w:t>
            </w: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eans:  </w:t>
            </w:r>
          </w:p>
          <w:p w:rsidRPr="00000000" w:rsidR="00000000" w:rsidDel="00000000" w:rsidP="00000000" w:rsidRDefault="00000000" w14:paraId="0000034A">
            <w:pPr>
              <w:numPr>
                <w:ilvl w:val="0"/>
                <w:numId w:val="8"/>
              </w:numPr>
              <w:spacing w:after="0" w:line="276" w:lineRule="auto"/>
              <w:ind w:left="360" w:hanging="270"/>
              <w:jc w:val="both"/>
              <w:rPr>
                <w:rFonts w:ascii="Arial" w:hAnsi="Arial" w:eastAsia="Arial" w:cs="Arial"/>
              </w:rPr>
            </w:pPr>
            <w:r w:rsidRPr="00000000" w:rsidDel="00000000" w:rsidR="00000000">
              <w:rPr>
                <w:rFonts w:ascii="Arial" w:hAnsi="Arial" w:eastAsia="Arial" w:cs="Arial"/>
                <w:rtl w:val="0"/>
              </w:rPr>
              <w:t xml:space="preserve">in relation to a Legal Person (other than a partnership), means any director or any natural person having executive authority in the Legal Person;</w:t>
            </w:r>
          </w:p>
          <w:p w:rsidRPr="00000000" w:rsidR="00000000" w:rsidDel="00000000" w:rsidP="00000000" w:rsidRDefault="00000000" w14:paraId="0000034B">
            <w:pPr>
              <w:numPr>
                <w:ilvl w:val="0"/>
                <w:numId w:val="8"/>
              </w:numPr>
              <w:spacing w:after="0" w:line="276" w:lineRule="auto"/>
              <w:ind w:left="360" w:hanging="270"/>
              <w:jc w:val="both"/>
              <w:rPr>
                <w:rFonts w:ascii="Arial" w:hAnsi="Arial" w:eastAsia="Arial" w:cs="Arial"/>
              </w:rPr>
            </w:pPr>
            <w:r w:rsidRPr="00000000" w:rsidDel="00000000" w:rsidR="00000000">
              <w:rPr>
                <w:rFonts w:ascii="Arial" w:hAnsi="Arial" w:eastAsia="Arial" w:cs="Arial"/>
                <w:rtl w:val="0"/>
              </w:rPr>
              <w:t xml:space="preserve">in relation to a Legal Person that is a partnership, means any partner or manager; and</w:t>
            </w:r>
          </w:p>
          <w:p w:rsidRPr="00000000" w:rsidR="00000000" w:rsidDel="00000000" w:rsidP="00000000" w:rsidRDefault="00000000" w14:paraId="0000034C">
            <w:pPr>
              <w:numPr>
                <w:ilvl w:val="0"/>
                <w:numId w:val="8"/>
              </w:numPr>
              <w:spacing w:after="0" w:line="276" w:lineRule="auto"/>
              <w:ind w:left="360" w:hanging="270"/>
              <w:jc w:val="both"/>
              <w:rPr>
                <w:rFonts w:ascii="Arial" w:hAnsi="Arial" w:eastAsia="Arial" w:cs="Arial"/>
              </w:rPr>
            </w:pPr>
            <w:r w:rsidRPr="00000000" w:rsidDel="00000000" w:rsidR="00000000">
              <w:rPr>
                <w:rFonts w:ascii="Arial" w:hAnsi="Arial" w:eastAsia="Arial" w:cs="Arial"/>
                <w:rtl w:val="0"/>
              </w:rPr>
              <w:t xml:space="preserve">in relation to a Legal Arrangement (such as a trust), means any natural person having executive authority in the Legal Arrangement (for e.g., trustees).</w:t>
            </w:r>
          </w:p>
        </w:tc>
      </w:tr>
      <w:tr>
        <w:trPr>
          <w:cantSplit w:val="0"/>
          <w:trHeight w:val="20" w:hRule="atLeast"/>
          <w:tblHeader w:val="0"/>
        </w:trPr>
        <w:tc>
          <w:tcPr>
            <w:tcMar>
              <w:top w:w="72.0" w:type="dxa"/>
              <w:left w:w="72.0" w:type="dxa"/>
              <w:bottom w:w="72.0" w:type="dxa"/>
              <w:right w:w="72.0" w:type="dxa"/>
            </w:tcMar>
            <w:vAlign w:val="center"/>
          </w:tcPr>
          <w:p w:rsidRPr="00000000" w:rsidR="00000000" w:rsidDel="00000000" w:rsidP="00000000" w:rsidRDefault="00000000" w14:paraId="0000034D">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Suspicious Activity Report (SAR)</w:t>
            </w:r>
          </w:p>
        </w:tc>
        <w:tc>
          <w:tcPr>
            <w:tcMar>
              <w:top w:w="72.0" w:type="dxa"/>
              <w:left w:w="72.0" w:type="dxa"/>
              <w:bottom w:w="72.0" w:type="dxa"/>
              <w:right w:w="72.0" w:type="dxa"/>
            </w:tcMar>
            <w:vAlign w:val="center"/>
          </w:tcPr>
          <w:p w:rsidRPr="00000000" w:rsidR="00000000" w:rsidDel="00000000" w:rsidP="00000000" w:rsidRDefault="00000000" w14:paraId="0000034E">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rtl w:val="0"/>
              </w:rPr>
              <w:t xml:space="preserve">A</w:t>
            </w: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 report made to the competent FIU when there are reasonable grounds to suspect that a Customer’s activities, behaviour, attempted Transactions, or other circumstances may be related to ML, TF, and PF, or breaches of applicable Sanctions, regardless of whether a Transaction has occurred, in accordance with applicable laws and regulations.</w:t>
            </w:r>
          </w:p>
        </w:tc>
      </w:tr>
      <w:tr>
        <w:trPr>
          <w:cantSplit w:val="0"/>
          <w:trHeight w:val="20" w:hRule="atLeast"/>
          <w:tblHeader w:val="0"/>
        </w:trPr>
        <w:tc>
          <w:tcPr>
            <w:tcMar>
              <w:top w:w="72.0" w:type="dxa"/>
              <w:left w:w="72.0" w:type="dxa"/>
              <w:bottom w:w="72.0" w:type="dxa"/>
              <w:right w:w="72.0" w:type="dxa"/>
            </w:tcMar>
            <w:vAlign w:val="center"/>
          </w:tcPr>
          <w:p w:rsidRPr="00000000" w:rsidR="00000000" w:rsidDel="00000000" w:rsidP="00000000" w:rsidRDefault="00000000" w14:paraId="0000034F">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Suspicious Transaction Report (STR)</w:t>
            </w:r>
          </w:p>
        </w:tc>
        <w:tc>
          <w:tcPr>
            <w:tcMar>
              <w:top w:w="72.0" w:type="dxa"/>
              <w:left w:w="72.0" w:type="dxa"/>
              <w:bottom w:w="72.0" w:type="dxa"/>
              <w:right w:w="72.0" w:type="dxa"/>
            </w:tcMar>
            <w:vAlign w:val="center"/>
          </w:tcPr>
          <w:p w:rsidRPr="00000000" w:rsidR="00000000" w:rsidDel="00000000" w:rsidP="00000000" w:rsidRDefault="00000000" w14:paraId="00000350">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rtl w:val="0"/>
              </w:rPr>
              <w:t xml:space="preserve">A</w:t>
            </w: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 report made to the competent FIU when there are reasonable grounds to suspect that a Transaction, attempted Transaction, or series of Transactions involves funds derived from criminal activity, is connected to ML, TF, PF, or breaches applicable Sanctions, in accordance with applicable laws and regulation.</w:t>
            </w:r>
          </w:p>
        </w:tc>
      </w:tr>
      <w:tr>
        <w:trPr>
          <w:cantSplit w:val="0"/>
          <w:trHeight w:val="20" w:hRule="atLeast"/>
          <w:tblHeader w:val="0"/>
        </w:trPr>
        <w:tc>
          <w:tcPr>
            <w:tcMar>
              <w:top w:w="72.0" w:type="dxa"/>
              <w:left w:w="72.0" w:type="dxa"/>
              <w:bottom w:w="72.0" w:type="dxa"/>
              <w:right w:w="72.0" w:type="dxa"/>
            </w:tcMar>
            <w:vAlign w:val="center"/>
          </w:tcPr>
          <w:p w:rsidRPr="00000000" w:rsidR="00000000" w:rsidDel="00000000" w:rsidP="00000000" w:rsidRDefault="00000000" w14:paraId="00000351">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Transaction</w:t>
            </w:r>
          </w:p>
        </w:tc>
        <w:tc>
          <w:tcPr>
            <w:tcMar>
              <w:top w:w="72.0" w:type="dxa"/>
              <w:left w:w="72.0" w:type="dxa"/>
              <w:bottom w:w="72.0" w:type="dxa"/>
              <w:right w:w="72.0" w:type="dxa"/>
            </w:tcMar>
            <w:vAlign w:val="center"/>
          </w:tcPr>
          <w:p w:rsidRPr="00000000" w:rsidR="00000000" w:rsidDel="00000000" w:rsidP="00000000" w:rsidRDefault="00000000" w14:paraId="00000352">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rtl w:val="0"/>
              </w:rPr>
              <w:t xml:space="preserve">A</w:t>
            </w: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ny act of accepting, processing or executing the movement of value (whether in Fiat Currency or in Digital Assets) in the course of business.</w:t>
            </w:r>
          </w:p>
        </w:tc>
      </w:tr>
      <w:tr>
        <w:trPr>
          <w:cantSplit w:val="0"/>
          <w:trHeight w:val="20" w:hRule="atLeast"/>
          <w:tblHeader w:val="0"/>
        </w:trPr>
        <w:tc>
          <w:tcPr>
            <w:tcMar>
              <w:top w:w="72.0" w:type="dxa"/>
              <w:left w:w="72.0" w:type="dxa"/>
              <w:bottom w:w="72.0" w:type="dxa"/>
              <w:right w:w="72.0" w:type="dxa"/>
            </w:tcMar>
            <w:vAlign w:val="center"/>
          </w:tcPr>
          <w:p w:rsidRPr="00000000" w:rsidR="00000000" w:rsidDel="00000000" w:rsidP="00000000" w:rsidRDefault="00000000" w14:paraId="00000353">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UAE</w:t>
            </w:r>
          </w:p>
        </w:tc>
        <w:tc>
          <w:tcPr>
            <w:tcMar>
              <w:top w:w="72.0" w:type="dxa"/>
              <w:left w:w="72.0" w:type="dxa"/>
              <w:bottom w:w="72.0" w:type="dxa"/>
              <w:right w:w="72.0" w:type="dxa"/>
            </w:tcMar>
            <w:vAlign w:val="center"/>
          </w:tcPr>
          <w:p w:rsidRPr="00000000" w:rsidR="00000000" w:rsidDel="00000000" w:rsidP="00000000" w:rsidRDefault="00000000" w14:paraId="00000354">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United Arab Emirates</w:t>
            </w:r>
          </w:p>
        </w:tc>
      </w:tr>
      <w:tr>
        <w:trPr>
          <w:cantSplit w:val="0"/>
          <w:trHeight w:val="20" w:hRule="atLeast"/>
          <w:tblHeader w:val="0"/>
        </w:trPr>
        <w:tc>
          <w:tcPr>
            <w:tcMar>
              <w:top w:w="72.0" w:type="dxa"/>
              <w:left w:w="72.0" w:type="dxa"/>
              <w:bottom w:w="72.0" w:type="dxa"/>
              <w:right w:w="72.0" w:type="dxa"/>
            </w:tcMar>
            <w:vAlign w:val="center"/>
          </w:tcPr>
          <w:p w:rsidRPr="00000000" w:rsidR="00000000" w:rsidDel="00000000" w:rsidP="00000000" w:rsidRDefault="00000000" w14:paraId="00000355">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UAE AML Law</w:t>
            </w:r>
          </w:p>
        </w:tc>
        <w:tc>
          <w:tcPr>
            <w:tcMar>
              <w:top w:w="72.0" w:type="dxa"/>
              <w:left w:w="72.0" w:type="dxa"/>
              <w:bottom w:w="72.0" w:type="dxa"/>
              <w:right w:w="72.0" w:type="dxa"/>
            </w:tcMar>
            <w:vAlign w:val="center"/>
          </w:tcPr>
          <w:p w:rsidRPr="00000000" w:rsidR="00000000" w:rsidDel="00000000" w:rsidP="00000000" w:rsidRDefault="00000000" w14:paraId="00000356">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i w:val="0"/>
                <w:iCs w:val="0"/>
                <w:smallCaps w:val="0"/>
                <w:strike w:val="0"/>
                <w:color w:val="000000"/>
                <w:u w:val="none"/>
                <w:shd w:val="clear" w:fill="auto"/>
                <w:vertAlign w:val="baseline"/>
              </w:rPr>
            </w:pPr>
            <w:r w:rsidRPr="00000000" w:rsidDel="00000000" w:rsidR="00000000">
              <w:rPr>
                <w:rFonts w:ascii="Arial" w:hAnsi="Arial" w:eastAsia="Arial" w:cs="Arial"/>
                <w:i w:val="0"/>
                <w:iCs w:val="0"/>
                <w:smallCaps w:val="0"/>
                <w:strike w:val="0"/>
                <w:color w:val="000000"/>
                <w:u w:val="none"/>
                <w:shd w:val="clear" w:fill="auto"/>
                <w:vertAlign w:val="baseline"/>
                <w:rtl w:val="0"/>
              </w:rPr>
              <w:t xml:space="preserve">Federal Decree-Law No. (20) of 2018 On Anti-Money Laundering, Combating the Financing of Terrorism and Financing of Illegal Organizations, and its implementing regulations, as amended.</w:t>
            </w:r>
          </w:p>
        </w:tc>
      </w:tr>
    </w:tbl>
    <w:p w:rsidRPr="00000000" w:rsidR="00000000" w:rsidDel="00000000" w:rsidP="00000000" w:rsidRDefault="00000000" w14:paraId="00000357">
      <w:pPr>
        <w:pStyle w:val="Heading1"/>
        <w:ind w:firstLine="720"/>
        <w:rPr>
          <w:sz w:val="28"/>
          <w:szCs w:val="28"/>
        </w:rPr>
      </w:pPr>
      <w:bookmarkStart w:name="_heading=h.fq7ismpca4p6" w:colFirst="0" w:colLast="0" w:id="101"/>
      <w:bookmarkEnd w:id="101"/>
      <w:r w:rsidRPr="00000000" w:rsidDel="00000000" w:rsidR="00000000">
        <w:br w:type="page"/>
      </w:r>
      <w:r w:rsidRPr="00000000" w:rsidDel="00000000" w:rsidR="00000000">
        <w:rPr>
          <w:rtl w:val="0"/>
        </w:rPr>
      </w:r>
    </w:p>
    <w:p w:rsidRPr="00000000" w:rsidR="00000000" w:rsidDel="00000000" w:rsidP="00000000" w:rsidRDefault="00000000" w14:paraId="00000358">
      <w:pPr>
        <w:pStyle w:val="Heading1"/>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400" w:after="200" w:line="360" w:lineRule="auto"/>
        <w:ind w:left="720" w:right="0" w:hanging="720"/>
        <w:jc w:val="both"/>
        <w:rPr/>
      </w:pPr>
      <w:bookmarkStart w:name="_heading=h.fdr2ql6mjo7a" w:colFirst="0" w:colLast="0" w:id="102"/>
      <w:bookmarkEnd w:id="102"/>
      <w:r w:rsidRPr="00000000" w:rsidDel="00000000" w:rsidR="00000000">
        <w:rPr>
          <w:sz w:val="28"/>
          <w:szCs w:val="28"/>
          <w:rtl w:val="0"/>
        </w:rPr>
        <w:t xml:space="preserve">APPENDIX</w:t>
      </w:r>
      <w:r w:rsidRPr="00000000" w:rsidDel="00000000" w:rsidR="00000000">
        <w:rPr>
          <w:rtl w:val="0"/>
        </w:rPr>
      </w:r>
    </w:p>
    <w:p w:rsidRPr="00000000" w:rsidR="00000000" w:rsidDel="00000000" w:rsidP="00000000" w:rsidRDefault="00000000" w14:paraId="00000359">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0" w:after="120" w:line="360" w:lineRule="auto"/>
        <w:ind w:left="720" w:right="0" w:hanging="720"/>
        <w:jc w:val="both"/>
        <w:rPr/>
      </w:pPr>
      <w:bookmarkStart w:name="_heading=h.tkuobs7zvrk" w:colFirst="0" w:colLast="0" w:id="103"/>
      <w:bookmarkEnd w:id="103"/>
      <w:r w:rsidRPr="00000000" w:rsidDel="00000000" w:rsidR="00000000">
        <w:rPr>
          <w:sz w:val="24"/>
          <w:szCs w:val="24"/>
          <w:rtl w:val="0"/>
        </w:rPr>
        <w:t xml:space="preserve">Appendix 1: Related Documents</w:t>
      </w:r>
      <w:r w:rsidRPr="00000000" w:rsidDel="00000000" w:rsidR="00000000">
        <w:rPr>
          <w:rtl w:val="0"/>
        </w:rPr>
      </w:r>
    </w:p>
    <w:p w:rsidRPr="00000000" w:rsidR="00000000" w:rsidDel="00000000" w:rsidP="00000000" w:rsidRDefault="00000000" w14:paraId="0000035A">
      <w:pPr>
        <w:pStyle w:val="Heading3"/>
        <w:numPr>
          <w:ilvl w:val="2"/>
          <w:numId w:val="7"/>
        </w:numPr>
        <w:ind w:left="720" w:hanging="720"/>
      </w:pPr>
      <w:bookmarkStart w:name="_heading=h.muf50y6q79la" w:colFirst="0" w:colLast="0" w:id="104"/>
      <w:bookmarkEnd w:id="104"/>
      <w:r w:rsidRPr="00000000" w:rsidDel="00000000" w:rsidR="00000000">
        <w:rPr>
          <w:b w:val="1"/>
          <w:bCs w:val="1"/>
          <w:sz w:val="24"/>
          <w:szCs w:val="24"/>
          <w:rtl w:val="0"/>
        </w:rPr>
        <w:t xml:space="preserve">Documents</w:t>
      </w:r>
      <w:r w:rsidRPr="00000000" w:rsidDel="00000000" w:rsidR="00000000">
        <w:rPr>
          <w:b w:val="1"/>
          <w:bCs w:val="1"/>
          <w:vertAlign w:val="baseline"/>
          <w:rtl w:val="0"/>
        </w:rPr>
        <w:t xml:space="preserve"> that support the Group AML Policy</w:t>
      </w:r>
      <w:r w:rsidRPr="00000000" w:rsidDel="00000000" w:rsidR="00000000">
        <w:rPr>
          <w:rtl w:val="0"/>
        </w:rPr>
      </w:r>
    </w:p>
    <w:p w:rsidRPr="00000000" w:rsidR="00000000" w:rsidDel="00000000" w:rsidP="00000000" w:rsidRDefault="00000000" w14:paraId="0000035B">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rFonts w:ascii="Arial" w:hAnsi="Arial" w:eastAsia="Arial" w:cs="Arial"/>
        </w:rPr>
      </w:pPr>
      <w:hyperlink r:id="rId17">
        <w:r w:rsidRPr="00000000" w:rsidDel="00000000" w:rsidR="00000000">
          <w:rPr>
            <w:i w:val="0"/>
            <w:iCs w:val="0"/>
            <w:smallCaps w:val="0"/>
            <w:strike w:val="0"/>
            <w:color w:val="1155cc"/>
            <w:sz w:val="22"/>
            <w:szCs w:val="22"/>
            <w:u w:val="single"/>
            <w:shd w:val="clear" w:fill="auto"/>
            <w:vertAlign w:val="baseline"/>
            <w:rtl w:val="0"/>
          </w:rPr>
          <w:t xml:space="preserve">Risk Appetite Statement </w:t>
        </w:r>
      </w:hyperlink>
      <w:r w:rsidRPr="00000000" w:rsidDel="00000000" w:rsidR="00000000">
        <w:rPr>
          <w:rtl w:val="0"/>
        </w:rPr>
      </w:r>
    </w:p>
    <w:p w:rsidRPr="00000000" w:rsidR="00000000" w:rsidDel="00000000" w:rsidP="00000000" w:rsidRDefault="00000000" w14:paraId="0000035C">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rFonts w:ascii="Arial" w:hAnsi="Arial" w:eastAsia="Arial" w:cs="Arial"/>
        </w:rPr>
      </w:pPr>
      <w:hyperlink r:id="rId18">
        <w:r w:rsidRPr="00000000" w:rsidDel="00000000" w:rsidR="00000000">
          <w:rPr>
            <w:i w:val="0"/>
            <w:iCs w:val="0"/>
            <w:smallCaps w:val="0"/>
            <w:strike w:val="0"/>
            <w:color w:val="1155cc"/>
            <w:sz w:val="22"/>
            <w:szCs w:val="22"/>
            <w:u w:val="single"/>
            <w:shd w:val="clear" w:fill="auto"/>
            <w:vertAlign w:val="baseline"/>
            <w:rtl w:val="0"/>
          </w:rPr>
          <w:t xml:space="preserve">Retail KYC Program</w:t>
        </w:r>
      </w:hyperlink>
      <w:r w:rsidRPr="00000000" w:rsidDel="00000000" w:rsidR="00000000">
        <w:rPr>
          <w:rtl w:val="0"/>
        </w:rPr>
      </w:r>
    </w:p>
    <w:p w:rsidRPr="00000000" w:rsidR="00000000" w:rsidDel="00000000" w:rsidP="00000000" w:rsidRDefault="00000000" w14:paraId="0000035D">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rFonts w:ascii="Arial" w:hAnsi="Arial" w:eastAsia="Arial" w:cs="Arial"/>
        </w:rPr>
      </w:pPr>
      <w:hyperlink r:id="rId19">
        <w:r w:rsidRPr="00000000" w:rsidDel="00000000" w:rsidR="00000000">
          <w:rPr>
            <w:i w:val="0"/>
            <w:iCs w:val="0"/>
            <w:smallCaps w:val="0"/>
            <w:strike w:val="0"/>
            <w:color w:val="1155cc"/>
            <w:sz w:val="22"/>
            <w:szCs w:val="22"/>
            <w:u w:val="single"/>
            <w:shd w:val="clear" w:fill="auto"/>
            <w:vertAlign w:val="baseline"/>
            <w:rtl w:val="0"/>
          </w:rPr>
          <w:t xml:space="preserve">Corporate KYB Program</w:t>
        </w:r>
      </w:hyperlink>
      <w:r w:rsidRPr="00000000" w:rsidDel="00000000" w:rsidR="00000000">
        <w:rPr>
          <w:rtl w:val="0"/>
        </w:rPr>
      </w:r>
    </w:p>
    <w:p w:rsidRPr="00000000" w:rsidR="00000000" w:rsidDel="00000000" w:rsidP="00000000" w:rsidRDefault="00000000" w14:paraId="0000035E">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rFonts w:ascii="Arial" w:hAnsi="Arial" w:eastAsia="Arial" w:cs="Arial"/>
        </w:rPr>
      </w:pPr>
      <w:hyperlink r:id="rId20">
        <w:r w:rsidRPr="00000000" w:rsidDel="00000000" w:rsidR="00000000">
          <w:rPr>
            <w:i w:val="0"/>
            <w:iCs w:val="0"/>
            <w:smallCaps w:val="0"/>
            <w:strike w:val="0"/>
            <w:color w:val="1155cc"/>
            <w:sz w:val="22"/>
            <w:szCs w:val="22"/>
            <w:u w:val="single"/>
            <w:shd w:val="clear" w:fill="auto"/>
            <w:vertAlign w:val="baseline"/>
            <w:rtl w:val="0"/>
          </w:rPr>
          <w:t xml:space="preserve">High-Risk Customer Monitoring Program</w:t>
        </w:r>
      </w:hyperlink>
      <w:r w:rsidRPr="00000000" w:rsidDel="00000000" w:rsidR="00000000">
        <w:rPr>
          <w:rtl w:val="0"/>
        </w:rPr>
      </w:r>
    </w:p>
    <w:p w:rsidRPr="00000000" w:rsidR="00000000" w:rsidDel="00000000" w:rsidP="00000000" w:rsidRDefault="00000000" w14:paraId="0000035F">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rFonts w:ascii="Arial" w:hAnsi="Arial" w:eastAsia="Arial" w:cs="Arial"/>
        </w:rPr>
      </w:pPr>
      <w:hyperlink r:id="rId21">
        <w:r w:rsidRPr="00000000" w:rsidDel="00000000" w:rsidR="00000000">
          <w:rPr>
            <w:i w:val="0"/>
            <w:iCs w:val="0"/>
            <w:smallCaps w:val="0"/>
            <w:strike w:val="0"/>
            <w:color w:val="1155cc"/>
            <w:sz w:val="22"/>
            <w:szCs w:val="22"/>
            <w:u w:val="single"/>
            <w:shd w:val="clear" w:fill="auto"/>
            <w:vertAlign w:val="baseline"/>
            <w:rtl w:val="0"/>
          </w:rPr>
          <w:t xml:space="preserve">Global Sanctions Policy</w:t>
        </w:r>
      </w:hyperlink>
      <w:r w:rsidRPr="00000000" w:rsidDel="00000000" w:rsidR="00000000">
        <w:rPr>
          <w:rtl w:val="0"/>
        </w:rPr>
      </w:r>
    </w:p>
    <w:p w:rsidRPr="00000000" w:rsidR="00000000" w:rsidDel="00000000" w:rsidP="00000000" w:rsidRDefault="00000000" w14:paraId="00000360">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rFonts w:ascii="Arial" w:hAnsi="Arial" w:eastAsia="Arial" w:cs="Arial"/>
        </w:rPr>
      </w:pPr>
      <w:hyperlink r:id="rId22">
        <w:r w:rsidRPr="00000000" w:rsidDel="00000000" w:rsidR="00000000">
          <w:rPr>
            <w:i w:val="0"/>
            <w:iCs w:val="0"/>
            <w:smallCaps w:val="0"/>
            <w:strike w:val="0"/>
            <w:color w:val="1155cc"/>
            <w:sz w:val="22"/>
            <w:szCs w:val="22"/>
            <w:u w:val="single"/>
            <w:shd w:val="clear" w:fill="auto"/>
            <w:vertAlign w:val="baseline"/>
            <w:rtl w:val="0"/>
          </w:rPr>
          <w:t xml:space="preserve">Transaction Monitoring Procedures</w:t>
        </w:r>
      </w:hyperlink>
      <w:r w:rsidRPr="00000000" w:rsidDel="00000000" w:rsidR="00000000">
        <w:rPr>
          <w:rtl w:val="0"/>
        </w:rPr>
      </w:r>
    </w:p>
    <w:p w:rsidRPr="00000000" w:rsidR="00000000" w:rsidDel="00000000" w:rsidP="00000000" w:rsidRDefault="00000000" w14:paraId="00000361">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rFonts w:ascii="Arial" w:hAnsi="Arial" w:eastAsia="Arial" w:cs="Arial"/>
        </w:rPr>
      </w:pPr>
      <w:hyperlink r:id="rId23">
        <w:r w:rsidRPr="00000000" w:rsidDel="00000000" w:rsidR="00000000">
          <w:rPr>
            <w:i w:val="0"/>
            <w:iCs w:val="0"/>
            <w:smallCaps w:val="0"/>
            <w:strike w:val="0"/>
            <w:color w:val="1155cc"/>
            <w:sz w:val="22"/>
            <w:szCs w:val="22"/>
            <w:u w:val="single"/>
            <w:shd w:val="clear" w:fill="auto"/>
            <w:vertAlign w:val="baseline"/>
            <w:rtl w:val="0"/>
          </w:rPr>
          <w:t xml:space="preserve">Global FCI Guidelines and Procedures</w:t>
        </w:r>
      </w:hyperlink>
      <w:r w:rsidRPr="00000000" w:rsidDel="00000000" w:rsidR="00000000">
        <w:rPr>
          <w:rtl w:val="0"/>
        </w:rPr>
      </w:r>
    </w:p>
    <w:p w:rsidRPr="00000000" w:rsidR="00000000" w:rsidDel="00000000" w:rsidP="00000000" w:rsidRDefault="00000000" w14:paraId="00000362">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rFonts w:ascii="Arial" w:hAnsi="Arial" w:eastAsia="Arial" w:cs="Arial"/>
        </w:rPr>
      </w:pPr>
      <w:hyperlink r:id="rId24">
        <w:r w:rsidRPr="00000000" w:rsidDel="00000000" w:rsidR="00000000">
          <w:rPr>
            <w:i w:val="0"/>
            <w:iCs w:val="0"/>
            <w:smallCaps w:val="0"/>
            <w:strike w:val="0"/>
            <w:color w:val="1155cc"/>
            <w:sz w:val="22"/>
            <w:szCs w:val="22"/>
            <w:u w:val="single"/>
            <w:shd w:val="clear" w:fill="auto"/>
            <w:vertAlign w:val="baseline"/>
            <w:rtl w:val="0"/>
          </w:rPr>
          <w:t xml:space="preserve">Guidance to handle LE Requests</w:t>
        </w:r>
      </w:hyperlink>
      <w:r w:rsidRPr="00000000" w:rsidDel="00000000" w:rsidR="00000000">
        <w:rPr>
          <w:rtl w:val="0"/>
        </w:rPr>
      </w:r>
    </w:p>
    <w:p w:rsidRPr="00000000" w:rsidR="00000000" w:rsidDel="00000000" w:rsidP="00000000" w:rsidRDefault="00000000" w14:paraId="00000363">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rFonts w:ascii="Arial" w:hAnsi="Arial" w:eastAsia="Arial" w:cs="Arial"/>
        </w:rPr>
      </w:pPr>
      <w:hyperlink r:id="rId25">
        <w:r w:rsidRPr="00000000" w:rsidDel="00000000" w:rsidR="00000000">
          <w:rPr>
            <w:i w:val="0"/>
            <w:iCs w:val="0"/>
            <w:smallCaps w:val="0"/>
            <w:strike w:val="0"/>
            <w:color w:val="1155cc"/>
            <w:sz w:val="22"/>
            <w:szCs w:val="22"/>
            <w:u w:val="single"/>
            <w:shd w:val="clear" w:fill="auto"/>
            <w:vertAlign w:val="baseline"/>
            <w:rtl w:val="0"/>
          </w:rPr>
          <w:t xml:space="preserve">Local Country Addenda</w:t>
        </w:r>
      </w:hyperlink>
      <w:r w:rsidRPr="00000000" w:rsidDel="00000000" w:rsidR="00000000">
        <w:rPr>
          <w:rtl w:val="0"/>
        </w:rPr>
      </w:r>
    </w:p>
    <w:p w:rsidRPr="00000000" w:rsidR="00000000" w:rsidDel="00000000" w:rsidP="00000000" w:rsidRDefault="00000000" w14:paraId="00000364">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360" w:lineRule="auto"/>
        <w:ind w:left="720" w:right="0" w:firstLine="0"/>
        <w:jc w:val="both"/>
        <w:rPr>
          <w:b w:val="1"/>
          <w:bCs w:val="1"/>
        </w:rPr>
      </w:pPr>
      <w:r w:rsidRPr="00000000" w:rsidDel="00000000" w:rsidR="00000000">
        <w:rPr>
          <w:rtl w:val="0"/>
        </w:rPr>
      </w:r>
    </w:p>
    <w:p w:rsidRPr="00000000" w:rsidR="00000000" w:rsidDel="00000000" w:rsidP="00000000" w:rsidRDefault="00000000" w14:paraId="00000365">
      <w:pPr>
        <w:pStyle w:val="Heading3"/>
        <w:numPr>
          <w:ilvl w:val="2"/>
          <w:numId w:val="7"/>
        </w:numPr>
        <w:ind w:left="720" w:hanging="720"/>
      </w:pPr>
      <w:bookmarkStart w:name="_heading=h.7vm5m2ovtxn" w:colFirst="0" w:colLast="0" w:id="105"/>
      <w:bookmarkEnd w:id="105"/>
      <w:r w:rsidRPr="00000000" w:rsidDel="00000000" w:rsidR="00000000">
        <w:rPr>
          <w:b w:val="1"/>
          <w:bCs w:val="1"/>
          <w:rtl w:val="0"/>
        </w:rPr>
        <w:t xml:space="preserve">Templates</w:t>
      </w:r>
      <w:r w:rsidRPr="00000000" w:rsidDel="00000000" w:rsidR="00000000">
        <w:rPr>
          <w:rtl w:val="0"/>
        </w:rPr>
      </w:r>
    </w:p>
    <w:p w:rsidRPr="00000000" w:rsidR="00000000" w:rsidDel="00000000" w:rsidP="00000000" w:rsidRDefault="00000000" w14:paraId="00000366">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pPr>
      <w:hyperlink r:id="rId26">
        <w:r w:rsidRPr="00000000" w:rsidDel="00000000" w:rsidR="00000000">
          <w:rPr>
            <w:i w:val="0"/>
            <w:iCs w:val="0"/>
            <w:smallCaps w:val="0"/>
            <w:strike w:val="0"/>
            <w:color w:val="1155cc"/>
            <w:sz w:val="22"/>
            <w:szCs w:val="22"/>
            <w:u w:val="single"/>
            <w:shd w:val="clear" w:fill="auto"/>
            <w:vertAlign w:val="baseline"/>
            <w:rtl w:val="0"/>
          </w:rPr>
          <w:t xml:space="preserve">Country Addendum</w:t>
        </w:r>
      </w:hyperlink>
      <w:hyperlink r:id="rId27">
        <w:r w:rsidRPr="00000000" w:rsidDel="00000000" w:rsidR="00000000">
          <w:rPr>
            <w:b w:val="1"/>
            <w:bCs w:val="1"/>
            <w:i w:val="0"/>
            <w:iCs w:val="0"/>
            <w:smallCaps w:val="0"/>
            <w:strike w:val="0"/>
            <w:color w:val="1155cc"/>
            <w:sz w:val="22"/>
            <w:szCs w:val="22"/>
            <w:u w:val="single"/>
            <w:shd w:val="clear" w:fill="auto"/>
            <w:vertAlign w:val="baseline"/>
            <w:rtl w:val="0"/>
          </w:rPr>
          <w:t xml:space="preserve"> </w:t>
        </w:r>
      </w:hyperlink>
      <w:hyperlink r:id="rId28">
        <w:r w:rsidRPr="00000000" w:rsidDel="00000000" w:rsidR="00000000">
          <w:rPr>
            <w:i w:val="0"/>
            <w:iCs w:val="0"/>
            <w:smallCaps w:val="0"/>
            <w:strike w:val="0"/>
            <w:color w:val="1155cc"/>
            <w:sz w:val="22"/>
            <w:szCs w:val="22"/>
            <w:u w:val="single"/>
            <w:shd w:val="clear" w:fill="auto"/>
            <w:vertAlign w:val="baseline"/>
            <w:rtl w:val="0"/>
          </w:rPr>
          <w:t xml:space="preserve">template</w:t>
        </w:r>
      </w:hyperlink>
      <w:r w:rsidRPr="00000000" w:rsidDel="00000000" w:rsidR="00000000">
        <w:rPr>
          <w:rtl w:val="0"/>
        </w:rPr>
      </w:r>
    </w:p>
    <w:p w:rsidRPr="00000000" w:rsidR="00000000" w:rsidDel="00000000" w:rsidP="00000000" w:rsidRDefault="00000000" w14:paraId="0000036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rFonts w:ascii="Arial" w:hAnsi="Arial" w:eastAsia="Arial" w:cs="Arial"/>
        </w:rPr>
      </w:pPr>
      <w:hyperlink r:id="rId29">
        <w:r w:rsidRPr="00000000" w:rsidDel="00000000" w:rsidR="00000000">
          <w:rPr>
            <w:i w:val="0"/>
            <w:iCs w:val="0"/>
            <w:smallCaps w:val="0"/>
            <w:strike w:val="0"/>
            <w:color w:val="1155cc"/>
            <w:sz w:val="22"/>
            <w:szCs w:val="22"/>
            <w:u w:val="single"/>
            <w:shd w:val="clear" w:fill="auto"/>
            <w:vertAlign w:val="baseline"/>
            <w:rtl w:val="0"/>
          </w:rPr>
          <w:t xml:space="preserve">AML Questionnaire</w:t>
        </w:r>
      </w:hyperlink>
      <w:r w:rsidRPr="00000000" w:rsidDel="00000000" w:rsidR="00000000">
        <w:rPr>
          <w:rtl w:val="0"/>
        </w:rPr>
      </w:r>
    </w:p>
    <w:p w:rsidRPr="00000000" w:rsidR="00000000" w:rsidDel="00000000" w:rsidP="00000000" w:rsidRDefault="00000000" w14:paraId="00000368">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rFonts w:ascii="Arial" w:hAnsi="Arial" w:eastAsia="Arial" w:cs="Arial"/>
        </w:rPr>
      </w:pPr>
      <w:hyperlink r:id="rId30">
        <w:r w:rsidRPr="00000000" w:rsidDel="00000000" w:rsidR="00000000">
          <w:rPr>
            <w:i w:val="0"/>
            <w:iCs w:val="0"/>
            <w:smallCaps w:val="0"/>
            <w:strike w:val="0"/>
            <w:color w:val="1155cc"/>
            <w:sz w:val="22"/>
            <w:szCs w:val="22"/>
            <w:u w:val="single"/>
            <w:shd w:val="clear" w:fill="auto"/>
            <w:vertAlign w:val="baseline"/>
            <w:rtl w:val="0"/>
          </w:rPr>
          <w:t xml:space="preserve">Sanctions Exposure Questionnaire</w:t>
        </w:r>
      </w:hyperlink>
      <w:r w:rsidRPr="00000000" w:rsidDel="00000000" w:rsidR="00000000">
        <w:rPr>
          <w:rtl w:val="0"/>
        </w:rPr>
      </w:r>
    </w:p>
    <w:p w:rsidRPr="00000000" w:rsidR="00000000" w:rsidDel="00000000" w:rsidP="00000000" w:rsidRDefault="00000000" w14:paraId="00000369">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rFonts w:ascii="Arial" w:hAnsi="Arial" w:eastAsia="Arial" w:cs="Arial"/>
        </w:rPr>
      </w:pPr>
      <w:hyperlink r:id="rId31">
        <w:r w:rsidRPr="00000000" w:rsidDel="00000000" w:rsidR="00000000">
          <w:rPr>
            <w:i w:val="0"/>
            <w:iCs w:val="0"/>
            <w:smallCaps w:val="0"/>
            <w:strike w:val="0"/>
            <w:color w:val="1155cc"/>
            <w:sz w:val="22"/>
            <w:szCs w:val="22"/>
            <w:u w:val="single"/>
            <w:shd w:val="clear" w:fill="auto"/>
            <w:vertAlign w:val="baseline"/>
            <w:rtl w:val="0"/>
          </w:rPr>
          <w:t xml:space="preserve">Standard Vendor Due Diligence Form</w:t>
        </w:r>
      </w:hyperlink>
      <w:r w:rsidRPr="00000000" w:rsidDel="00000000" w:rsidR="00000000">
        <w:rPr>
          <w:i w:val="0"/>
          <w:iCs w:val="0"/>
          <w:smallCaps w:val="0"/>
          <w:strike w:val="0"/>
          <w:color w:val="1155cc"/>
          <w:sz w:val="22"/>
          <w:szCs w:val="22"/>
          <w:u w:val="single"/>
          <w:shd w:val="clear" w:fill="auto"/>
          <w:vertAlign w:val="baseline"/>
          <w:rtl w:val="0"/>
        </w:rPr>
        <w:t xml:space="preserve"> </w:t>
      </w:r>
      <w:r w:rsidRPr="00000000" w:rsidDel="00000000" w:rsidR="00000000">
        <w:rPr>
          <w:rtl w:val="0"/>
        </w:rPr>
      </w:r>
    </w:p>
    <w:p w:rsidRPr="00000000" w:rsidR="00000000" w:rsidDel="00000000" w:rsidP="00000000" w:rsidRDefault="00000000" w14:paraId="0000036A">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rFonts w:ascii="Arial" w:hAnsi="Arial" w:eastAsia="Arial" w:cs="Arial"/>
        </w:rPr>
      </w:pPr>
      <w:hyperlink r:id="rId32">
        <w:r w:rsidRPr="00000000" w:rsidDel="00000000" w:rsidR="00000000">
          <w:rPr>
            <w:i w:val="0"/>
            <w:iCs w:val="0"/>
            <w:smallCaps w:val="0"/>
            <w:strike w:val="0"/>
            <w:color w:val="1155cc"/>
            <w:sz w:val="22"/>
            <w:szCs w:val="22"/>
            <w:u w:val="single"/>
            <w:shd w:val="clear" w:fill="auto"/>
            <w:vertAlign w:val="baseline"/>
            <w:rtl w:val="0"/>
          </w:rPr>
          <w:t xml:space="preserve">New Product &amp; Service Approval Form</w:t>
        </w:r>
      </w:hyperlink>
      <w:r w:rsidRPr="00000000" w:rsidDel="00000000" w:rsidR="00000000">
        <w:rPr>
          <w:rtl w:val="0"/>
        </w:rPr>
      </w:r>
    </w:p>
    <w:p w:rsidRPr="00000000" w:rsidR="00000000" w:rsidDel="00000000" w:rsidP="00000000" w:rsidRDefault="00000000" w14:paraId="0000036B">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360" w:lineRule="auto"/>
        <w:ind w:left="720" w:right="0" w:firstLine="0"/>
        <w:jc w:val="both"/>
        <w:rPr>
          <w:b w:val="1"/>
          <w:bCs w:val="1"/>
        </w:rPr>
      </w:pPr>
      <w:r w:rsidRPr="00000000" w:rsidDel="00000000" w:rsidR="00000000">
        <w:rPr>
          <w:rtl w:val="0"/>
        </w:rPr>
      </w:r>
    </w:p>
    <w:p w:rsidRPr="00000000" w:rsidR="00000000" w:rsidDel="00000000" w:rsidP="00000000" w:rsidRDefault="00000000" w14:paraId="0000036C">
      <w:pPr>
        <w:pStyle w:val="Heading3"/>
        <w:numPr>
          <w:ilvl w:val="2"/>
          <w:numId w:val="7"/>
        </w:numPr>
        <w:ind w:left="720" w:hanging="720"/>
      </w:pPr>
      <w:bookmarkStart w:name="_heading=h.272ylp7dce68" w:colFirst="0" w:colLast="0" w:id="106"/>
      <w:bookmarkEnd w:id="106"/>
      <w:r w:rsidRPr="00000000" w:rsidDel="00000000" w:rsidR="00000000">
        <w:rPr>
          <w:b w:val="1"/>
          <w:bCs w:val="1"/>
          <w:sz w:val="24"/>
          <w:szCs w:val="24"/>
          <w:rtl w:val="0"/>
        </w:rPr>
        <w:t xml:space="preserve">Related</w:t>
      </w:r>
      <w:r w:rsidRPr="00000000" w:rsidDel="00000000" w:rsidR="00000000">
        <w:rPr>
          <w:b w:val="1"/>
          <w:bCs w:val="1"/>
          <w:vertAlign w:val="baseline"/>
          <w:rtl w:val="0"/>
        </w:rPr>
        <w:t xml:space="preserve"> Policies and Procedures </w:t>
      </w:r>
      <w:r w:rsidRPr="00000000" w:rsidDel="00000000" w:rsidR="00000000">
        <w:rPr>
          <w:rtl w:val="0"/>
        </w:rPr>
      </w:r>
    </w:p>
    <w:p w:rsidRPr="00000000" w:rsidR="00000000" w:rsidDel="00000000" w:rsidP="00000000" w:rsidRDefault="00000000" w14:paraId="0000036D">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rFonts w:ascii="Arial" w:hAnsi="Arial" w:eastAsia="Arial" w:cs="Arial"/>
        </w:rPr>
      </w:pPr>
      <w:hyperlink r:id="rId33">
        <w:r w:rsidRPr="00000000" w:rsidDel="00000000" w:rsidR="00000000">
          <w:rPr>
            <w:i w:val="0"/>
            <w:iCs w:val="0"/>
            <w:smallCaps w:val="0"/>
            <w:strike w:val="0"/>
            <w:color w:val="1155cc"/>
            <w:sz w:val="22"/>
            <w:szCs w:val="22"/>
            <w:u w:val="single"/>
            <w:shd w:val="clear" w:fill="auto"/>
            <w:vertAlign w:val="baseline"/>
            <w:rtl w:val="0"/>
          </w:rPr>
          <w:t xml:space="preserve">Global Anti-Bribery and Corruption Compliance Framework</w:t>
        </w:r>
      </w:hyperlink>
      <w:r w:rsidRPr="00000000" w:rsidDel="00000000" w:rsidR="00000000">
        <w:rPr>
          <w:i w:val="0"/>
          <w:iCs w:val="0"/>
          <w:smallCaps w:val="0"/>
          <w:strike w:val="0"/>
          <w:color w:val="1155cc"/>
          <w:sz w:val="22"/>
          <w:szCs w:val="22"/>
          <w:u w:val="single"/>
          <w:shd w:val="clear" w:fill="auto"/>
          <w:vertAlign w:val="baseline"/>
          <w:rtl w:val="0"/>
        </w:rPr>
        <w:t xml:space="preserve"> </w:t>
      </w:r>
      <w:r w:rsidRPr="00000000" w:rsidDel="00000000" w:rsidR="00000000">
        <w:rPr>
          <w:rtl w:val="0"/>
        </w:rPr>
      </w:r>
    </w:p>
    <w:p w:rsidRPr="00000000" w:rsidR="00000000" w:rsidDel="00000000" w:rsidP="00000000" w:rsidRDefault="00000000" w14:paraId="0000036E">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rFonts w:ascii="Arial" w:hAnsi="Arial" w:eastAsia="Arial" w:cs="Arial"/>
        </w:rPr>
      </w:pPr>
      <w:hyperlink r:id="rId34">
        <w:r w:rsidRPr="00000000" w:rsidDel="00000000" w:rsidR="00000000">
          <w:rPr>
            <w:color w:val="1155cc"/>
            <w:u w:val="single"/>
            <w:rtl w:val="0"/>
          </w:rPr>
          <w:t xml:space="preserve">Binance Group - Data Retention Policy</w:t>
        </w:r>
      </w:hyperlink>
      <w:r w:rsidRPr="00000000" w:rsidDel="00000000" w:rsidR="00000000">
        <w:rPr>
          <w:rtl w:val="0"/>
        </w:rPr>
      </w:r>
    </w:p>
    <w:p w:rsidRPr="00000000" w:rsidR="00000000" w:rsidDel="00000000" w:rsidP="00000000" w:rsidRDefault="00000000" w14:paraId="0000036F">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rFonts w:ascii="Arial" w:hAnsi="Arial" w:eastAsia="Arial" w:cs="Arial"/>
        </w:rPr>
      </w:pPr>
      <w:hyperlink r:id="rId35">
        <w:r w:rsidRPr="00000000" w:rsidDel="00000000" w:rsidR="00000000">
          <w:rPr>
            <w:i w:val="0"/>
            <w:iCs w:val="0"/>
            <w:smallCaps w:val="0"/>
            <w:strike w:val="0"/>
            <w:color w:val="1155cc"/>
            <w:sz w:val="22"/>
            <w:szCs w:val="22"/>
            <w:u w:val="single"/>
            <w:shd w:val="clear" w:fill="auto"/>
            <w:vertAlign w:val="baseline"/>
            <w:rtl w:val="0"/>
          </w:rPr>
          <w:t xml:space="preserve">Information Asset Security Management Policy</w:t>
        </w:r>
      </w:hyperlink>
      <w:r w:rsidRPr="00000000" w:rsidDel="00000000" w:rsidR="00000000">
        <w:rPr>
          <w:rtl w:val="0"/>
        </w:rPr>
      </w:r>
    </w:p>
    <w:p w:rsidRPr="00000000" w:rsidR="00000000" w:rsidDel="00000000" w:rsidP="00000000" w:rsidRDefault="00000000" w14:paraId="00000370">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rFonts w:ascii="Arial" w:hAnsi="Arial" w:eastAsia="Arial" w:cs="Arial"/>
        </w:rPr>
      </w:pPr>
      <w:hyperlink r:id="rId36">
        <w:r w:rsidRPr="00000000" w:rsidDel="00000000" w:rsidR="00000000">
          <w:rPr>
            <w:i w:val="0"/>
            <w:iCs w:val="0"/>
            <w:smallCaps w:val="0"/>
            <w:strike w:val="0"/>
            <w:color w:val="1155cc"/>
            <w:sz w:val="22"/>
            <w:szCs w:val="22"/>
            <w:u w:val="single"/>
            <w:shd w:val="clear" w:fill="auto"/>
            <w:vertAlign w:val="baseline"/>
            <w:rtl w:val="0"/>
          </w:rPr>
          <w:t xml:space="preserve">Global Geofencing Compliance Framework</w:t>
        </w:r>
      </w:hyperlink>
      <w:r w:rsidRPr="00000000" w:rsidDel="00000000" w:rsidR="00000000">
        <w:rPr>
          <w:rtl w:val="0"/>
        </w:rPr>
      </w:r>
    </w:p>
    <w:p w:rsidRPr="00000000" w:rsidR="00000000" w:rsidDel="00000000" w:rsidP="00000000" w:rsidRDefault="00000000" w14:paraId="00000371">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rFonts w:ascii="Arial" w:hAnsi="Arial" w:eastAsia="Arial" w:cs="Arial"/>
        </w:rPr>
        <w:sectPr>
          <w:headerReference w:type="default" r:id="rId37"/>
          <w:type w:val="nextPage"/>
          <w:pgSz w:w="11909" w:h="16834" w:orient="portrait"/>
          <w:pgMar w:top="1440" w:right="1440" w:bottom="1440" w:left="1710" w:header="0" w:footer="431.99999999999994"/>
        </w:sectPr>
      </w:pPr>
      <w:hyperlink r:id="rId38">
        <w:r w:rsidRPr="00000000" w:rsidDel="00000000" w:rsidR="00000000">
          <w:rPr>
            <w:i w:val="0"/>
            <w:iCs w:val="0"/>
            <w:smallCaps w:val="0"/>
            <w:strike w:val="0"/>
            <w:color w:val="1155cc"/>
            <w:sz w:val="22"/>
            <w:szCs w:val="22"/>
            <w:u w:val="single"/>
            <w:shd w:val="clear" w:fill="auto"/>
            <w:vertAlign w:val="baseline"/>
            <w:rtl w:val="0"/>
          </w:rPr>
          <w:t xml:space="preserve">Offboarding Procedures</w:t>
        </w:r>
      </w:hyperlink>
      <w:r w:rsidRPr="00000000" w:rsidDel="00000000" w:rsidR="00000000">
        <w:rPr>
          <w:rtl w:val="0"/>
        </w:rPr>
      </w:r>
    </w:p>
    <w:p w:rsidRPr="00000000" w:rsidR="00000000" w:rsidDel="00000000" w:rsidP="00000000" w:rsidRDefault="00000000" w14:paraId="00000372">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0" w:after="120" w:line="360" w:lineRule="auto"/>
        <w:ind w:left="720" w:right="0" w:hanging="720"/>
        <w:jc w:val="both"/>
        <w:rPr/>
      </w:pPr>
      <w:bookmarkStart w:name="_heading=h.beiu7migo2t2" w:colFirst="0" w:colLast="0" w:id="107"/>
      <w:bookmarkEnd w:id="107"/>
      <w:r w:rsidRPr="00000000" w:rsidDel="00000000" w:rsidR="00000000">
        <w:rPr>
          <w:sz w:val="24"/>
          <w:szCs w:val="24"/>
          <w:rtl w:val="0"/>
        </w:rPr>
        <w:t xml:space="preserve">Appendix 2: PEP Red Flags</w:t>
      </w:r>
      <w:r w:rsidRPr="00000000" w:rsidDel="00000000" w:rsidR="00000000">
        <w:rPr>
          <w:rtl w:val="0"/>
        </w:rPr>
        <w:t xml:space="preserve"> </w:t>
      </w:r>
    </w:p>
    <w:p w:rsidRPr="00000000" w:rsidR="00000000" w:rsidDel="00000000" w:rsidP="00000000" w:rsidRDefault="00000000" w14:paraId="00000373">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120" w:line="360" w:lineRule="auto"/>
        <w:ind w:left="0" w:right="0" w:firstLine="0"/>
        <w:jc w:val="both"/>
        <w:rPr>
          <w:i w:val="0"/>
          <w:iCs w:val="0"/>
          <w:smallCaps w:val="0"/>
          <w:strike w:val="0"/>
          <w:color w:val="000000"/>
          <w:sz w:val="22"/>
          <w:szCs w:val="22"/>
          <w:u w:val="none"/>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The following is a non-exhaustive list of PEP red flags that should be considered as part of the risk assessment and EDD:</w:t>
      </w:r>
    </w:p>
    <w:p w:rsidRPr="00000000" w:rsidR="00000000" w:rsidDel="00000000" w:rsidP="00000000" w:rsidRDefault="00000000" w14:paraId="00000374">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Transactions and account activity inconsistent with the PEP's known source of funds, wealth, or financial profile.</w:t>
      </w:r>
      <w:r w:rsidRPr="00000000" w:rsidDel="00000000" w:rsidR="00000000">
        <w:rPr>
          <w:rtl w:val="0"/>
        </w:rPr>
      </w:r>
    </w:p>
    <w:p w:rsidRPr="00000000" w:rsidR="00000000" w:rsidDel="00000000" w:rsidP="00000000" w:rsidRDefault="00000000" w14:paraId="00000375">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Regular, high-value Transactions or transfers to/ from high-risk jurisdictions, especially those known for corruption, money laundering, or tax evasion.</w:t>
      </w:r>
      <w:r w:rsidRPr="00000000" w:rsidDel="00000000" w:rsidR="00000000">
        <w:rPr>
          <w:rtl w:val="0"/>
        </w:rPr>
      </w:r>
    </w:p>
    <w:p w:rsidRPr="00000000" w:rsidR="00000000" w:rsidDel="00000000" w:rsidP="00000000" w:rsidRDefault="00000000" w14:paraId="00000376">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Complex corporate structures, shell companies, or ownership structures designed to obscure connections between the PEP and the entities involved.</w:t>
      </w:r>
      <w:r w:rsidRPr="00000000" w:rsidDel="00000000" w:rsidR="00000000">
        <w:rPr>
          <w:rtl w:val="0"/>
        </w:rPr>
      </w:r>
    </w:p>
    <w:p w:rsidRPr="00000000" w:rsidR="00000000" w:rsidDel="00000000" w:rsidP="00000000" w:rsidRDefault="00000000" w14:paraId="000003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Use of intermediaries or third parties who appear to lack a legitimate business purpose or are known to be associated with money laundering, corruption, or other illicit activities.</w:t>
      </w:r>
      <w:r w:rsidRPr="00000000" w:rsidDel="00000000" w:rsidR="00000000">
        <w:rPr>
          <w:rtl w:val="0"/>
        </w:rPr>
      </w:r>
    </w:p>
    <w:p w:rsidRPr="00000000" w:rsidR="00000000" w:rsidDel="00000000" w:rsidP="00000000" w:rsidRDefault="00000000" w14:paraId="00000378">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Unusual or unexplained changes in the PEP's financial behaviour or transactional patterns, including the sudden closing of accounts or a sharp increase/decrease in account activity.</w:t>
      </w:r>
      <w:r w:rsidRPr="00000000" w:rsidDel="00000000" w:rsidR="00000000">
        <w:rPr>
          <w:rtl w:val="0"/>
        </w:rPr>
      </w:r>
    </w:p>
    <w:p w:rsidRPr="00000000" w:rsidR="00000000" w:rsidDel="00000000" w:rsidP="00000000" w:rsidRDefault="00000000" w14:paraId="00000379">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Reluctance or refusal to provide necessary information including SOF, Net Worth or SOW for the performance of due diligence, identification, or verification processes.</w:t>
      </w:r>
      <w:r w:rsidRPr="00000000" w:rsidDel="00000000" w:rsidR="00000000">
        <w:rPr>
          <w:rtl w:val="0"/>
        </w:rPr>
      </w:r>
    </w:p>
    <w:p w:rsidRPr="00000000" w:rsidR="00000000" w:rsidDel="00000000" w:rsidP="00000000" w:rsidRDefault="00000000" w14:paraId="0000037A">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PEPs, their family members, or close associates named in adverse media reports, such as those involved in allegations, corruption, money laundering, or other illicit financial activities.</w:t>
      </w:r>
      <w:r w:rsidRPr="00000000" w:rsidDel="00000000" w:rsidR="00000000">
        <w:rPr>
          <w:rtl w:val="0"/>
        </w:rPr>
      </w:r>
    </w:p>
    <w:p w:rsidRPr="00000000" w:rsidR="00000000" w:rsidDel="00000000" w:rsidP="00000000" w:rsidRDefault="00000000" w14:paraId="0000037B">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Requests by the PEP for secrecy or confidentiality, particularly if they try to avoid having specific Transactions recorded or reported in the normal course of business.</w:t>
      </w:r>
      <w:r w:rsidRPr="00000000" w:rsidDel="00000000" w:rsidR="00000000">
        <w:rPr>
          <w:rtl w:val="0"/>
        </w:rPr>
      </w:r>
    </w:p>
    <w:p w:rsidRPr="00000000" w:rsidR="00000000" w:rsidDel="00000000" w:rsidP="00000000" w:rsidRDefault="00000000" w14:paraId="0000037C">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The sudden or unexplained transfer of a PEP’s assets or funds to other individuals, particularly if those individuals are also PEPs or connected to high-risk jurisdictions.</w:t>
      </w:r>
      <w:r w:rsidRPr="00000000" w:rsidDel="00000000" w:rsidR="00000000">
        <w:rPr>
          <w:rtl w:val="0"/>
        </w:rPr>
      </w:r>
    </w:p>
    <w:p w:rsidRPr="00000000" w:rsidR="00000000" w:rsidDel="00000000" w:rsidP="00000000" w:rsidRDefault="00000000" w14:paraId="0000037D">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rPr>
          <w:rFonts w:ascii="Arial" w:hAnsi="Arial" w:eastAsia="Arial" w:cs="Arial"/>
        </w:rPr>
      </w:pPr>
      <w:r w:rsidRPr="00000000" w:rsidDel="00000000" w:rsidR="00000000">
        <w:rPr>
          <w:i w:val="0"/>
          <w:iCs w:val="0"/>
          <w:smallCaps w:val="0"/>
          <w:strike w:val="0"/>
          <w:color w:val="000000"/>
          <w:sz w:val="22"/>
          <w:szCs w:val="22"/>
          <w:u w:val="none"/>
          <w:shd w:val="clear" w:fill="auto"/>
          <w:vertAlign w:val="baseline"/>
          <w:rtl w:val="0"/>
        </w:rPr>
        <w:t xml:space="preserve">Involvement in high-risk industries or sectors, such as defense contracting, natural resource extraction, or public procurement.</w:t>
      </w:r>
      <w:r w:rsidRPr="00000000" w:rsidDel="00000000" w:rsidR="00000000">
        <w:rPr>
          <w:rtl w:val="0"/>
        </w:rPr>
      </w:r>
    </w:p>
    <w:p w:rsidRPr="00000000" w:rsidR="00000000" w:rsidDel="00000000" w:rsidP="00000000" w:rsidRDefault="00000000" w14:paraId="0000037E">
      <w:pPr>
        <w:ind w:firstLine="706"/>
        <w:rPr/>
      </w:pPr>
      <w:r w:rsidRPr="00000000" w:rsidDel="00000000" w:rsidR="00000000">
        <w:br w:type="page"/>
      </w:r>
      <w:r w:rsidRPr="00000000" w:rsidDel="00000000" w:rsidR="00000000">
        <w:rPr>
          <w:rtl w:val="0"/>
        </w:rPr>
      </w:r>
    </w:p>
    <w:p w:rsidRPr="00000000" w:rsidR="00000000" w:rsidDel="00000000" w:rsidP="00000000" w:rsidRDefault="00000000" w14:paraId="0000037F">
      <w:pPr>
        <w:pStyle w:val="Heading2"/>
        <w:keepNext w:val="1"/>
        <w:keepLines w:val="1"/>
        <w:pageBreakBefore w:val="0"/>
        <w:widowControl w:val="1"/>
        <w:numPr>
          <w:ilvl w:val="1"/>
          <w:numId w:val="7"/>
        </w:numPr>
        <w:pBdr>
          <w:top w:val="nil" w:sz="0" w:space="0"/>
          <w:left w:val="nil" w:sz="0" w:space="0"/>
          <w:bottom w:val="nil" w:sz="0" w:space="0"/>
          <w:right w:val="nil" w:sz="0" w:space="0"/>
          <w:between w:val="nil" w:sz="0" w:space="0"/>
        </w:pBdr>
        <w:shd w:val="clear" w:fill="auto"/>
        <w:spacing w:before="0" w:after="120" w:line="360" w:lineRule="auto"/>
        <w:ind w:left="720" w:right="0" w:hanging="720"/>
        <w:jc w:val="both"/>
        <w:rPr/>
      </w:pPr>
      <w:bookmarkStart w:name="_heading=h.ytej2evs59vn" w:colFirst="0" w:colLast="0" w:id="108"/>
      <w:bookmarkEnd w:id="108"/>
      <w:r w:rsidRPr="00000000" w:rsidDel="00000000" w:rsidR="00000000">
        <w:rPr>
          <w:sz w:val="24"/>
          <w:szCs w:val="24"/>
          <w:rtl w:val="0"/>
        </w:rPr>
        <w:t xml:space="preserve">Appendix 3: Binance Group Entities</w:t>
      </w:r>
      <w:r w:rsidRPr="00000000" w:rsidDel="00000000" w:rsidR="00000000">
        <w:rPr>
          <w:rtl w:val="0"/>
        </w:rPr>
      </w:r>
    </w:p>
    <w:p w:rsidRPr="00000000" w:rsidR="00000000" w:rsidDel="00000000" w:rsidP="00000000" w:rsidRDefault="00000000" w14:paraId="00000380">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120" w:line="360" w:lineRule="auto"/>
        <w:ind w:left="0" w:right="0" w:firstLine="0"/>
        <w:jc w:val="both"/>
        <w:rPr>
          <w:i w:val="0"/>
          <w:iCs w:val="0"/>
          <w:smallCaps w:val="0"/>
          <w:strike w:val="0"/>
          <w:color w:val="000000"/>
          <w:sz w:val="22"/>
          <w:szCs w:val="22"/>
          <w:u w:val="none"/>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Appendix 3 (Binance Group Schedule) to this Policy is maintained separately in order to preserve confidentiality and enable updates to entities to be reflected. The content of the </w:t>
      </w:r>
      <w:hyperlink r:id="rId39">
        <w:r w:rsidRPr="00000000" w:rsidDel="00000000" w:rsidR="00000000">
          <w:rPr>
            <w:i w:val="0"/>
            <w:iCs w:val="0"/>
            <w:smallCaps w:val="0"/>
            <w:strike w:val="0"/>
            <w:color w:val="1155cc"/>
            <w:sz w:val="22"/>
            <w:szCs w:val="22"/>
            <w:u w:val="single"/>
            <w:shd w:val="clear" w:fill="auto"/>
            <w:vertAlign w:val="baseline"/>
            <w:rtl w:val="0"/>
          </w:rPr>
          <w:t xml:space="preserve">Binance Group Schedule</w:t>
        </w:r>
      </w:hyperlink>
      <w:r w:rsidRPr="00000000" w:rsidDel="00000000" w:rsidR="00000000">
        <w:rPr>
          <w:i w:val="0"/>
          <w:iCs w:val="0"/>
          <w:smallCaps w:val="0"/>
          <w:strike w:val="0"/>
          <w:color w:val="000000"/>
          <w:sz w:val="22"/>
          <w:szCs w:val="22"/>
          <w:u w:val="none"/>
          <w:shd w:val="clear" w:fill="auto"/>
          <w:vertAlign w:val="baseline"/>
          <w:rtl w:val="0"/>
        </w:rPr>
        <w:t xml:space="preserve">, as when necessary is incorporated by reference into this Policy and shall be considered an integral part of this Policy as if fully set forth herein.</w:t>
      </w:r>
    </w:p>
    <w:p w:rsidRPr="00000000" w:rsidR="00000000" w:rsidDel="00000000" w:rsidP="00000000" w:rsidRDefault="00000000" w14:paraId="00000381">
      <w:pPr>
        <w:keepNext w:val="0"/>
        <w:keepLines w:val="0"/>
        <w:pageBreakBefore w:val="0"/>
        <w:widowControl w:val="1"/>
        <w:pBdr>
          <w:top w:val="nil" w:sz="0" w:space="0"/>
          <w:left w:val="nil" w:sz="0" w:space="0"/>
          <w:bottom w:val="nil" w:sz="0" w:space="0"/>
          <w:right w:val="nil" w:sz="0" w:space="0"/>
          <w:between w:val="nil" w:sz="0" w:space="0"/>
        </w:pBdr>
        <w:shd w:val="clear" w:fill="auto"/>
        <w:spacing w:before="120" w:after="120" w:line="360" w:lineRule="auto"/>
        <w:ind w:left="0" w:right="0" w:firstLine="0"/>
        <w:jc w:val="center"/>
        <w:rPr>
          <w:b w:val="1"/>
          <w:bCs w:val="1"/>
        </w:rPr>
      </w:pPr>
      <w:r w:rsidRPr="00000000" w:rsidDel="00000000" w:rsidR="00000000">
        <w:rPr>
          <w:rtl w:val="0"/>
        </w:rPr>
      </w:r>
    </w:p>
    <w:p w:rsidRPr="00000000" w:rsidR="00000000" w:rsidDel="00000000" w:rsidP="00000000" w:rsidRDefault="00000000" w14:paraId="00000382">
      <w:pPr>
        <w:keepNext w:val="0"/>
        <w:keepLines w:val="0"/>
        <w:pageBreakBefore w:val="0"/>
        <w:widowControl w:val="1"/>
        <w:pBdr>
          <w:top w:val="nil" w:sz="0" w:space="0"/>
          <w:left w:val="nil" w:sz="0" w:space="0"/>
          <w:bottom w:val="nil" w:sz="0" w:space="0"/>
          <w:right w:val="nil" w:sz="0" w:space="0"/>
          <w:between w:val="nil" w:sz="0" w:space="0"/>
        </w:pBdr>
        <w:shd w:val="clear" w:fill="auto"/>
        <w:spacing w:before="120" w:after="120" w:line="360" w:lineRule="auto"/>
        <w:ind w:left="0" w:right="0" w:firstLine="0"/>
        <w:jc w:val="center"/>
        <w:rPr>
          <w:b w:val="1"/>
          <w:bCs w:val="1"/>
        </w:rPr>
      </w:pPr>
      <w:r w:rsidRPr="00000000" w:rsidDel="00000000" w:rsidR="00000000">
        <w:rPr>
          <w:rtl w:val="0"/>
        </w:rPr>
      </w:r>
    </w:p>
    <w:p w:rsidRPr="00000000" w:rsidR="00000000" w:rsidDel="00000000" w:rsidP="00000000" w:rsidRDefault="00000000" w14:paraId="00000383">
      <w:pPr>
        <w:keepNext w:val="0"/>
        <w:keepLines w:val="0"/>
        <w:pageBreakBefore w:val="0"/>
        <w:widowControl w:val="1"/>
        <w:pBdr>
          <w:top w:val="nil" w:sz="0" w:space="0"/>
          <w:left w:val="nil" w:sz="0" w:space="0"/>
          <w:bottom w:val="nil" w:sz="0" w:space="0"/>
          <w:right w:val="nil" w:sz="0" w:space="0"/>
          <w:between w:val="nil" w:sz="0" w:space="0"/>
        </w:pBdr>
        <w:shd w:val="clear" w:fill="auto"/>
        <w:spacing w:before="120" w:after="120" w:line="360" w:lineRule="auto"/>
        <w:ind w:left="0" w:right="0" w:firstLine="0"/>
        <w:jc w:val="center"/>
        <w:rPr>
          <w:b w:val="1"/>
          <w:bCs w:val="1"/>
        </w:rPr>
      </w:pPr>
      <w:r w:rsidRPr="00000000" w:rsidDel="00000000" w:rsidR="00000000">
        <w:rPr>
          <w:rtl w:val="0"/>
        </w:rPr>
      </w:r>
    </w:p>
    <w:p w:rsidRPr="00000000" w:rsidR="00000000" w:rsidDel="00000000" w:rsidP="00000000" w:rsidRDefault="00000000" w14:paraId="00000384">
      <w:pPr>
        <w:keepNext w:val="0"/>
        <w:keepLines w:val="0"/>
        <w:pageBreakBefore w:val="0"/>
        <w:widowControl w:val="1"/>
        <w:pBdr>
          <w:top w:val="nil" w:sz="0" w:space="0"/>
          <w:left w:val="nil" w:sz="0" w:space="0"/>
          <w:bottom w:val="nil" w:sz="0" w:space="0"/>
          <w:right w:val="nil" w:sz="0" w:space="0"/>
          <w:between w:val="nil" w:sz="0" w:space="0"/>
        </w:pBdr>
        <w:shd w:val="clear" w:fill="auto"/>
        <w:spacing w:before="120" w:after="120" w:line="360" w:lineRule="auto"/>
        <w:ind w:left="0" w:right="0" w:firstLine="0"/>
        <w:jc w:val="center"/>
        <w:rPr>
          <w:b w:val="1"/>
          <w:bCs w:val="1"/>
        </w:rPr>
      </w:pPr>
      <w:r w:rsidRPr="00000000" w:rsidDel="00000000" w:rsidR="00000000">
        <w:rPr>
          <w:rtl w:val="0"/>
        </w:rPr>
      </w:r>
    </w:p>
    <w:p w:rsidRPr="00000000" w:rsidR="00000000" w:rsidDel="00000000" w:rsidP="00000000" w:rsidRDefault="00000000" w14:paraId="00000385">
      <w:pPr>
        <w:keepNext w:val="0"/>
        <w:keepLines w:val="0"/>
        <w:pageBreakBefore w:val="0"/>
        <w:widowControl w:val="1"/>
        <w:pBdr>
          <w:top w:val="nil" w:sz="0" w:space="0"/>
          <w:left w:val="nil" w:sz="0" w:space="0"/>
          <w:bottom w:val="nil" w:sz="0" w:space="0"/>
          <w:right w:val="nil" w:sz="0" w:space="0"/>
          <w:between w:val="nil" w:sz="0" w:space="0"/>
        </w:pBdr>
        <w:shd w:val="clear" w:fill="auto"/>
        <w:spacing w:before="120" w:after="120" w:line="360" w:lineRule="auto"/>
        <w:ind w:left="0" w:right="0" w:firstLine="0"/>
        <w:jc w:val="center"/>
        <w:rPr>
          <w:b w:val="1"/>
          <w:bCs w:val="1"/>
        </w:rPr>
      </w:pPr>
      <w:r w:rsidRPr="00000000" w:rsidDel="00000000" w:rsidR="00000000">
        <w:rPr>
          <w:rtl w:val="0"/>
        </w:rPr>
      </w:r>
    </w:p>
    <w:p w:rsidRPr="00000000" w:rsidR="00000000" w:rsidDel="00000000" w:rsidP="00000000" w:rsidRDefault="00000000" w14:paraId="00000386">
      <w:pPr>
        <w:keepNext w:val="0"/>
        <w:keepLines w:val="0"/>
        <w:pageBreakBefore w:val="0"/>
        <w:widowControl w:val="1"/>
        <w:pBdr>
          <w:top w:val="nil" w:sz="0" w:space="0"/>
          <w:left w:val="nil" w:sz="0" w:space="0"/>
          <w:bottom w:val="nil" w:sz="0" w:space="0"/>
          <w:right w:val="nil" w:sz="0" w:space="0"/>
          <w:between w:val="nil" w:sz="0" w:space="0"/>
        </w:pBdr>
        <w:shd w:val="clear" w:fill="auto"/>
        <w:spacing w:before="120" w:after="120" w:line="360" w:lineRule="auto"/>
        <w:ind w:left="0" w:right="0" w:firstLine="0"/>
        <w:jc w:val="center"/>
        <w:rPr>
          <w:b w:val="1"/>
          <w:bCs w:val="1"/>
        </w:rPr>
      </w:pPr>
      <w:r w:rsidRPr="00000000" w:rsidDel="00000000" w:rsidR="00000000">
        <w:rPr>
          <w:rtl w:val="0"/>
        </w:rPr>
      </w:r>
    </w:p>
    <w:p w:rsidRPr="00000000" w:rsidR="00000000" w:rsidDel="00000000" w:rsidP="00000000" w:rsidRDefault="00000000" w14:paraId="00000387">
      <w:pPr>
        <w:keepNext w:val="0"/>
        <w:keepLines w:val="0"/>
        <w:pageBreakBefore w:val="0"/>
        <w:widowControl w:val="1"/>
        <w:pBdr>
          <w:top w:val="nil" w:sz="0" w:space="0"/>
          <w:left w:val="nil" w:sz="0" w:space="0"/>
          <w:bottom w:val="nil" w:sz="0" w:space="0"/>
          <w:right w:val="nil" w:sz="0" w:space="0"/>
          <w:between w:val="nil" w:sz="0" w:space="0"/>
        </w:pBdr>
        <w:shd w:val="clear" w:fill="auto"/>
        <w:spacing w:before="120" w:after="120" w:line="360" w:lineRule="auto"/>
        <w:ind w:left="0" w:right="0" w:firstLine="0"/>
        <w:jc w:val="center"/>
        <w:rPr>
          <w:b w:val="1"/>
          <w:bCs w:val="1"/>
        </w:rPr>
      </w:pPr>
      <w:r w:rsidRPr="00000000" w:rsidDel="00000000" w:rsidR="00000000">
        <w:rPr>
          <w:rtl w:val="0"/>
        </w:rPr>
      </w:r>
    </w:p>
    <w:p w:rsidRPr="00000000" w:rsidR="00000000" w:rsidDel="00000000" w:rsidP="00000000" w:rsidRDefault="00000000" w14:paraId="00000388">
      <w:pPr>
        <w:keepNext w:val="0"/>
        <w:keepLines w:val="0"/>
        <w:pageBreakBefore w:val="0"/>
        <w:widowControl w:val="1"/>
        <w:pBdr>
          <w:top w:val="nil" w:sz="0" w:space="0"/>
          <w:left w:val="nil" w:sz="0" w:space="0"/>
          <w:bottom w:val="nil" w:sz="0" w:space="0"/>
          <w:right w:val="nil" w:sz="0" w:space="0"/>
          <w:between w:val="nil" w:sz="0" w:space="0"/>
        </w:pBdr>
        <w:shd w:val="clear" w:fill="auto"/>
        <w:spacing w:before="120" w:after="120" w:line="360" w:lineRule="auto"/>
        <w:ind w:left="0" w:right="0" w:firstLine="0"/>
        <w:jc w:val="center"/>
        <w:rPr>
          <w:b w:val="1"/>
          <w:bCs w:val="1"/>
        </w:rPr>
      </w:pPr>
      <w:r w:rsidRPr="00000000" w:rsidDel="00000000" w:rsidR="00000000">
        <w:rPr>
          <w:rtl w:val="0"/>
        </w:rPr>
      </w:r>
    </w:p>
    <w:p w:rsidRPr="00000000" w:rsidR="00000000" w:rsidDel="00000000" w:rsidP="00000000" w:rsidRDefault="00000000" w14:paraId="00000389">
      <w:pPr>
        <w:keepNext w:val="0"/>
        <w:keepLines w:val="0"/>
        <w:pageBreakBefore w:val="0"/>
        <w:widowControl w:val="1"/>
        <w:pBdr>
          <w:top w:val="nil" w:sz="0" w:space="0"/>
          <w:left w:val="nil" w:sz="0" w:space="0"/>
          <w:bottom w:val="nil" w:sz="0" w:space="0"/>
          <w:right w:val="nil" w:sz="0" w:space="0"/>
          <w:between w:val="nil" w:sz="0" w:space="0"/>
        </w:pBdr>
        <w:shd w:val="clear" w:fill="auto"/>
        <w:spacing w:before="120" w:after="120" w:line="360" w:lineRule="auto"/>
        <w:ind w:left="0" w:right="0" w:firstLine="0"/>
        <w:jc w:val="center"/>
        <w:rPr>
          <w:b w:val="1"/>
          <w:bCs w:val="1"/>
        </w:rPr>
      </w:pPr>
      <w:r w:rsidRPr="00000000" w:rsidDel="00000000" w:rsidR="00000000">
        <w:rPr>
          <w:rtl w:val="0"/>
        </w:rPr>
      </w:r>
    </w:p>
    <w:p w:rsidRPr="00000000" w:rsidR="00000000" w:rsidDel="00000000" w:rsidP="00000000" w:rsidRDefault="00000000" w14:paraId="0000038A">
      <w:pPr>
        <w:keepNext w:val="0"/>
        <w:keepLines w:val="0"/>
        <w:pageBreakBefore w:val="0"/>
        <w:widowControl w:val="1"/>
        <w:pBdr>
          <w:top w:val="nil" w:sz="0" w:space="0"/>
          <w:left w:val="nil" w:sz="0" w:space="0"/>
          <w:bottom w:val="nil" w:sz="0" w:space="0"/>
          <w:right w:val="nil" w:sz="0" w:space="0"/>
          <w:between w:val="nil" w:sz="0" w:space="0"/>
        </w:pBdr>
        <w:shd w:val="clear" w:fill="auto"/>
        <w:spacing w:before="120" w:after="120" w:line="360" w:lineRule="auto"/>
        <w:ind w:left="0" w:right="0" w:firstLine="0"/>
        <w:jc w:val="center"/>
        <w:rPr>
          <w:b w:val="1"/>
          <w:bCs w:val="1"/>
        </w:rPr>
      </w:pPr>
      <w:r w:rsidRPr="00000000" w:rsidDel="00000000" w:rsidR="00000000">
        <w:rPr>
          <w:rtl w:val="0"/>
        </w:rPr>
      </w:r>
    </w:p>
    <w:p w:rsidRPr="00000000" w:rsidR="00000000" w:rsidDel="00000000" w:rsidP="00000000" w:rsidRDefault="00000000" w14:paraId="0000038B">
      <w:pPr>
        <w:keepNext w:val="0"/>
        <w:keepLines w:val="0"/>
        <w:pageBreakBefore w:val="0"/>
        <w:widowControl w:val="1"/>
        <w:pBdr>
          <w:top w:val="nil" w:sz="0" w:space="0"/>
          <w:left w:val="nil" w:sz="0" w:space="0"/>
          <w:bottom w:val="nil" w:sz="0" w:space="0"/>
          <w:right w:val="nil" w:sz="0" w:space="0"/>
          <w:between w:val="nil" w:sz="0" w:space="0"/>
        </w:pBdr>
        <w:shd w:val="clear" w:fill="auto"/>
        <w:spacing w:before="120" w:after="120" w:line="360" w:lineRule="auto"/>
        <w:ind w:left="0" w:right="0" w:firstLine="0"/>
        <w:jc w:val="center"/>
        <w:rPr>
          <w:b w:val="1"/>
          <w:bCs w:val="1"/>
        </w:rPr>
      </w:pPr>
      <w:r w:rsidRPr="00000000" w:rsidDel="00000000" w:rsidR="00000000">
        <w:rPr>
          <w:rtl w:val="0"/>
        </w:rPr>
      </w:r>
    </w:p>
    <w:p w:rsidRPr="00000000" w:rsidR="00000000" w:rsidDel="00000000" w:rsidP="00000000" w:rsidRDefault="00000000" w14:paraId="0000038C">
      <w:pPr>
        <w:keepNext w:val="0"/>
        <w:keepLines w:val="0"/>
        <w:pageBreakBefore w:val="0"/>
        <w:widowControl w:val="1"/>
        <w:pBdr>
          <w:top w:val="nil" w:sz="0" w:space="0"/>
          <w:left w:val="nil" w:sz="0" w:space="0"/>
          <w:bottom w:val="nil" w:sz="0" w:space="0"/>
          <w:right w:val="nil" w:sz="0" w:space="0"/>
          <w:between w:val="nil" w:sz="0" w:space="0"/>
        </w:pBdr>
        <w:shd w:val="clear" w:fill="auto"/>
        <w:spacing w:before="120" w:after="120" w:line="360" w:lineRule="auto"/>
        <w:ind w:left="0" w:right="0" w:firstLine="0"/>
        <w:jc w:val="center"/>
        <w:rPr>
          <w:b w:val="1"/>
          <w:bCs w:val="1"/>
        </w:rPr>
      </w:pPr>
      <w:r w:rsidRPr="00000000" w:rsidDel="00000000" w:rsidR="00000000">
        <w:rPr>
          <w:rtl w:val="0"/>
        </w:rPr>
      </w:r>
    </w:p>
    <w:p w:rsidRPr="00000000" w:rsidR="00000000" w:rsidDel="00000000" w:rsidP="00000000" w:rsidRDefault="00000000" w14:paraId="0000038D">
      <w:pPr>
        <w:keepNext w:val="0"/>
        <w:keepLines w:val="0"/>
        <w:pageBreakBefore w:val="0"/>
        <w:widowControl w:val="1"/>
        <w:pBdr>
          <w:top w:val="nil" w:sz="0" w:space="0"/>
          <w:left w:val="nil" w:sz="0" w:space="0"/>
          <w:bottom w:val="nil" w:sz="0" w:space="0"/>
          <w:right w:val="nil" w:sz="0" w:space="0"/>
          <w:between w:val="nil" w:sz="0" w:space="0"/>
        </w:pBdr>
        <w:shd w:val="clear" w:fill="auto"/>
        <w:spacing w:before="120" w:after="120" w:line="360" w:lineRule="auto"/>
        <w:ind w:left="0" w:right="0" w:firstLine="0"/>
        <w:jc w:val="center"/>
        <w:rPr>
          <w:b w:val="1"/>
          <w:bCs w:val="1"/>
        </w:rPr>
      </w:pPr>
      <w:r w:rsidRPr="00000000" w:rsidDel="00000000" w:rsidR="00000000">
        <w:rPr>
          <w:rtl w:val="0"/>
        </w:rPr>
      </w:r>
    </w:p>
    <w:p w:rsidRPr="00000000" w:rsidR="00000000" w:rsidDel="00000000" w:rsidP="00000000" w:rsidRDefault="00000000" w14:paraId="0000038E">
      <w:pPr>
        <w:keepNext w:val="0"/>
        <w:keepLines w:val="0"/>
        <w:pageBreakBefore w:val="0"/>
        <w:widowControl w:val="1"/>
        <w:pBdr>
          <w:top w:val="nil" w:sz="0" w:space="0"/>
          <w:left w:val="nil" w:sz="0" w:space="0"/>
          <w:bottom w:val="nil" w:sz="0" w:space="0"/>
          <w:right w:val="nil" w:sz="0" w:space="0"/>
          <w:between w:val="nil" w:sz="0" w:space="0"/>
        </w:pBdr>
        <w:shd w:val="clear" w:fill="auto"/>
        <w:spacing w:before="120" w:after="120" w:line="360" w:lineRule="auto"/>
        <w:ind w:left="0" w:right="0" w:firstLine="0"/>
        <w:jc w:val="center"/>
        <w:rPr>
          <w:b w:val="1"/>
          <w:bCs w:val="1"/>
        </w:rPr>
      </w:pPr>
      <w:r w:rsidRPr="00000000" w:rsidDel="00000000" w:rsidR="00000000">
        <w:rPr>
          <w:rtl w:val="0"/>
        </w:rPr>
      </w:r>
    </w:p>
    <w:p w:rsidRPr="00000000" w:rsidR="00000000" w:rsidDel="00000000" w:rsidP="00000000" w:rsidRDefault="00000000" w14:paraId="0000038F">
      <w:pPr>
        <w:keepNext w:val="0"/>
        <w:keepLines w:val="0"/>
        <w:pageBreakBefore w:val="0"/>
        <w:widowControl w:val="1"/>
        <w:pBdr>
          <w:top w:val="nil" w:sz="0" w:space="0"/>
          <w:left w:val="nil" w:sz="0" w:space="0"/>
          <w:bottom w:val="nil" w:sz="0" w:space="0"/>
          <w:right w:val="nil" w:sz="0" w:space="0"/>
          <w:between w:val="nil" w:sz="0" w:space="0"/>
        </w:pBdr>
        <w:shd w:val="clear" w:fill="auto"/>
        <w:spacing w:before="120" w:after="120" w:line="360" w:lineRule="auto"/>
        <w:ind w:left="0" w:right="0" w:firstLine="0"/>
        <w:jc w:val="center"/>
        <w:rPr>
          <w:b w:val="1"/>
          <w:bCs w:val="1"/>
        </w:rPr>
      </w:pPr>
      <w:r w:rsidRPr="00000000" w:rsidDel="00000000" w:rsidR="00000000">
        <w:rPr>
          <w:rtl w:val="0"/>
        </w:rPr>
      </w:r>
    </w:p>
    <w:p w:rsidRPr="00000000" w:rsidR="00000000" w:rsidDel="00000000" w:rsidP="00000000" w:rsidRDefault="00000000" w14:paraId="00000390">
      <w:pPr>
        <w:keepNext w:val="0"/>
        <w:keepLines w:val="0"/>
        <w:pageBreakBefore w:val="0"/>
        <w:widowControl w:val="1"/>
        <w:pBdr>
          <w:top w:val="nil" w:sz="0" w:space="0"/>
          <w:left w:val="nil" w:sz="0" w:space="0"/>
          <w:bottom w:val="nil" w:sz="0" w:space="0"/>
          <w:right w:val="nil" w:sz="0" w:space="0"/>
          <w:between w:val="nil" w:sz="0" w:space="0"/>
        </w:pBdr>
        <w:shd w:val="clear" w:fill="auto"/>
        <w:spacing w:before="120" w:after="120" w:line="360" w:lineRule="auto"/>
        <w:ind w:left="0" w:right="0" w:firstLine="0"/>
        <w:jc w:val="center"/>
        <w:rPr>
          <w:b w:val="1"/>
          <w:bCs w:val="1"/>
        </w:rPr>
      </w:pPr>
      <w:r w:rsidRPr="00000000" w:rsidDel="00000000" w:rsidR="00000000">
        <w:rPr>
          <w:rtl w:val="0"/>
        </w:rPr>
      </w:r>
    </w:p>
    <w:p w:rsidRPr="00000000" w:rsidR="00000000" w:rsidDel="00000000" w:rsidP="00000000" w:rsidRDefault="00000000" w14:paraId="00000391">
      <w:pPr>
        <w:keepNext w:val="0"/>
        <w:keepLines w:val="0"/>
        <w:pageBreakBefore w:val="0"/>
        <w:widowControl w:val="1"/>
        <w:pBdr>
          <w:top w:val="nil" w:sz="0" w:space="0"/>
          <w:left w:val="nil" w:sz="0" w:space="0"/>
          <w:bottom w:val="nil" w:sz="0" w:space="0"/>
          <w:right w:val="nil" w:sz="0" w:space="0"/>
          <w:between w:val="nil" w:sz="0" w:space="0"/>
        </w:pBdr>
        <w:shd w:val="clear" w:fill="auto"/>
        <w:spacing w:before="120" w:after="120" w:line="360" w:lineRule="auto"/>
        <w:ind w:left="0" w:right="0" w:firstLine="0"/>
        <w:jc w:val="center"/>
        <w:rPr>
          <w:b w:val="1"/>
          <w:bCs w:val="1"/>
        </w:rPr>
      </w:pPr>
      <w:r w:rsidRPr="00000000" w:rsidDel="00000000" w:rsidR="00000000">
        <w:rPr>
          <w:rtl w:val="0"/>
        </w:rPr>
      </w:r>
    </w:p>
    <w:p w:rsidRPr="00000000" w:rsidR="00000000" w:rsidDel="00000000" w:rsidP="00000000" w:rsidRDefault="00000000" w14:paraId="00000392">
      <w:pPr>
        <w:keepNext w:val="0"/>
        <w:keepLines w:val="0"/>
        <w:pageBreakBefore w:val="0"/>
        <w:widowControl w:val="1"/>
        <w:pBdr>
          <w:top w:val="nil" w:sz="0" w:space="0"/>
          <w:left w:val="nil" w:sz="0" w:space="0"/>
          <w:bottom w:val="nil" w:sz="0" w:space="0"/>
          <w:right w:val="nil" w:sz="0" w:space="0"/>
          <w:between w:val="nil" w:sz="0" w:space="0"/>
        </w:pBdr>
        <w:shd w:val="clear" w:fill="auto"/>
        <w:spacing w:before="120" w:after="120" w:line="360" w:lineRule="auto"/>
        <w:ind w:left="0" w:right="0" w:firstLine="0"/>
        <w:jc w:val="center"/>
        <w:rPr>
          <w:b w:val="1"/>
          <w:bCs w:val="1"/>
        </w:rPr>
      </w:pPr>
      <w:r w:rsidRPr="00000000" w:rsidDel="00000000" w:rsidR="00000000">
        <w:rPr>
          <w:rtl w:val="0"/>
        </w:rPr>
      </w:r>
    </w:p>
    <w:p w:rsidRPr="00000000" w:rsidR="00000000" w:rsidDel="00000000" w:rsidP="00000000" w:rsidRDefault="00000000" w14:paraId="00000393">
      <w:pPr>
        <w:keepNext w:val="0"/>
        <w:keepLines w:val="0"/>
        <w:pageBreakBefore w:val="0"/>
        <w:widowControl w:val="1"/>
        <w:pBdr>
          <w:top w:val="nil" w:sz="0" w:space="0"/>
          <w:left w:val="nil" w:sz="0" w:space="0"/>
          <w:bottom w:val="nil" w:sz="0" w:space="0"/>
          <w:right w:val="nil" w:sz="0" w:space="0"/>
          <w:between w:val="nil" w:sz="0" w:space="0"/>
        </w:pBdr>
        <w:shd w:val="clear" w:fill="auto"/>
        <w:spacing w:before="120" w:after="120" w:line="360" w:lineRule="auto"/>
        <w:ind w:left="0" w:right="0" w:firstLine="0"/>
        <w:jc w:val="center"/>
        <w:rPr>
          <w:b w:val="1"/>
          <w:bCs w:val="1"/>
        </w:rPr>
      </w:pPr>
      <w:r w:rsidRPr="00000000" w:rsidDel="00000000" w:rsidR="00000000">
        <w:rPr>
          <w:rtl w:val="0"/>
        </w:rPr>
      </w:r>
    </w:p>
    <w:p w:rsidRPr="00000000" w:rsidR="00000000" w:rsidDel="00000000" w:rsidP="00000000" w:rsidRDefault="00000000" w14:paraId="00000394">
      <w:pPr>
        <w:keepNext w:val="0"/>
        <w:keepLines w:val="0"/>
        <w:pageBreakBefore w:val="0"/>
        <w:widowControl w:val="1"/>
        <w:pBdr>
          <w:top w:val="nil" w:sz="0" w:space="0"/>
          <w:left w:val="nil" w:sz="0" w:space="0"/>
          <w:bottom w:val="nil" w:sz="0" w:space="0"/>
          <w:right w:val="nil" w:sz="0" w:space="0"/>
          <w:between w:val="nil" w:sz="0" w:space="0"/>
        </w:pBdr>
        <w:shd w:val="clear" w:fill="auto"/>
        <w:spacing w:before="120" w:after="120" w:line="360" w:lineRule="auto"/>
        <w:ind w:left="0" w:right="0" w:firstLine="0"/>
        <w:jc w:val="center"/>
        <w:rPr>
          <w:b w:val="1"/>
          <w:bCs w:val="1"/>
        </w:rPr>
      </w:pPr>
      <w:r w:rsidRPr="00000000" w:rsidDel="00000000" w:rsidR="00000000">
        <w:rPr>
          <w:rtl w:val="0"/>
        </w:rPr>
      </w:r>
    </w:p>
    <w:p w:rsidRPr="00000000" w:rsidR="00000000" w:rsidDel="00000000" w:rsidP="00000000" w:rsidRDefault="00000000" w14:paraId="00000395">
      <w:pPr>
        <w:keepNext w:val="0"/>
        <w:keepLines w:val="0"/>
        <w:pageBreakBefore w:val="0"/>
        <w:widowControl w:val="1"/>
        <w:pBdr>
          <w:top w:val="nil" w:sz="0" w:space="0"/>
          <w:left w:val="nil" w:sz="0" w:space="0"/>
          <w:bottom w:val="nil" w:sz="0" w:space="0"/>
          <w:right w:val="nil" w:sz="0" w:space="0"/>
          <w:between w:val="nil" w:sz="0" w:space="0"/>
        </w:pBdr>
        <w:shd w:val="clear" w:fill="auto"/>
        <w:spacing w:before="120" w:after="120" w:line="360" w:lineRule="auto"/>
        <w:ind w:left="0" w:right="0" w:firstLine="0"/>
        <w:jc w:val="center"/>
        <w:rPr>
          <w:b w:val="1"/>
          <w:bCs w:val="1"/>
        </w:rPr>
      </w:pPr>
      <w:r w:rsidRPr="00000000" w:rsidDel="00000000" w:rsidR="00000000">
        <w:rPr>
          <w:rtl w:val="0"/>
        </w:rPr>
      </w:r>
    </w:p>
    <w:p w:rsidRPr="00000000" w:rsidR="00000000" w:rsidDel="00000000" w:rsidP="00000000" w:rsidRDefault="00000000" w14:paraId="00000396">
      <w:pPr>
        <w:keepNext w:val="0"/>
        <w:keepLines w:val="0"/>
        <w:pageBreakBefore w:val="0"/>
        <w:widowControl w:val="1"/>
        <w:pBdr>
          <w:top w:val="nil" w:sz="0" w:space="0"/>
          <w:left w:val="nil" w:sz="0" w:space="0"/>
          <w:bottom w:val="nil" w:sz="0" w:space="0"/>
          <w:right w:val="nil" w:sz="0" w:space="0"/>
          <w:between w:val="nil" w:sz="0" w:space="0"/>
        </w:pBdr>
        <w:shd w:val="clear" w:fill="auto"/>
        <w:spacing w:before="120" w:after="120" w:line="360" w:lineRule="auto"/>
        <w:ind w:left="0" w:right="0" w:firstLine="0"/>
        <w:jc w:val="center"/>
        <w:rPr>
          <w:b w:val="1"/>
          <w:bCs w:val="1"/>
        </w:rPr>
      </w:pPr>
      <w:r w:rsidRPr="00000000" w:rsidDel="00000000" w:rsidR="00000000">
        <w:rPr>
          <w:rtl w:val="0"/>
        </w:rPr>
      </w:r>
    </w:p>
    <w:p w:rsidRPr="00000000" w:rsidR="00000000" w:rsidDel="00000000" w:rsidP="00000000" w:rsidRDefault="00000000" w14:paraId="00000397">
      <w:pPr>
        <w:keepNext w:val="0"/>
        <w:keepLines w:val="0"/>
        <w:pageBreakBefore w:val="0"/>
        <w:widowControl w:val="1"/>
        <w:pBdr>
          <w:top w:val="nil" w:sz="0" w:space="0"/>
          <w:left w:val="nil" w:sz="0" w:space="0"/>
          <w:bottom w:val="nil" w:sz="0" w:space="0"/>
          <w:right w:val="nil" w:sz="0" w:space="0"/>
          <w:between w:val="nil" w:sz="0" w:space="0"/>
        </w:pBdr>
        <w:shd w:val="clear" w:fill="auto"/>
        <w:spacing w:before="120" w:after="120" w:line="360" w:lineRule="auto"/>
        <w:ind w:left="0" w:right="0" w:firstLine="0"/>
        <w:jc w:val="center"/>
        <w:rPr>
          <w:b w:val="1"/>
          <w:bCs w:val="1"/>
        </w:rPr>
      </w:pPr>
      <w:r w:rsidRPr="00000000" w:rsidDel="00000000" w:rsidR="00000000">
        <w:rPr>
          <w:rtl w:val="0"/>
        </w:rPr>
      </w:r>
    </w:p>
    <w:p w:rsidRPr="00000000" w:rsidR="00000000" w:rsidDel="00000000" w:rsidP="00000000" w:rsidRDefault="00000000" w14:paraId="00000398">
      <w:pPr>
        <w:keepNext w:val="0"/>
        <w:keepLines w:val="0"/>
        <w:pageBreakBefore w:val="0"/>
        <w:widowControl w:val="1"/>
        <w:pBdr>
          <w:top w:val="nil" w:sz="0" w:space="0"/>
          <w:left w:val="nil" w:sz="0" w:space="0"/>
          <w:bottom w:val="nil" w:sz="0" w:space="0"/>
          <w:right w:val="nil" w:sz="0" w:space="0"/>
          <w:between w:val="nil" w:sz="0" w:space="0"/>
        </w:pBdr>
        <w:shd w:val="clear" w:fill="auto"/>
        <w:spacing w:before="120" w:after="120" w:line="360" w:lineRule="auto"/>
        <w:ind w:left="0" w:right="0" w:firstLine="0"/>
        <w:jc w:val="center"/>
        <w:rPr>
          <w:b w:val="1"/>
          <w:bCs w:val="1"/>
          <w:i w:val="0"/>
          <w:iCs w:val="0"/>
          <w:smallCaps w:val="0"/>
          <w:strike w:val="0"/>
          <w:color w:val="000000"/>
          <w:sz w:val="22"/>
          <w:szCs w:val="22"/>
          <w:u w:val="none"/>
          <w:shd w:val="clear" w:fill="auto"/>
          <w:vertAlign w:val="baseline"/>
        </w:rPr>
      </w:pPr>
      <w:r w:rsidRPr="00000000" w:rsidDel="00000000" w:rsidR="00000000">
        <w:rPr>
          <w:rtl w:val="0"/>
        </w:rPr>
      </w:r>
    </w:p>
    <w:sectPr>
      <w:type w:val="nextPage"/>
      <w:pgSz w:w="11909" w:h="16834" w:orient="portrait"/>
      <w:pgMar w:top="1440" w:right="1440" w:bottom="1440" w:left="1440" w:header="0" w:footer="431.9999999999999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3A4">
    <w:pPr>
      <w:spacing w:line="240" w:lineRule="auto"/>
      <w:ind w:left="0" w:firstLine="0"/>
      <w:jc w:val="left"/>
      <w:rPr>
        <w:sz w:val="2"/>
        <w:szCs w:val="2"/>
      </w:rPr>
    </w:pPr>
    <w:r w:rsidRPr="00000000" w:rsidDel="00000000" w:rsidR="00000000">
      <w:rPr>
        <w:rtl w:val="0"/>
      </w:rPr>
    </w:r>
  </w:p>
  <w:sdt>
    <w:sdtPr>
      <w:lock w:val="contentLocked"/>
      <w:id w:val="714249016"/>
      <w:tag w:val="goog_rdk_2"/>
    </w:sdtPr>
    <w:sdtContent>
      <w:tbl>
        <w:tblPr>
          <w:tblStyle w:val="Table6"/>
          <w:tblW w:w="10455.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1440"/>
          <w:gridCol w:w="7320"/>
          <w:gridCol w:w="1695"/>
          <w:tblGridChange w:id="0">
            <w:tblGrid>
              <w:gridCol w:w="1440"/>
              <w:gridCol w:w="7320"/>
              <w:gridCol w:w="1695"/>
            </w:tblGrid>
          </w:tblGridChange>
        </w:tblGrid>
        <w:tr>
          <w:trPr>
            <w:cantSplit w:val="0"/>
            <w:trHeight w:val="274.98046875" w:hRule="atLeast"/>
            <w:tblHeader w:val="0"/>
          </w:trPr>
          <w:tc>
            <w:tcPr>
              <w:tcBorders>
                <w:left w:val="nil" w:color="000000" w:sz="0" w:space="0"/>
                <w:bottom w:val="nil" w:color="000000" w:sz="0" w:space="0"/>
                <w:right w:val="nil" w:color="000000" w:sz="0" w:space="0"/>
              </w:tcBorders>
              <w:shd w:val="clear" w:fill="auto"/>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3A5">
              <w:pPr>
                <w:widowControl w:val="0"/>
                <w:spacing w:line="240" w:lineRule="auto"/>
                <w:ind w:left="0" w:firstLine="0"/>
                <w:jc w:val="left"/>
                <w:rPr>
                  <w:sz w:val="20"/>
                  <w:szCs w:val="20"/>
                </w:rPr>
              </w:pPr>
              <w:r w:rsidRPr="00000000" w:rsidDel="00000000" w:rsidR="00000000">
                <w:rPr>
                  <w:sz w:val="20"/>
                  <w:szCs w:val="20"/>
                  <w:rtl w:val="0"/>
                </w:rPr>
                <w:t xml:space="preserve">INTERNAL</w:t>
              </w:r>
            </w:p>
          </w:tc>
          <w:tc>
            <w:tcPr>
              <w:tcBorders>
                <w:left w:val="nil" w:color="000000" w:sz="0" w:space="0"/>
                <w:bottom w:val="nil" w:color="000000" w:sz="0" w:space="0"/>
                <w:right w:val="nil" w:color="000000" w:sz="0"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3A6">
              <w:pPr>
                <w:widowControl w:val="0"/>
                <w:spacing w:line="240" w:lineRule="auto"/>
                <w:ind w:left="0" w:firstLine="0"/>
                <w:jc w:val="center"/>
                <w:rPr>
                  <w:sz w:val="20"/>
                  <w:szCs w:val="20"/>
                </w:rPr>
              </w:pPr>
              <w:r w:rsidRPr="00000000" w:rsidDel="00000000" w:rsidR="00000000">
                <w:rPr>
                  <w:sz w:val="20"/>
                  <w:szCs w:val="20"/>
                  <w:rtl w:val="0"/>
                </w:rPr>
                <w:t xml:space="preserve">Global AML/CTF Policy | V3.3 | January 2026</w:t>
              </w:r>
            </w:p>
          </w:tc>
          <w:tc>
            <w:tcPr>
              <w:tcBorders>
                <w:left w:val="nil" w:color="000000" w:sz="0" w:space="0"/>
                <w:bottom w:val="nil" w:color="000000" w:sz="0" w:space="0"/>
                <w:right w:val="nil" w:color="000000" w:sz="0" w:space="0"/>
              </w:tcBorders>
              <w:shd w:val="clear" w:fill="auto"/>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3A7">
              <w:pPr>
                <w:widowControl w:val="0"/>
                <w:spacing w:line="240" w:lineRule="auto"/>
                <w:ind w:left="0" w:firstLine="0"/>
                <w:jc w:val="right"/>
                <w:rPr>
                  <w:sz w:val="20"/>
                  <w:szCs w:val="20"/>
                </w:rPr>
              </w:pPr>
              <w:r w:rsidRPr="00000000" w:rsidDel="00000000" w:rsidR="00000000">
                <w:rPr>
                  <w:sz w:val="20"/>
                  <w:szCs w:val="20"/>
                  <w:rtl w:val="0"/>
                </w:rPr>
                <w:t xml:space="preserve">Page </w:t>
              </w:r>
              <w:r w:rsidRPr="00000000" w:rsidDel="00000000" w:rsidR="00000000">
                <w:rPr>
                  <w:sz w:val="20"/>
                  <w:szCs w:val="20"/>
                </w:rPr>
                <w:fldChar w:fldCharType="begin"/>
                <w:instrText xml:space="preserve">PAGE</w:instrText>
                <w:fldChar w:fldCharType="separate"/>
                <w:fldChar w:fldCharType="end"/>
              </w:r>
              <w:r w:rsidRPr="00000000" w:rsidDel="00000000" w:rsidR="00000000">
                <w:rPr>
                  <w:sz w:val="20"/>
                  <w:szCs w:val="20"/>
                  <w:rtl w:val="0"/>
                </w:rPr>
                <w:t xml:space="preserve"> of </w:t>
              </w:r>
              <w:r w:rsidRPr="00000000" w:rsidDel="00000000" w:rsidR="00000000">
                <w:rPr>
                  <w:sz w:val="20"/>
                  <w:szCs w:val="20"/>
                </w:rPr>
                <w:fldChar w:fldCharType="begin"/>
                <w:instrText xml:space="preserve">NUMPAGES</w:instrText>
                <w:fldChar w:fldCharType="separate"/>
                <w:fldChar w:fldCharType="end"/>
              </w:r>
              <w:r w:rsidRPr="00000000" w:rsidDel="00000000" w:rsidR="00000000">
                <w:rPr>
                  <w:rtl w:val="0"/>
                </w:rPr>
              </w:r>
            </w:p>
          </w:tc>
        </w:tr>
      </w:tbl>
    </w:sdtContent>
  </w:sdt>
  <w:p w:rsidRPr="00000000" w:rsidR="00000000" w:rsidDel="00000000" w:rsidP="00000000" w:rsidRDefault="00000000" w14:paraId="000003A8">
    <w:pPr>
      <w:spacing w:line="240" w:lineRule="auto"/>
      <w:ind w:left="0" w:firstLine="0"/>
      <w:jc w:val="left"/>
      <w:rPr>
        <w:sz w:val="2"/>
        <w:szCs w:val="2"/>
      </w:rPr>
    </w:pPr>
    <w:r w:rsidRPr="00000000" w:rsidDel="00000000" w:rsid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3A9">
    <w:pPr>
      <w:ind w:left="0" w:firstLine="0"/>
      <w:jc w:val="left"/>
      <w:rPr/>
    </w:pPr>
    <w:r w:rsidRPr="00000000" w:rsidDel="00000000" w:rsid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otnote w:id="0">
    <w:p w:rsidRPr="00000000" w:rsidR="00000000" w:rsidDel="00000000" w:rsidP="00000000" w:rsidRDefault="00000000" w14:paraId="00000399">
      <w:pPr>
        <w:keepNext w:val="0"/>
        <w:keepLines w:val="0"/>
        <w:widowControl w:val="1"/>
        <w:pBdr>
          <w:top w:val="nil" w:sz="0" w:space="0"/>
          <w:left w:val="nil" w:sz="0" w:space="0"/>
          <w:bottom w:val="nil" w:sz="0" w:space="0"/>
          <w:right w:val="nil" w:sz="0" w:space="0"/>
          <w:between w:val="nil" w:sz="0" w:space="0"/>
        </w:pBdr>
        <w:shd w:val="clear" w:fill="auto"/>
        <w:spacing w:before="0" w:after="120" w:line="240" w:lineRule="auto"/>
        <w:ind w:left="0" w:right="0" w:firstLine="0"/>
        <w:jc w:val="both"/>
        <w:rPr>
          <w:rFonts w:ascii="Arial" w:hAnsi="Arial" w:eastAsia="Arial" w:cs="Arial"/>
          <w:b w:val="0"/>
          <w:bCs w:val="0"/>
          <w:i w:val="0"/>
          <w:iCs w:val="0"/>
          <w:smallCaps w:val="0"/>
          <w:strike w:val="0"/>
          <w:color w:val="000000"/>
          <w:sz w:val="18"/>
          <w:szCs w:val="18"/>
          <w:u w:val="none"/>
          <w:shd w:val="clear" w:fill="auto"/>
          <w:vertAlign w:val="baseline"/>
        </w:rPr>
      </w:pPr>
      <w:r w:rsidRPr="00000000" w:rsidDel="00000000" w:rsidR="00000000">
        <w:rPr>
          <w:rStyle w:val="FootnoteReference"/>
          <w:vertAlign w:val="superscript"/>
        </w:rPr>
        <w:footnoteRef/>
      </w:r>
      <w:r w:rsidRPr="00000000" w:rsidDel="00000000" w:rsidR="00000000">
        <w:rPr>
          <w:rFonts w:ascii="Arial" w:hAnsi="Arial" w:eastAsia="Arial" w:cs="Arial"/>
          <w:b w:val="0"/>
          <w:bCs w:val="0"/>
          <w:i w:val="0"/>
          <w:iCs w:val="0"/>
          <w:smallCaps w:val="0"/>
          <w:strike w:val="0"/>
          <w:color w:val="000000"/>
          <w:sz w:val="18"/>
          <w:szCs w:val="18"/>
          <w:u w:val="none"/>
          <w:shd w:val="clear" w:fill="auto"/>
          <w:vertAlign w:val="baseline"/>
          <w:rtl w:val="0"/>
        </w:rPr>
        <w:t xml:space="preserve"> This is not an exhaustive list.</w:t>
      </w:r>
    </w:p>
  </w:footnote>
  <w:footnote w:id="1">
    <w:p w:rsidRPr="00000000" w:rsidR="00000000" w:rsidDel="00000000" w:rsidP="00000000" w:rsidRDefault="00000000" w14:paraId="0000039A">
      <w:pPr>
        <w:keepNext w:val="0"/>
        <w:keepLines w:val="0"/>
        <w:widowControl w:val="1"/>
        <w:pBdr>
          <w:top w:val="nil" w:sz="0" w:space="0"/>
          <w:left w:val="nil" w:sz="0" w:space="0"/>
          <w:bottom w:val="nil" w:sz="0" w:space="0"/>
          <w:right w:val="nil" w:sz="0" w:space="0"/>
          <w:between w:val="nil" w:sz="0" w:space="0"/>
        </w:pBdr>
        <w:shd w:val="clear" w:fill="auto"/>
        <w:spacing w:before="0" w:after="120" w:line="240" w:lineRule="auto"/>
        <w:ind w:left="-360" w:right="-240" w:firstLine="0"/>
        <w:jc w:val="both"/>
        <w:rPr>
          <w:rFonts w:ascii="Arial" w:hAnsi="Arial" w:eastAsia="Arial" w:cs="Arial"/>
          <w:b w:val="0"/>
          <w:bCs w:val="0"/>
          <w:i w:val="0"/>
          <w:iCs w:val="0"/>
          <w:smallCaps w:val="0"/>
          <w:strike w:val="0"/>
          <w:color w:val="000000"/>
          <w:sz w:val="18"/>
          <w:szCs w:val="18"/>
          <w:u w:val="none"/>
          <w:shd w:val="clear" w:fill="auto"/>
          <w:vertAlign w:val="baseline"/>
        </w:rPr>
      </w:pPr>
      <w:r w:rsidRPr="00000000" w:rsidDel="00000000" w:rsidR="00000000">
        <w:rPr>
          <w:rStyle w:val="FootnoteReference"/>
          <w:vertAlign w:val="superscript"/>
        </w:rPr>
        <w:footnoteRef/>
      </w:r>
      <w:r w:rsidRPr="00000000" w:rsidDel="00000000" w:rsidR="00000000">
        <w:rPr>
          <w:rFonts w:ascii="Arial" w:hAnsi="Arial" w:eastAsia="Arial" w:cs="Arial"/>
          <w:b w:val="0"/>
          <w:bCs w:val="0"/>
          <w:i w:val="0"/>
          <w:iCs w:val="0"/>
          <w:smallCaps w:val="0"/>
          <w:strike w:val="0"/>
          <w:color w:val="000000"/>
          <w:sz w:val="18"/>
          <w:szCs w:val="18"/>
          <w:u w:val="none"/>
          <w:shd w:val="clear" w:fill="auto"/>
          <w:vertAlign w:val="baseline"/>
          <w:rtl w:val="0"/>
        </w:rPr>
        <w:t xml:space="preserve"> In the context of FATF Recommendation 1, PF risk refers strictly and only to the potential breach, non-implementation or evasion of the targeted financial sanctions (TFS) obligations referred to in Recommendation 7. At present, the TFS under Recommendation 7 apply to two country-specific regimes for the Democratic People’s Republic of Korea and Iran.</w:t>
      </w:r>
    </w:p>
  </w:footnote>
  <w:footnote w:id="2">
    <w:p w:rsidRPr="00000000" w:rsidR="00000000" w:rsidDel="00000000" w:rsidP="00000000" w:rsidRDefault="00000000" w14:paraId="0000039B">
      <w:pPr>
        <w:keepNext w:val="0"/>
        <w:keepLines w:val="0"/>
        <w:widowControl w:val="1"/>
        <w:pBdr>
          <w:top w:val="nil" w:sz="0" w:space="0"/>
          <w:left w:val="nil" w:sz="0" w:space="0"/>
          <w:bottom w:val="nil" w:sz="0" w:space="0"/>
          <w:right w:val="nil" w:sz="0" w:space="0"/>
          <w:between w:val="nil" w:sz="0" w:space="0"/>
        </w:pBdr>
        <w:shd w:val="clear" w:fill="auto"/>
        <w:spacing w:before="0" w:after="120" w:line="240" w:lineRule="auto"/>
        <w:ind w:left="0" w:right="0" w:firstLine="0"/>
        <w:jc w:val="both"/>
        <w:rPr>
          <w:rFonts w:ascii="Arial" w:hAnsi="Arial" w:eastAsia="Arial" w:cs="Arial"/>
          <w:b w:val="0"/>
          <w:bCs w:val="0"/>
          <w:i w:val="0"/>
          <w:iCs w:val="0"/>
          <w:smallCaps w:val="0"/>
          <w:strike w:val="0"/>
          <w:color w:val="000000"/>
          <w:sz w:val="18"/>
          <w:szCs w:val="18"/>
          <w:u w:val="none"/>
          <w:shd w:val="clear" w:fill="auto"/>
          <w:vertAlign w:val="baseline"/>
        </w:rPr>
      </w:pPr>
      <w:r w:rsidRPr="00000000" w:rsidDel="00000000" w:rsidR="00000000">
        <w:rPr>
          <w:rStyle w:val="FootnoteReference"/>
          <w:vertAlign w:val="superscript"/>
        </w:rPr>
        <w:footnoteRef/>
      </w:r>
      <w:r w:rsidRPr="00000000" w:rsidDel="00000000" w:rsidR="00000000">
        <w:rPr>
          <w:rFonts w:ascii="Arial" w:hAnsi="Arial" w:eastAsia="Arial" w:cs="Arial"/>
          <w:b w:val="0"/>
          <w:bCs w:val="0"/>
          <w:i w:val="0"/>
          <w:iCs w:val="0"/>
          <w:smallCaps w:val="0"/>
          <w:strike w:val="0"/>
          <w:color w:val="000000"/>
          <w:sz w:val="18"/>
          <w:szCs w:val="18"/>
          <w:u w:val="none"/>
          <w:shd w:val="clear" w:fill="auto"/>
          <w:vertAlign w:val="baseline"/>
          <w:rtl w:val="0"/>
        </w:rPr>
        <w:t xml:space="preserve"> </w:t>
      </w:r>
      <w:hyperlink r:id="rId1">
        <w:r w:rsidRPr="00000000" w:rsidDel="00000000" w:rsidR="00000000">
          <w:rPr>
            <w:rFonts w:ascii="Arial" w:hAnsi="Arial" w:eastAsia="Arial" w:cs="Arial"/>
            <w:b w:val="0"/>
            <w:bCs w:val="0"/>
            <w:i w:val="0"/>
            <w:iCs w:val="0"/>
            <w:smallCaps w:val="0"/>
            <w:strike w:val="0"/>
            <w:color w:val="1155cc"/>
            <w:sz w:val="18"/>
            <w:szCs w:val="18"/>
            <w:u w:val="single"/>
            <w:shd w:val="clear" w:fill="auto"/>
            <w:vertAlign w:val="baseline"/>
            <w:rtl w:val="0"/>
          </w:rPr>
          <w:t xml:space="preserve">https://www.binance.com/en/square/post/6219665527650</w:t>
        </w:r>
      </w:hyperlink>
      <w:r w:rsidRPr="00000000" w:rsidDel="00000000" w:rsidR="00000000">
        <w:rPr>
          <w:rtl w:val="0"/>
        </w:rPr>
      </w:r>
    </w:p>
  </w:footnote>
  <w:footnote w:id="3">
    <w:p w:rsidRPr="00000000" w:rsidR="00000000" w:rsidDel="00000000" w:rsidP="00000000" w:rsidRDefault="00000000" w14:paraId="0000039C">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18"/>
          <w:szCs w:val="18"/>
          <w:u w:val="none"/>
          <w:shd w:val="clear" w:fill="auto"/>
          <w:vertAlign w:val="baseline"/>
        </w:rPr>
      </w:pPr>
      <w:r w:rsidRPr="00000000" w:rsidDel="00000000" w:rsidR="00000000">
        <w:rPr>
          <w:rStyle w:val="FootnoteReference"/>
          <w:vertAlign w:val="superscript"/>
        </w:rPr>
        <w:footnoteRef/>
      </w:r>
      <w:r w:rsidRPr="00000000" w:rsidDel="00000000" w:rsidR="00000000">
        <w:rPr>
          <w:rFonts w:ascii="Arial" w:hAnsi="Arial" w:eastAsia="Arial" w:cs="Arial"/>
          <w:b w:val="0"/>
          <w:bCs w:val="0"/>
          <w:i w:val="0"/>
          <w:iCs w:val="0"/>
          <w:smallCaps w:val="0"/>
          <w:strike w:val="0"/>
          <w:color w:val="000000"/>
          <w:sz w:val="18"/>
          <w:szCs w:val="18"/>
          <w:u w:val="none"/>
          <w:shd w:val="clear" w:fill="auto"/>
          <w:vertAlign w:val="baseline"/>
          <w:rtl w:val="0"/>
        </w:rPr>
        <w:t xml:space="preserve"> As of October 2024, the Internal Suspicious Activity Reporting (SAR) team was renamed to the Financial Crime Investigations (FCI) Team.</w:t>
      </w:r>
    </w:p>
  </w:footnote>
  <w:footnote w:id="4">
    <w:p w:rsidRPr="00000000" w:rsidR="00000000" w:rsidDel="00000000" w:rsidP="00000000" w:rsidRDefault="00000000" w14:paraId="0000039D">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690" w:firstLine="0"/>
        <w:jc w:val="both"/>
        <w:rPr>
          <w:rFonts w:ascii="Arial" w:hAnsi="Arial" w:eastAsia="Arial" w:cs="Arial"/>
          <w:b w:val="0"/>
          <w:bCs w:val="0"/>
          <w:i w:val="0"/>
          <w:iCs w:val="0"/>
          <w:smallCaps w:val="0"/>
          <w:strike w:val="0"/>
          <w:color w:val="000000"/>
          <w:sz w:val="18"/>
          <w:szCs w:val="18"/>
          <w:u w:val="none"/>
          <w:shd w:val="clear" w:fill="auto"/>
          <w:vertAlign w:val="baseline"/>
        </w:rPr>
      </w:pPr>
      <w:r w:rsidRPr="00000000" w:rsidDel="00000000" w:rsidR="00000000">
        <w:rPr>
          <w:rStyle w:val="FootnoteReference"/>
          <w:vertAlign w:val="superscript"/>
        </w:rPr>
        <w:footnoteRef/>
      </w:r>
      <w:r w:rsidRPr="00000000" w:rsidDel="00000000" w:rsidR="00000000">
        <w:rPr>
          <w:rFonts w:ascii="Arial" w:hAnsi="Arial" w:eastAsia="Arial" w:cs="Arial"/>
          <w:b w:val="0"/>
          <w:bCs w:val="0"/>
          <w:i w:val="0"/>
          <w:iCs w:val="0"/>
          <w:smallCaps w:val="0"/>
          <w:strike w:val="0"/>
          <w:color w:val="000000"/>
          <w:sz w:val="18"/>
          <w:szCs w:val="18"/>
          <w:u w:val="none"/>
          <w:shd w:val="clear" w:fill="auto"/>
          <w:vertAlign w:val="baseline"/>
          <w:rtl w:val="0"/>
        </w:rPr>
        <w:t xml:space="preserve"> For natural persons, US indicia includes persons with a US residence or mailing address.  In the context of legal persons, US indicia includes the country of incorporation, registration or formation, the principal place of business, and any controller or beneficial owner of the legal person. </w:t>
      </w:r>
      <w:r w:rsidRPr="00000000" w:rsidDel="00000000" w:rsidR="00000000">
        <w:rPr>
          <w:rFonts w:ascii="Arial" w:hAnsi="Arial" w:eastAsia="Arial" w:cs="Arial"/>
          <w:b w:val="0"/>
          <w:bCs w:val="0"/>
          <w:i w:val="0"/>
          <w:iCs w:val="0"/>
          <w:smallCaps w:val="0"/>
          <w:strike w:val="0"/>
          <w:color w:val="222222"/>
          <w:sz w:val="18"/>
          <w:szCs w:val="18"/>
          <w:u w:val="none"/>
          <w:shd w:val="clear" w:fill="auto"/>
          <w:vertAlign w:val="baseline"/>
          <w:rtl w:val="0"/>
        </w:rPr>
        <w:t xml:space="preserve"> </w:t>
      </w:r>
      <w:r w:rsidRPr="00000000" w:rsidDel="00000000" w:rsidR="00000000">
        <w:rPr>
          <w:rtl w:val="0"/>
        </w:rPr>
      </w:r>
    </w:p>
  </w:footnote>
  <w:footnote w:id="6">
    <w:p w:rsidRPr="00000000" w:rsidR="00000000" w:rsidDel="00000000" w:rsidP="00000000" w:rsidRDefault="00000000" w14:paraId="0000039E">
      <w:pPr>
        <w:keepNext w:val="0"/>
        <w:keepLines w:val="0"/>
        <w:widowControl w:val="1"/>
        <w:pBdr>
          <w:top w:val="nil" w:sz="0" w:space="0"/>
          <w:left w:val="nil" w:sz="0" w:space="0"/>
          <w:bottom w:val="nil" w:sz="0" w:space="0"/>
          <w:right w:val="nil" w:sz="0" w:space="0"/>
          <w:between w:val="nil" w:sz="0" w:space="0"/>
        </w:pBdr>
        <w:shd w:val="clear" w:fill="auto"/>
        <w:spacing w:before="0" w:after="120" w:line="240" w:lineRule="auto"/>
        <w:ind w:left="0" w:right="0" w:firstLine="0"/>
        <w:jc w:val="both"/>
        <w:rPr>
          <w:rFonts w:ascii="Arial" w:hAnsi="Arial" w:eastAsia="Arial" w:cs="Arial"/>
          <w:b w:val="0"/>
          <w:bCs w:val="0"/>
          <w:i w:val="0"/>
          <w:iCs w:val="0"/>
          <w:smallCaps w:val="0"/>
          <w:strike w:val="0"/>
          <w:color w:val="000000"/>
          <w:sz w:val="18"/>
          <w:szCs w:val="18"/>
          <w:u w:val="none"/>
          <w:shd w:val="clear" w:fill="auto"/>
          <w:vertAlign w:val="baseline"/>
        </w:rPr>
      </w:pPr>
      <w:r w:rsidRPr="00000000" w:rsidDel="00000000" w:rsidR="00000000">
        <w:rPr>
          <w:rStyle w:val="FootnoteReference"/>
          <w:vertAlign w:val="superscript"/>
        </w:rPr>
        <w:footnoteRef/>
      </w:r>
      <w:r w:rsidRPr="00000000" w:rsidDel="00000000" w:rsidR="00000000">
        <w:rPr>
          <w:rFonts w:ascii="Arial" w:hAnsi="Arial" w:eastAsia="Arial" w:cs="Arial"/>
          <w:b w:val="0"/>
          <w:bCs w:val="0"/>
          <w:i w:val="0"/>
          <w:iCs w:val="0"/>
          <w:smallCaps w:val="0"/>
          <w:strike w:val="0"/>
          <w:color w:val="000000"/>
          <w:sz w:val="18"/>
          <w:szCs w:val="18"/>
          <w:u w:val="none"/>
          <w:shd w:val="clear" w:fill="auto"/>
          <w:vertAlign w:val="baseline"/>
          <w:rtl w:val="0"/>
        </w:rPr>
        <w:t xml:space="preserve"> The Requests can be sent </w:t>
      </w:r>
      <w:r w:rsidRPr="00000000" w:rsidDel="00000000" w:rsidR="00000000">
        <w:rPr>
          <w:sz w:val="18"/>
          <w:szCs w:val="18"/>
          <w:rtl w:val="0"/>
        </w:rPr>
        <w:t xml:space="preserve">either </w:t>
      </w:r>
      <w:r w:rsidRPr="00000000" w:rsidDel="00000000" w:rsidR="00000000">
        <w:rPr>
          <w:rFonts w:ascii="Arial" w:hAnsi="Arial" w:eastAsia="Arial" w:cs="Arial"/>
          <w:b w:val="0"/>
          <w:bCs w:val="0"/>
          <w:i w:val="0"/>
          <w:iCs w:val="0"/>
          <w:smallCaps w:val="0"/>
          <w:strike w:val="0"/>
          <w:color w:val="000000"/>
          <w:sz w:val="18"/>
          <w:szCs w:val="18"/>
          <w:u w:val="none"/>
          <w:shd w:val="clear" w:fill="auto"/>
          <w:vertAlign w:val="baseline"/>
          <w:rtl w:val="0"/>
        </w:rPr>
        <w:t xml:space="preserve">via regulators to the local compliance teams </w:t>
      </w:r>
      <w:r w:rsidRPr="00000000" w:rsidDel="00000000" w:rsidR="00000000">
        <w:rPr>
          <w:sz w:val="18"/>
          <w:szCs w:val="18"/>
          <w:rtl w:val="0"/>
        </w:rPr>
        <w:t xml:space="preserve">or</w:t>
      </w:r>
      <w:r w:rsidRPr="00000000" w:rsidDel="00000000" w:rsidR="00000000">
        <w:rPr>
          <w:rFonts w:ascii="Arial" w:hAnsi="Arial" w:eastAsia="Arial" w:cs="Arial"/>
          <w:b w:val="0"/>
          <w:bCs w:val="0"/>
          <w:i w:val="0"/>
          <w:iCs w:val="0"/>
          <w:smallCaps w:val="0"/>
          <w:strike w:val="0"/>
          <w:color w:val="000000"/>
          <w:sz w:val="18"/>
          <w:szCs w:val="18"/>
          <w:u w:val="none"/>
          <w:shd w:val="clear" w:fill="auto"/>
          <w:vertAlign w:val="baseline"/>
          <w:rtl w:val="0"/>
        </w:rPr>
        <w:t xml:space="preserve"> submitted via the Kodex portal.</w:t>
      </w:r>
    </w:p>
  </w:footnote>
  <w:footnote w:id="7">
    <w:p w:rsidRPr="00000000" w:rsidR="00000000" w:rsidDel="00000000" w:rsidP="00000000" w:rsidRDefault="00000000" w14:paraId="0000039F">
      <w:pPr>
        <w:keepNext w:val="0"/>
        <w:keepLines w:val="0"/>
        <w:widowControl w:val="1"/>
        <w:pBdr>
          <w:top w:val="nil" w:sz="0" w:space="0"/>
          <w:left w:val="nil" w:sz="0" w:space="0"/>
          <w:bottom w:val="nil" w:sz="0" w:space="0"/>
          <w:right w:val="nil" w:sz="0" w:space="0"/>
          <w:between w:val="nil" w:sz="0" w:space="0"/>
        </w:pBdr>
        <w:shd w:val="clear" w:fill="auto"/>
        <w:spacing w:before="0" w:after="120" w:line="240" w:lineRule="auto"/>
        <w:ind w:left="720" w:right="0" w:hanging="720"/>
        <w:jc w:val="both"/>
        <w:rPr>
          <w:rFonts w:ascii="Arial" w:hAnsi="Arial" w:eastAsia="Arial" w:cs="Arial"/>
          <w:b w:val="0"/>
          <w:bCs w:val="0"/>
          <w:i w:val="0"/>
          <w:iCs w:val="0"/>
          <w:smallCaps w:val="0"/>
          <w:strike w:val="0"/>
          <w:color w:val="000000"/>
          <w:sz w:val="18"/>
          <w:szCs w:val="18"/>
          <w:u w:val="none"/>
          <w:shd w:val="clear" w:fill="auto"/>
          <w:vertAlign w:val="baseline"/>
        </w:rPr>
      </w:pPr>
      <w:r w:rsidRPr="00000000" w:rsidDel="00000000" w:rsidR="00000000">
        <w:rPr>
          <w:rStyle w:val="FootnoteReference"/>
          <w:vertAlign w:val="superscript"/>
        </w:rPr>
        <w:footnoteRef/>
      </w:r>
      <w:r w:rsidRPr="00000000" w:rsidDel="00000000" w:rsidR="00000000">
        <w:rPr>
          <w:rFonts w:ascii="Arial" w:hAnsi="Arial" w:eastAsia="Arial" w:cs="Arial"/>
          <w:b w:val="0"/>
          <w:bCs w:val="0"/>
          <w:i w:val="0"/>
          <w:iCs w:val="0"/>
          <w:smallCaps w:val="0"/>
          <w:strike w:val="0"/>
          <w:color w:val="000000"/>
          <w:sz w:val="18"/>
          <w:szCs w:val="18"/>
          <w:u w:val="none"/>
          <w:shd w:val="clear" w:fill="auto"/>
          <w:vertAlign w:val="baseline"/>
          <w:rtl w:val="0"/>
        </w:rPr>
        <w:t xml:space="preserve"> </w:t>
      </w:r>
      <w:hyperlink r:id="rId2">
        <w:r w:rsidRPr="00000000" w:rsidDel="00000000" w:rsidR="00000000">
          <w:rPr>
            <w:rFonts w:ascii="Arial" w:hAnsi="Arial" w:eastAsia="Arial" w:cs="Arial"/>
            <w:b w:val="0"/>
            <w:bCs w:val="0"/>
            <w:i w:val="0"/>
            <w:iCs w:val="0"/>
            <w:smallCaps w:val="0"/>
            <w:strike w:val="0"/>
            <w:color w:val="1155cc"/>
            <w:sz w:val="18"/>
            <w:szCs w:val="18"/>
            <w:u w:val="single"/>
            <w:shd w:val="clear" w:fill="auto"/>
            <w:vertAlign w:val="baseline"/>
            <w:rtl w:val="0"/>
          </w:rPr>
          <w:t xml:space="preserve">https://bn.my.onetrust.com/data-mapping</w:t>
        </w:r>
      </w:hyperlink>
      <w:r w:rsidRPr="00000000" w:rsidDel="00000000" w:rsidR="00000000">
        <w:rPr>
          <w:rFonts w:ascii="Arial" w:hAnsi="Arial" w:eastAsia="Arial" w:cs="Arial"/>
          <w:b w:val="0"/>
          <w:bCs w:val="0"/>
          <w:i w:val="0"/>
          <w:iCs w:val="0"/>
          <w:smallCaps w:val="0"/>
          <w:strike w:val="0"/>
          <w:color w:val="000000"/>
          <w:sz w:val="18"/>
          <w:szCs w:val="18"/>
          <w:u w:val="none"/>
          <w:shd w:val="clear" w:fill="auto"/>
          <w:vertAlign w:val="baseline"/>
          <w:rtl w:val="0"/>
        </w:rPr>
        <w:t xml:space="preserve">. </w:t>
      </w:r>
    </w:p>
  </w:footnote>
  <w:footnote w:id="8">
    <w:p w:rsidRPr="00000000" w:rsidR="00000000" w:rsidDel="00000000" w:rsidP="00000000" w:rsidRDefault="00000000" w14:paraId="000003A0">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18"/>
          <w:szCs w:val="18"/>
          <w:u w:val="none"/>
          <w:shd w:val="clear" w:fill="auto"/>
          <w:vertAlign w:val="baseline"/>
        </w:rPr>
      </w:pPr>
      <w:r w:rsidRPr="00000000" w:rsidDel="00000000" w:rsidR="00000000">
        <w:rPr>
          <w:rStyle w:val="FootnoteReference"/>
          <w:vertAlign w:val="superscript"/>
        </w:rPr>
        <w:footnoteRef/>
      </w:r>
      <w:r w:rsidRPr="00000000" w:rsidDel="00000000" w:rsidR="00000000">
        <w:rPr>
          <w:rFonts w:ascii="Arial" w:hAnsi="Arial" w:eastAsia="Arial" w:cs="Arial"/>
          <w:b w:val="0"/>
          <w:bCs w:val="0"/>
          <w:i w:val="0"/>
          <w:iCs w:val="0"/>
          <w:smallCaps w:val="0"/>
          <w:strike w:val="0"/>
          <w:color w:val="000000"/>
          <w:sz w:val="18"/>
          <w:szCs w:val="18"/>
          <w:u w:val="none"/>
          <w:shd w:val="clear" w:fill="auto"/>
          <w:vertAlign w:val="baseline"/>
          <w:rtl w:val="0"/>
        </w:rPr>
        <w:t xml:space="preserve"> In accordance with the provisions contained in the Global FCI Guidelines and Procedures. </w:t>
      </w:r>
    </w:p>
  </w:footnote>
  <w:footnote w:id="9">
    <w:p w:rsidRPr="00000000" w:rsidR="00000000" w:rsidDel="00000000" w:rsidP="00000000" w:rsidRDefault="00000000" w14:paraId="000003A1">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510" w:firstLine="0"/>
        <w:jc w:val="both"/>
        <w:rPr>
          <w:rFonts w:ascii="Arial" w:hAnsi="Arial" w:eastAsia="Arial" w:cs="Arial"/>
          <w:b w:val="0"/>
          <w:bCs w:val="0"/>
          <w:i w:val="0"/>
          <w:iCs w:val="0"/>
          <w:smallCaps w:val="0"/>
          <w:strike w:val="0"/>
          <w:color w:val="000000"/>
          <w:sz w:val="18"/>
          <w:szCs w:val="18"/>
          <w:u w:val="none"/>
          <w:shd w:val="clear" w:fill="auto"/>
          <w:vertAlign w:val="baseline"/>
        </w:rPr>
      </w:pPr>
      <w:r w:rsidRPr="00000000" w:rsidDel="00000000" w:rsidR="00000000">
        <w:rPr>
          <w:rStyle w:val="FootnoteReference"/>
          <w:vertAlign w:val="superscript"/>
        </w:rPr>
        <w:footnoteRef/>
      </w:r>
      <w:r w:rsidRPr="00000000" w:rsidDel="00000000" w:rsidR="00000000">
        <w:rPr>
          <w:rFonts w:ascii="Arial" w:hAnsi="Arial" w:eastAsia="Arial" w:cs="Arial"/>
          <w:b w:val="0"/>
          <w:bCs w:val="0"/>
          <w:i w:val="0"/>
          <w:iCs w:val="0"/>
          <w:smallCaps w:val="0"/>
          <w:strike w:val="0"/>
          <w:color w:val="000000"/>
          <w:sz w:val="18"/>
          <w:szCs w:val="18"/>
          <w:u w:val="none"/>
          <w:shd w:val="clear" w:fill="auto"/>
          <w:vertAlign w:val="baseline"/>
          <w:rtl w:val="0"/>
        </w:rPr>
        <w:t xml:space="preserve"> Note that during the transition period it is recognized that it may not be possible to implement all policy changes within the prescribed 3 months period.  It is however expected that material changes will be implemented by the end of the relevant reporting year.</w:t>
      </w:r>
    </w:p>
  </w:footnote>
  <w:footnote w:id="5">
    <w:p w:rsidRPr="00000000" w:rsidR="00000000" w:rsidDel="00000000" w:rsidP="00000000" w:rsidRDefault="00000000" w14:paraId="000003AA">
      <w:pPr>
        <w:spacing w:line="240" w:lineRule="auto"/>
        <w:ind w:left="180" w:hanging="180"/>
        <w:rPr>
          <w:sz w:val="20"/>
          <w:szCs w:val="20"/>
        </w:rPr>
      </w:pPr>
      <w:r w:rsidRPr="00000000" w:rsidDel="00000000" w:rsidR="00000000">
        <w:rPr>
          <w:rStyle w:val="FootnoteReference"/>
          <w:vertAlign w:val="superscript"/>
        </w:rPr>
        <w:footnoteRef/>
      </w:r>
      <w:r w:rsidRPr="00000000" w:rsidDel="00000000" w:rsidR="00000000">
        <w:rPr>
          <w:sz w:val="20"/>
          <w:szCs w:val="20"/>
          <w:rtl w:val="0"/>
        </w:rPr>
        <w:t xml:space="preserve"> The ADGM Rulebook defines the term “Sanctions” to include “any law executing foreign policy, security, sanction, trade embargo, or anti-terrorism objectives or similar restrictions imposed, administered or enforced from time to time by (a) the UAE; (b) the United Nations Security Council; (c) the European Union; (d) HM Treasury of the United Kingdom; (e) the Office of Foreign Assets Control (OFAC) of the U.S. Department of the Treasury; (f) any other relevant governmental authority; (g) any relevant inter-governmental or supra-national authority; or (h) any of their successors.” From this list, the ADGM entities are subject to UN and UAE sanctions. Additionally, the BGSP requires all Binance entities to comply with relevant OFAC sanctions globally.</w:t>
      </w:r>
    </w:p>
    <w:p w:rsidRPr="00000000" w:rsidR="00000000" w:rsidDel="00000000" w:rsidP="00000000" w:rsidRDefault="00000000" w14:paraId="000003AB">
      <w:pPr>
        <w:spacing w:line="240" w:lineRule="auto"/>
        <w:rPr>
          <w:sz w:val="20"/>
          <w:szCs w:val="20"/>
        </w:rPr>
      </w:pPr>
      <w:r w:rsidRPr="00000000" w:rsidDel="00000000" w:rsid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3A2">
    <w:pPr>
      <w:keepNext w:val="0"/>
      <w:keepLines w:val="0"/>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706"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3A3">
    <w:pPr>
      <w:keepNext w:val="0"/>
      <w:keepLines w:val="0"/>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706"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79" w:hanging="359.9999999999998"/>
      </w:pPr>
      <w:rPr>
        <w:rFonts w:ascii="Noto Sans Symbols" w:cs="Noto Sans Symbols" w:eastAsia="Noto Sans Symbols" w:hAnsi="Noto Sans Symbols"/>
      </w:rPr>
    </w:lvl>
    <w:lvl w:ilvl="1">
      <w:start w:val="1"/>
      <w:numFmt w:val="bullet"/>
      <w:lvlText w:val="o"/>
      <w:lvlJc w:val="left"/>
      <w:pPr>
        <w:ind w:left="1499" w:hanging="360"/>
      </w:pPr>
      <w:rPr>
        <w:rFonts w:ascii="Courier New" w:cs="Courier New" w:eastAsia="Courier New" w:hAnsi="Courier New"/>
      </w:rPr>
    </w:lvl>
    <w:lvl w:ilvl="2">
      <w:start w:val="1"/>
      <w:numFmt w:val="bullet"/>
      <w:lvlText w:val="▪"/>
      <w:lvlJc w:val="left"/>
      <w:pPr>
        <w:ind w:left="2219" w:hanging="360"/>
      </w:pPr>
      <w:rPr>
        <w:rFonts w:ascii="Noto Sans Symbols" w:cs="Noto Sans Symbols" w:eastAsia="Noto Sans Symbols" w:hAnsi="Noto Sans Symbols"/>
      </w:rPr>
    </w:lvl>
    <w:lvl w:ilvl="3">
      <w:start w:val="1"/>
      <w:numFmt w:val="bullet"/>
      <w:lvlText w:val="●"/>
      <w:lvlJc w:val="left"/>
      <w:pPr>
        <w:ind w:left="2939" w:hanging="360"/>
      </w:pPr>
      <w:rPr>
        <w:rFonts w:ascii="Noto Sans Symbols" w:cs="Noto Sans Symbols" w:eastAsia="Noto Sans Symbols" w:hAnsi="Noto Sans Symbols"/>
      </w:rPr>
    </w:lvl>
    <w:lvl w:ilvl="4">
      <w:start w:val="1"/>
      <w:numFmt w:val="bullet"/>
      <w:lvlText w:val="o"/>
      <w:lvlJc w:val="left"/>
      <w:pPr>
        <w:ind w:left="3659" w:hanging="360"/>
      </w:pPr>
      <w:rPr>
        <w:rFonts w:ascii="Courier New" w:cs="Courier New" w:eastAsia="Courier New" w:hAnsi="Courier New"/>
      </w:rPr>
    </w:lvl>
    <w:lvl w:ilvl="5">
      <w:start w:val="1"/>
      <w:numFmt w:val="bullet"/>
      <w:lvlText w:val="▪"/>
      <w:lvlJc w:val="left"/>
      <w:pPr>
        <w:ind w:left="4379" w:hanging="360"/>
      </w:pPr>
      <w:rPr>
        <w:rFonts w:ascii="Noto Sans Symbols" w:cs="Noto Sans Symbols" w:eastAsia="Noto Sans Symbols" w:hAnsi="Noto Sans Symbols"/>
      </w:rPr>
    </w:lvl>
    <w:lvl w:ilvl="6">
      <w:start w:val="1"/>
      <w:numFmt w:val="bullet"/>
      <w:lvlText w:val="●"/>
      <w:lvlJc w:val="left"/>
      <w:pPr>
        <w:ind w:left="5099" w:hanging="360"/>
      </w:pPr>
      <w:rPr>
        <w:rFonts w:ascii="Noto Sans Symbols" w:cs="Noto Sans Symbols" w:eastAsia="Noto Sans Symbols" w:hAnsi="Noto Sans Symbols"/>
      </w:rPr>
    </w:lvl>
    <w:lvl w:ilvl="7">
      <w:start w:val="1"/>
      <w:numFmt w:val="bullet"/>
      <w:lvlText w:val="o"/>
      <w:lvlJc w:val="left"/>
      <w:pPr>
        <w:ind w:left="5819" w:hanging="360"/>
      </w:pPr>
      <w:rPr>
        <w:rFonts w:ascii="Courier New" w:cs="Courier New" w:eastAsia="Courier New" w:hAnsi="Courier New"/>
      </w:rPr>
    </w:lvl>
    <w:lvl w:ilvl="8">
      <w:start w:val="1"/>
      <w:numFmt w:val="bullet"/>
      <w:lvlText w:val="▪"/>
      <w:lvlJc w:val="left"/>
      <w:pPr>
        <w:ind w:left="6539"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720"/>
      </w:pPr>
      <w:rPr>
        <w:rFonts w:ascii="Arial" w:cs="Arial" w:eastAsia="Arial" w:hAnsi="Arial"/>
        <w:b w:val="1"/>
        <w:bCs w:val="1"/>
        <w:sz w:val="28"/>
        <w:szCs w:val="28"/>
      </w:rPr>
    </w:lvl>
    <w:lvl w:ilvl="1">
      <w:start w:val="1"/>
      <w:numFmt w:val="decimal"/>
      <w:lvlText w:val="%1.%2"/>
      <w:lvlJc w:val="left"/>
      <w:pPr>
        <w:ind w:left="720" w:hanging="720"/>
      </w:pPr>
      <w:rPr>
        <w:rFonts w:ascii="Arial" w:cs="Arial" w:eastAsia="Arial" w:hAnsi="Arial"/>
        <w:b w:val="1"/>
        <w:bCs w:val="1"/>
        <w:sz w:val="24"/>
        <w:szCs w:val="24"/>
      </w:rPr>
    </w:lvl>
    <w:lvl w:ilvl="2">
      <w:start w:val="1"/>
      <w:numFmt w:val="decimal"/>
      <w:lvlText w:val="%1.%2.%3"/>
      <w:lvlJc w:val="left"/>
      <w:pPr>
        <w:ind w:left="720" w:hanging="720"/>
      </w:pPr>
      <w:rPr>
        <w:rFonts w:ascii="Arial" w:cs="Arial" w:eastAsia="Arial" w:hAnsi="Arial"/>
        <w:b w:val="0"/>
        <w:bCs w:val="0"/>
        <w:color w:val="000000"/>
        <w:sz w:val="22"/>
        <w:szCs w:val="22"/>
        <w:shd w:fill="auto" w:val="clear"/>
      </w:rPr>
    </w:lvl>
    <w:lvl w:ilvl="3">
      <w:start w:val="1"/>
      <w:numFmt w:val="lowerLetter"/>
      <w:lvlText w:val="%4)"/>
      <w:lvlJc w:val="left"/>
      <w:pPr>
        <w:ind w:left="1440" w:hanging="720"/>
      </w:pPr>
      <w:rPr>
        <w:color w:val="000000"/>
        <w:sz w:val="24"/>
        <w:szCs w:val="24"/>
        <w:u w:val="none"/>
      </w:rPr>
    </w:lvl>
    <w:lvl w:ilvl="4">
      <w:start w:val="1"/>
      <w:numFmt w:val="decimal"/>
      <w:lvlText w:val="%5."/>
      <w:lvlJc w:val="left"/>
      <w:pPr>
        <w:ind w:left="1440" w:hanging="720"/>
      </w:pPr>
      <w:rPr/>
    </w:lvl>
    <w:lvl w:ilvl="5">
      <w:start w:val="1"/>
      <w:numFmt w:val="decimal"/>
      <w:lvlText w:val="Appendix %6"/>
      <w:lvlJc w:val="left"/>
      <w:pPr>
        <w:ind w:left="0" w:firstLine="0"/>
      </w:pPr>
      <w:rPr>
        <w:b w:val="1"/>
        <w:bCs w:val="1"/>
        <w:smallCaps w:val="0"/>
      </w:rPr>
    </w:lvl>
    <w:lvl w:ilvl="6">
      <w:start w:val="1"/>
      <w:numFmt w:val="decimal"/>
      <w:lvlText w:val=""/>
      <w:lvlJc w:val="left"/>
      <w:pPr>
        <w:ind w:left="0" w:firstLine="0"/>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embedTrueTypeFonts w:val="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hAnsi="Arial" w:eastAsia="Arial" w:cs="Arial"/>
        <w:sz w:val="22"/>
        <w:szCs w:val="22"/>
        <w:lang w:val="en_GB"/>
      </w:rPr>
    </w:rPrDefault>
    <w:pPrDefault>
      <w:pPr>
        <w:spacing w:line="360" w:lineRule="auto"/>
        <w:ind w:left="706"/>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lineRule="auto"/>
      <w:ind w:left="720" w:hanging="720"/>
    </w:pPr>
    <w:rPr>
      <w:b w:val="1"/>
      <w:bCs w:val="1"/>
    </w:rPr>
  </w:style>
  <w:style w:type="paragraph" w:styleId="Heading2">
    <w:name w:val="heading 2"/>
    <w:basedOn w:val="Normal"/>
    <w:next w:val="Normal"/>
    <w:pPr>
      <w:keepNext w:val="1"/>
      <w:keepLines w:val="1"/>
      <w:spacing w:after="120" w:lineRule="auto"/>
      <w:ind w:left="720" w:hanging="720"/>
    </w:pPr>
    <w:rPr>
      <w:b w:val="1"/>
      <w:bCs w:val="1"/>
    </w:rPr>
  </w:style>
  <w:style w:type="paragraph" w:styleId="Heading3">
    <w:name w:val="heading 3"/>
    <w:basedOn w:val="Normal"/>
    <w:next w:val="Normal"/>
    <w:pPr>
      <w:spacing w:after="120" w:lineRule="auto"/>
      <w:ind w:left="720" w:hanging="720"/>
    </w:pPr>
    <w:rPr/>
  </w:style>
  <w:style w:type="paragraph" w:styleId="Heading4">
    <w:name w:val="heading 4"/>
    <w:basedOn w:val="Normal"/>
    <w:next w:val="Normal"/>
    <w:pPr>
      <w:spacing w:after="120" w:lineRule="auto"/>
      <w:ind w:left="1440" w:hanging="720"/>
    </w:pPr>
    <w:rPr/>
  </w:style>
  <w:style w:type="paragraph" w:styleId="Heading5">
    <w:name w:val="heading 5"/>
    <w:basedOn w:val="Normal"/>
    <w:next w:val="Normal"/>
    <w:pPr>
      <w:spacing w:after="120" w:lineRule="auto"/>
      <w:ind w:left="1440" w:hanging="720"/>
    </w:pPr>
    <w:rPr/>
  </w:style>
  <w:style w:type="paragraph" w:styleId="Heading6">
    <w:name w:val="heading 6"/>
    <w:basedOn w:val="Normal"/>
    <w:next w:val="Normal"/>
    <w:pPr>
      <w:spacing w:after="120" w:lineRule="auto"/>
      <w:ind w:left="0" w:firstLine="0"/>
    </w:pPr>
    <w:rPr>
      <w:b w:val="1"/>
      <w:bCs w:val="1"/>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unhideWhenUsed w:val="1"/>
    <w:qFormat w:val="1"/>
    <w:rsid w:val="00566C16"/>
    <w:pPr>
      <w:numPr>
        <w:ilvl w:val="6"/>
        <w:numId w:val="4"/>
      </w:numPr>
      <w:spacing w:after="120"/>
      <w:outlineLvl w:val="6"/>
    </w:pPr>
    <w:rPr>
      <w:rFonts w:eastAsiaTheme="majorEastAsia" w:cstheme="majorBidi"/>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0"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1"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2"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3"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4"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5"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6"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7"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8"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9"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a"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b"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c"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d"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e"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f"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f0"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f1"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f2"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f3"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f4"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f5"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f6"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f7"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f8"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f9"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fa"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fb"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fc"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fd"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fe"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ff"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ff0"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ff1"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ff2"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ff3"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ff4"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ff5"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unhideWhenUsed w:val="1"/>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CommentSubject">
    <w:name w:val="annotation subject"/>
    <w:basedOn w:val="CommentText"/>
    <w:next w:val="CommentText"/>
    <w:link w:val="CommentSubjectChar"/>
    <w:uiPriority w:val="99"/>
    <w:semiHidden w:val="1"/>
    <w:unhideWhenUsed w:val="1"/>
    <w:rsid w:val="0003099B"/>
    <w:rPr>
      <w:b w:val="1"/>
      <w:bCs w:val="1"/>
    </w:rPr>
  </w:style>
  <w:style w:type="character" w:styleId="CommentSubjectChar" w:customStyle="1">
    <w:name w:val="Comment Subject Char"/>
    <w:basedOn w:val="CommentTextChar"/>
    <w:link w:val="CommentSubject"/>
    <w:uiPriority w:val="99"/>
    <w:semiHidden w:val="1"/>
    <w:rsid w:val="0003099B"/>
    <w:rPr>
      <w:b w:val="1"/>
      <w:bCs w:val="1"/>
      <w:sz w:val="20"/>
      <w:szCs w:val="20"/>
    </w:rPr>
  </w:style>
  <w:style w:type="paragraph" w:styleId="Revision">
    <w:name w:val="Revision"/>
    <w:hidden w:val="1"/>
    <w:uiPriority w:val="99"/>
    <w:semiHidden w:val="1"/>
    <w:rsid w:val="0003099B"/>
    <w:pPr>
      <w:spacing w:line="240" w:lineRule="auto"/>
    </w:pPr>
  </w:style>
  <w:style w:type="paragraph" w:styleId="ListParagraph">
    <w:name w:val="List Paragraph"/>
    <w:aliases w:val="Bullet (use only this bullet),Margentekst,MargentekstCxSpLast"/>
    <w:basedOn w:val="Normal"/>
    <w:link w:val="ListParagraphChar"/>
    <w:uiPriority w:val="34"/>
    <w:qFormat w:val="1"/>
    <w:rsid w:val="00365402"/>
    <w:pPr>
      <w:ind w:left="720"/>
      <w:contextualSpacing w:val="1"/>
    </w:pPr>
  </w:style>
  <w:style w:type="paragraph" w:styleId="NormalWeb">
    <w:name w:val="Normal (Web)"/>
    <w:basedOn w:val="Normal"/>
    <w:uiPriority w:val="99"/>
    <w:semiHidden w:val="1"/>
    <w:unhideWhenUsed w:val="1"/>
    <w:rsid w:val="00C93D79"/>
    <w:pPr>
      <w:spacing w:before="100" w:beforeAutospacing="1" w:after="100" w:afterAutospacing="1" w:line="240" w:lineRule="auto"/>
    </w:pPr>
    <w:rPr>
      <w:rFonts w:ascii="Times New Roman" w:hAnsi="Times New Roman" w:eastAsia="Times New Roman" w:cs="Times New Roman"/>
      <w:sz w:val="24"/>
      <w:szCs w:val="24"/>
      <w:lang w:val="en-SG"/>
    </w:rPr>
  </w:style>
  <w:style w:type="character" w:styleId="apple-converted-space" w:customStyle="1">
    <w:name w:val="apple-converted-space"/>
    <w:basedOn w:val="DefaultParagraphFont"/>
    <w:rsid w:val="00C93D79"/>
  </w:style>
  <w:style w:type="character" w:styleId="Emphasis">
    <w:name w:val="Emphasis"/>
    <w:basedOn w:val="DefaultParagraphFont"/>
    <w:uiPriority w:val="20"/>
    <w:qFormat w:val="1"/>
    <w:rsid w:val="00C93D79"/>
    <w:rPr>
      <w:i w:val="1"/>
      <w:iCs w:val="1"/>
    </w:rPr>
  </w:style>
  <w:style w:type="paragraph" w:styleId="TOC1">
    <w:name w:val="toc 1"/>
    <w:basedOn w:val="Normal"/>
    <w:next w:val="Normal"/>
    <w:autoRedefine w:val="1"/>
    <w:uiPriority w:val="39"/>
    <w:unhideWhenUsed w:val="1"/>
    <w:rsid w:val="00AB7DBC"/>
    <w:pPr>
      <w:tabs>
        <w:tab w:val="right" w:leader="dot" w:pos="9360"/>
      </w:tabs>
      <w:spacing w:after="120" w:line="240" w:lineRule="auto"/>
      <w:ind w:left="720" w:right="-61" w:hanging="720"/>
    </w:pPr>
  </w:style>
  <w:style w:type="paragraph" w:styleId="TOC2">
    <w:name w:val="toc 2"/>
    <w:basedOn w:val="Normal"/>
    <w:next w:val="Normal"/>
    <w:autoRedefine w:val="1"/>
    <w:uiPriority w:val="39"/>
    <w:unhideWhenUsed w:val="1"/>
    <w:rsid w:val="00AB7DBC"/>
    <w:pPr>
      <w:tabs>
        <w:tab w:val="left" w:pos="720"/>
        <w:tab w:val="right" w:leader="dot" w:pos="9360"/>
      </w:tabs>
      <w:spacing w:after="120" w:line="240" w:lineRule="auto"/>
      <w:ind w:left="1440" w:right="-61" w:hanging="720"/>
      <w:jc w:val="left"/>
    </w:pPr>
  </w:style>
  <w:style w:type="paragraph" w:styleId="TOC3">
    <w:name w:val="toc 3"/>
    <w:basedOn w:val="Normal"/>
    <w:next w:val="Normal"/>
    <w:autoRedefine w:val="1"/>
    <w:uiPriority w:val="39"/>
    <w:unhideWhenUsed w:val="1"/>
    <w:rsid w:val="00166A37"/>
    <w:pPr>
      <w:tabs>
        <w:tab w:val="right" w:leader="dot" w:pos="9360"/>
      </w:tabs>
      <w:spacing w:after="120" w:line="240" w:lineRule="auto"/>
      <w:ind w:left="0" w:right="-61"/>
      <w:jc w:val="left"/>
    </w:pPr>
  </w:style>
  <w:style w:type="character" w:styleId="Hyperlink">
    <w:name w:val="Hyperlink"/>
    <w:basedOn w:val="DefaultParagraphFont"/>
    <w:uiPriority w:val="99"/>
    <w:unhideWhenUsed w:val="1"/>
    <w:rsid w:val="005C1B61"/>
    <w:rPr>
      <w:color w:val="0000ff" w:themeColor="hyperlink"/>
      <w:u w:val="single"/>
    </w:rPr>
  </w:style>
  <w:style w:type="paragraph" w:styleId="TOC4">
    <w:name w:val="toc 4"/>
    <w:basedOn w:val="Normal"/>
    <w:next w:val="Normal"/>
    <w:autoRedefine w:val="1"/>
    <w:uiPriority w:val="39"/>
    <w:unhideWhenUsed w:val="1"/>
    <w:rsid w:val="00166A37"/>
    <w:pPr>
      <w:tabs>
        <w:tab w:val="right" w:leader="dot" w:pos="9360"/>
      </w:tabs>
      <w:spacing w:after="120" w:line="240" w:lineRule="auto"/>
      <w:ind w:left="720" w:right="-61"/>
      <w:jc w:val="left"/>
    </w:pPr>
    <w:rPr>
      <w:rFonts w:eastAsiaTheme="minorEastAsia" w:cstheme="minorBidi"/>
      <w:noProof w:val="1"/>
      <w:szCs w:val="24"/>
      <w:lang w:val="en-SG"/>
    </w:rPr>
  </w:style>
  <w:style w:type="paragraph" w:styleId="TOC5">
    <w:name w:val="toc 5"/>
    <w:basedOn w:val="Normal"/>
    <w:next w:val="Normal"/>
    <w:autoRedefine w:val="1"/>
    <w:uiPriority w:val="39"/>
    <w:unhideWhenUsed w:val="1"/>
    <w:rsid w:val="00684578"/>
    <w:pPr>
      <w:spacing w:after="100" w:line="240" w:lineRule="auto"/>
      <w:ind w:left="960"/>
    </w:pPr>
    <w:rPr>
      <w:rFonts w:asciiTheme="minorHAnsi" w:hAnsiTheme="minorHAnsi" w:eastAsiaTheme="minorEastAsia" w:cstheme="minorBidi"/>
      <w:sz w:val="24"/>
      <w:szCs w:val="24"/>
      <w:lang w:val="en-SG"/>
    </w:rPr>
  </w:style>
  <w:style w:type="paragraph" w:styleId="TOC6">
    <w:name w:val="toc 6"/>
    <w:basedOn w:val="Normal"/>
    <w:next w:val="Normal"/>
    <w:autoRedefine w:val="1"/>
    <w:uiPriority w:val="39"/>
    <w:unhideWhenUsed w:val="1"/>
    <w:rsid w:val="00684578"/>
    <w:pPr>
      <w:spacing w:after="100" w:line="240" w:lineRule="auto"/>
      <w:ind w:left="1200"/>
    </w:pPr>
    <w:rPr>
      <w:rFonts w:asciiTheme="minorHAnsi" w:hAnsiTheme="minorHAnsi" w:eastAsiaTheme="minorEastAsia" w:cstheme="minorBidi"/>
      <w:sz w:val="24"/>
      <w:szCs w:val="24"/>
      <w:lang w:val="en-SG"/>
    </w:rPr>
  </w:style>
  <w:style w:type="paragraph" w:styleId="TOC7">
    <w:name w:val="toc 7"/>
    <w:basedOn w:val="Normal"/>
    <w:next w:val="Normal"/>
    <w:autoRedefine w:val="1"/>
    <w:uiPriority w:val="39"/>
    <w:unhideWhenUsed w:val="1"/>
    <w:rsid w:val="00684578"/>
    <w:pPr>
      <w:spacing w:after="100" w:line="240" w:lineRule="auto"/>
      <w:ind w:left="1440"/>
    </w:pPr>
    <w:rPr>
      <w:rFonts w:asciiTheme="minorHAnsi" w:hAnsiTheme="minorHAnsi" w:eastAsiaTheme="minorEastAsia" w:cstheme="minorBidi"/>
      <w:sz w:val="24"/>
      <w:szCs w:val="24"/>
      <w:lang w:val="en-SG"/>
    </w:rPr>
  </w:style>
  <w:style w:type="paragraph" w:styleId="TOC8">
    <w:name w:val="toc 8"/>
    <w:basedOn w:val="Normal"/>
    <w:next w:val="Normal"/>
    <w:autoRedefine w:val="1"/>
    <w:uiPriority w:val="39"/>
    <w:unhideWhenUsed w:val="1"/>
    <w:rsid w:val="00684578"/>
    <w:pPr>
      <w:spacing w:after="100" w:line="240" w:lineRule="auto"/>
      <w:ind w:left="1680"/>
    </w:pPr>
    <w:rPr>
      <w:rFonts w:asciiTheme="minorHAnsi" w:hAnsiTheme="minorHAnsi" w:eastAsiaTheme="minorEastAsia" w:cstheme="minorBidi"/>
      <w:sz w:val="24"/>
      <w:szCs w:val="24"/>
      <w:lang w:val="en-SG"/>
    </w:rPr>
  </w:style>
  <w:style w:type="paragraph" w:styleId="TOC9">
    <w:name w:val="toc 9"/>
    <w:basedOn w:val="Normal"/>
    <w:next w:val="Normal"/>
    <w:autoRedefine w:val="1"/>
    <w:uiPriority w:val="39"/>
    <w:unhideWhenUsed w:val="1"/>
    <w:rsid w:val="00684578"/>
    <w:pPr>
      <w:spacing w:after="100" w:line="240" w:lineRule="auto"/>
      <w:ind w:left="1920"/>
    </w:pPr>
    <w:rPr>
      <w:rFonts w:asciiTheme="minorHAnsi" w:hAnsiTheme="minorHAnsi" w:eastAsiaTheme="minorEastAsia" w:cstheme="minorBidi"/>
      <w:sz w:val="24"/>
      <w:szCs w:val="24"/>
      <w:lang w:val="en-SG"/>
    </w:rPr>
  </w:style>
  <w:style w:type="character" w:styleId="UnresolvedMention">
    <w:name w:val="Unresolved Mention"/>
    <w:basedOn w:val="DefaultParagraphFont"/>
    <w:uiPriority w:val="99"/>
    <w:semiHidden w:val="1"/>
    <w:unhideWhenUsed w:val="1"/>
    <w:rsid w:val="00684578"/>
    <w:rPr>
      <w:color w:val="605e5c"/>
      <w:shd w:val="clear" w:color="auto" w:fill="e1dfdd"/>
    </w:rPr>
  </w:style>
  <w:style w:type="table" w:styleId="TableGrid">
    <w:name w:val="Table Grid"/>
    <w:basedOn w:val="TableNormal"/>
    <w:uiPriority w:val="39"/>
    <w:rsid w:val="00EE0FA8"/>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ff6"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ff7"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ff8"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ff9" w:customStyle="1">
    <w:basedOn w:val="TableNormal"/>
    <w:tblPr>
      <w:tblStyleRowBandSize w:val="1"/>
      <w:tblStyleColBandSize w:val="1"/>
      <w:tblCellMar>
        <w:top w:w="100.0" w:type="dxa"/>
        <w:left w:w="100.0" w:type="dxa"/>
        <w:bottom w:w="100.0" w:type="dxa"/>
        <w:right w:w="100.0" w:type="dxa"/>
      </w:tblCellMar>
    </w:tblPr>
  </w:style>
  <w:style w:type="table" w:styleId="affa"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ffb"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ffc" w:customStyle="1">
    <w:basedOn w:val="TableNormal"/>
    <w:tblPr>
      <w:tblStyleRowBandSize w:val="1"/>
      <w:tblStyleColBandSize w:val="1"/>
      <w:tblCellMar>
        <w:top w:w="100.0" w:type="dxa"/>
        <w:left w:w="100.0" w:type="dxa"/>
        <w:bottom w:w="100.0" w:type="dxa"/>
        <w:right w:w="100.0" w:type="dxa"/>
      </w:tblCellMar>
    </w:tblPr>
  </w:style>
  <w:style w:type="table" w:styleId="affd"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ffe"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fff"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fff0"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fff1"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fff2"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fff3"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character" w:styleId="SubtleEmphasis">
    <w:name w:val="Subtle Emphasis"/>
    <w:basedOn w:val="DefaultParagraphFont"/>
    <w:uiPriority w:val="19"/>
    <w:qFormat w:val="1"/>
    <w:rsid w:val="00D17345"/>
    <w:rPr>
      <w:i w:val="1"/>
      <w:iCs w:val="1"/>
      <w:color w:val="404040" w:themeColor="text1" w:themeTint="0000BF"/>
    </w:rPr>
  </w:style>
  <w:style w:type="character" w:styleId="apple-tab-span" w:customStyle="1">
    <w:name w:val="apple-tab-span"/>
    <w:basedOn w:val="DefaultParagraphFont"/>
    <w:rsid w:val="0076637B"/>
  </w:style>
  <w:style w:type="paragraph" w:styleId="Header">
    <w:name w:val="header"/>
    <w:basedOn w:val="Normal"/>
    <w:link w:val="HeaderChar"/>
    <w:uiPriority w:val="99"/>
    <w:unhideWhenUsed w:val="1"/>
    <w:rsid w:val="00421D7D"/>
    <w:pPr>
      <w:tabs>
        <w:tab w:val="center" w:pos="4513"/>
        <w:tab w:val="right" w:pos="9026"/>
      </w:tabs>
      <w:spacing w:line="240" w:lineRule="auto"/>
    </w:pPr>
  </w:style>
  <w:style w:type="character" w:styleId="HeaderChar" w:customStyle="1">
    <w:name w:val="Header Char"/>
    <w:basedOn w:val="DefaultParagraphFont"/>
    <w:link w:val="Header"/>
    <w:uiPriority w:val="99"/>
    <w:rsid w:val="005059A6"/>
  </w:style>
  <w:style w:type="paragraph" w:styleId="Footer">
    <w:name w:val="footer"/>
    <w:basedOn w:val="Normal"/>
    <w:link w:val="FooterChar"/>
    <w:uiPriority w:val="99"/>
    <w:unhideWhenUsed w:val="1"/>
    <w:rsid w:val="00421D7D"/>
    <w:pPr>
      <w:tabs>
        <w:tab w:val="center" w:pos="4513"/>
        <w:tab w:val="right" w:pos="9026"/>
      </w:tabs>
      <w:spacing w:line="240" w:lineRule="auto"/>
    </w:pPr>
  </w:style>
  <w:style w:type="character" w:styleId="FooterChar" w:customStyle="1">
    <w:name w:val="Footer Char"/>
    <w:basedOn w:val="DefaultParagraphFont"/>
    <w:link w:val="Footer"/>
    <w:uiPriority w:val="99"/>
    <w:rsid w:val="005059A6"/>
  </w:style>
  <w:style w:type="character" w:styleId="cf01" w:customStyle="1">
    <w:name w:val="cf01"/>
    <w:basedOn w:val="DefaultParagraphFont"/>
    <w:rsid w:val="005059A6"/>
    <w:rPr>
      <w:rFonts w:hint="default" w:ascii="Segoe UI" w:hAnsi="Segoe UI" w:cs="Segoe UI"/>
      <w:sz w:val="18"/>
      <w:szCs w:val="18"/>
    </w:rPr>
  </w:style>
  <w:style w:type="table" w:styleId="afff4" w:customSty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afff5" w:customSty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afff6" w:customSty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afff7" w:customStyle="1">
    <w:basedOn w:val="TableNormal"/>
    <w:tblPr>
      <w:tblStyleRowBandSize w:val="1"/>
      <w:tblStyleColBandSize w:val="1"/>
      <w:tblCellMar>
        <w:top w:w="100.0" w:type="dxa"/>
        <w:left w:w="100.0" w:type="dxa"/>
        <w:bottom w:w="100.0" w:type="dxa"/>
        <w:right w:w="100.0" w:type="dxa"/>
      </w:tblCellMar>
    </w:tblPr>
  </w:style>
  <w:style w:type="table" w:styleId="afff8"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fff9"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fffa"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fffb"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fffc"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fffd"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fffe"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affff" w:customSty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paragraph" w:styleId="Default" w:customStyle="1">
    <w:name w:val="Default"/>
    <w:rsid w:val="00733567"/>
    <w:pPr>
      <w:autoSpaceDE w:val="0"/>
      <w:autoSpaceDN w:val="0"/>
      <w:adjustRightInd w:val="0"/>
      <w:spacing w:line="240" w:lineRule="auto"/>
      <w:ind w:left="0"/>
      <w:jc w:val="left"/>
    </w:pPr>
    <w:rPr>
      <w:rFonts w:ascii="Calibri" w:hAnsi="Calibri" w:cs="Calibri" w:eastAsiaTheme="minorHAnsi"/>
      <w:color w:val="000000"/>
      <w:sz w:val="24"/>
      <w:szCs w:val="24"/>
      <w:lang w:val="en-US"/>
    </w:rPr>
  </w:style>
  <w:style w:type="character" w:styleId="ListParagraphChar" w:customStyle="1">
    <w:name w:val="List Paragraph Char"/>
    <w:aliases w:val="Bullet (use only this bullet) Char,Margentekst Char,MargentekstCxSpLast Char"/>
    <w:basedOn w:val="DefaultParagraphFont"/>
    <w:link w:val="ListParagraph"/>
    <w:uiPriority w:val="34"/>
    <w:rsid w:val="001E3E5E"/>
  </w:style>
  <w:style w:type="table" w:styleId="TableGrid1" w:customStyle="1">
    <w:name w:val="Table Grid1"/>
    <w:basedOn w:val="TableNormal"/>
    <w:next w:val="TableGrid"/>
    <w:uiPriority w:val="39"/>
    <w:rsid w:val="00670E5B"/>
    <w:pPr>
      <w:spacing w:line="240" w:lineRule="auto"/>
      <w:ind w:left="0"/>
      <w:jc w:val="left"/>
    </w:pPr>
    <w:rPr>
      <w:rFonts w:ascii="Calibri" w:hAnsi="Calibri" w:eastAsia="Calibri" w:cs="Times New Roman"/>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2" w:customStyle="1">
    <w:name w:val="Table Grid2"/>
    <w:basedOn w:val="TableNormal"/>
    <w:next w:val="TableGrid"/>
    <w:uiPriority w:val="39"/>
    <w:rsid w:val="00012205"/>
    <w:pPr>
      <w:spacing w:line="240" w:lineRule="auto"/>
      <w:ind w:left="0"/>
      <w:jc w:val="left"/>
    </w:pPr>
    <w:rPr>
      <w:rFonts w:ascii="Calibri" w:hAnsi="Calibri" w:eastAsia="Calibri" w:cs="Times New Roman"/>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3" w:customStyle="1">
    <w:name w:val="Table Grid3"/>
    <w:basedOn w:val="TableNormal"/>
    <w:next w:val="TableGrid"/>
    <w:uiPriority w:val="39"/>
    <w:rsid w:val="00413D7D"/>
    <w:pPr>
      <w:spacing w:line="240" w:lineRule="auto"/>
      <w:ind w:left="0"/>
      <w:jc w:val="left"/>
    </w:pPr>
    <w:rPr>
      <w:rFonts w:ascii="Calibri" w:hAnsi="Calibri" w:eastAsia="Calibri" w:cs="Times New Roman"/>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4" w:customStyle="1">
    <w:name w:val="Table Grid4"/>
    <w:basedOn w:val="TableNormal"/>
    <w:next w:val="TableGrid"/>
    <w:uiPriority w:val="39"/>
    <w:rsid w:val="00BD0D56"/>
    <w:pPr>
      <w:spacing w:line="240" w:lineRule="auto"/>
      <w:ind w:left="0"/>
      <w:jc w:val="left"/>
    </w:pPr>
    <w:rPr>
      <w:rFonts w:ascii="Calibri" w:hAnsi="Calibri" w:eastAsia="Calibri" w:cs="Times New Roman"/>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5" w:customStyle="1">
    <w:name w:val="Table Grid5"/>
    <w:basedOn w:val="TableNormal"/>
    <w:next w:val="TableGrid"/>
    <w:uiPriority w:val="39"/>
    <w:rsid w:val="0017055A"/>
    <w:pPr>
      <w:spacing w:line="240" w:lineRule="auto"/>
      <w:ind w:left="0"/>
      <w:jc w:val="left"/>
    </w:pPr>
    <w:rPr>
      <w:rFonts w:ascii="Calibri" w:hAnsi="Calibri" w:eastAsia="Calibri" w:cs="Times New Roman"/>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val="1"/>
    <w:qFormat w:val="1"/>
    <w:rsid w:val="00B834E0"/>
    <w:pPr>
      <w:spacing w:before="240" w:line="259" w:lineRule="auto"/>
      <w:ind w:left="0"/>
      <w:jc w:val="left"/>
      <w:outlineLvl w:val="9"/>
    </w:pPr>
    <w:rPr>
      <w:rFonts w:asciiTheme="majorHAnsi" w:hAnsiTheme="majorHAnsi" w:eastAsiaTheme="majorEastAsia" w:cstheme="majorBidi"/>
      <w:b w:val="0"/>
      <w:color w:val="365f91" w:themeColor="accent1" w:themeShade="0000BF"/>
      <w:sz w:val="32"/>
      <w:szCs w:val="32"/>
      <w:lang w:val="en-US"/>
    </w:rPr>
  </w:style>
  <w:style w:type="paragraph" w:styleId="FootnoteText">
    <w:name w:val="footnote text"/>
    <w:basedOn w:val="Normal"/>
    <w:link w:val="FootnoteTextChar"/>
    <w:uiPriority w:val="99"/>
    <w:unhideWhenUsed w:val="1"/>
    <w:rsid w:val="00AB7DBC"/>
    <w:pPr>
      <w:spacing w:after="120" w:line="240" w:lineRule="auto"/>
      <w:ind w:left="720"/>
    </w:pPr>
    <w:rPr>
      <w:sz w:val="20"/>
      <w:szCs w:val="20"/>
    </w:rPr>
  </w:style>
  <w:style w:type="character" w:styleId="FootnoteTextChar" w:customStyle="1">
    <w:name w:val="Footnote Text Char"/>
    <w:basedOn w:val="DefaultParagraphFont"/>
    <w:link w:val="FootnoteText"/>
    <w:uiPriority w:val="99"/>
    <w:rsid w:val="00AB7DBC"/>
    <w:rPr>
      <w:sz w:val="20"/>
      <w:szCs w:val="20"/>
    </w:rPr>
  </w:style>
  <w:style w:type="character" w:styleId="FootnoteReference">
    <w:name w:val="footnote reference"/>
    <w:basedOn w:val="DefaultParagraphFont"/>
    <w:uiPriority w:val="99"/>
    <w:semiHidden w:val="1"/>
    <w:unhideWhenUsed w:val="1"/>
    <w:rsid w:val="004D4227"/>
    <w:rPr>
      <w:vertAlign w:val="superscript"/>
    </w:rPr>
  </w:style>
  <w:style w:type="table" w:styleId="affff0" w:customStyle="1">
    <w:basedOn w:val="TableNormal"/>
    <w:pPr>
      <w:spacing w:line="240" w:lineRule="auto"/>
      <w:ind w:left="0"/>
      <w:jc w:val="left"/>
    </w:pPr>
    <w:rPr>
      <w:rFonts w:ascii="Calibri" w:hAnsi="Calibri" w:eastAsia="Calibri" w:cs="Calibri"/>
      <w:sz w:val="20"/>
      <w:szCs w:val="20"/>
    </w:rPr>
    <w:tblPr>
      <w:tblStyleRowBandSize w:val="1"/>
      <w:tblStyleColBandSize w:val="1"/>
      <w:tblCellMar>
        <w:top w:w="100.0" w:type="dxa"/>
        <w:left w:w="100.0" w:type="dxa"/>
        <w:bottom w:w="100.0" w:type="dxa"/>
        <w:right w:w="100.0" w:type="dxa"/>
      </w:tblCellMar>
    </w:tblPr>
  </w:style>
  <w:style w:type="table" w:styleId="affff1" w:customStyle="1">
    <w:basedOn w:val="TableNormal"/>
    <w:pPr>
      <w:spacing w:line="240" w:lineRule="auto"/>
      <w:ind w:left="0"/>
      <w:jc w:val="left"/>
    </w:pPr>
    <w:rPr>
      <w:rFonts w:ascii="Calibri" w:hAnsi="Calibri" w:eastAsia="Calibri" w:cs="Calibri"/>
      <w:sz w:val="20"/>
      <w:szCs w:val="20"/>
    </w:rPr>
    <w:tblPr>
      <w:tblStyleRowBandSize w:val="1"/>
      <w:tblStyleColBandSize w:val="1"/>
      <w:tblCellMar>
        <w:top w:w="100.0" w:type="dxa"/>
        <w:left w:w="100.0" w:type="dxa"/>
        <w:bottom w:w="100.0" w:type="dxa"/>
        <w:right w:w="100.0" w:type="dxa"/>
      </w:tblCellMar>
    </w:tblPr>
  </w:style>
  <w:style w:type="table" w:styleId="affff2" w:customStyle="1">
    <w:basedOn w:val="TableNormal"/>
    <w:pPr>
      <w:spacing w:line="240" w:lineRule="auto"/>
      <w:ind w:left="0"/>
      <w:jc w:val="left"/>
    </w:pPr>
    <w:rPr>
      <w:rFonts w:ascii="Calibri" w:hAnsi="Calibri" w:eastAsia="Calibri" w:cs="Calibri"/>
      <w:sz w:val="20"/>
      <w:szCs w:val="20"/>
    </w:rPr>
    <w:tblPr>
      <w:tblStyleRowBandSize w:val="1"/>
      <w:tblStyleColBandSize w:val="1"/>
      <w:tblCellMar>
        <w:top w:w="100.0" w:type="dxa"/>
        <w:left w:w="100.0" w:type="dxa"/>
        <w:bottom w:w="100.0" w:type="dxa"/>
        <w:right w:w="100.0" w:type="dxa"/>
      </w:tblCellMar>
    </w:tblPr>
  </w:style>
  <w:style w:type="table" w:styleId="affff3" w:customStyle="1">
    <w:basedOn w:val="TableNormal"/>
    <w:pPr>
      <w:spacing w:line="240" w:lineRule="auto"/>
      <w:ind w:left="0"/>
      <w:jc w:val="left"/>
    </w:pPr>
    <w:rPr>
      <w:rFonts w:ascii="Calibri" w:hAnsi="Calibri" w:eastAsia="Calibri" w:cs="Calibri"/>
      <w:sz w:val="20"/>
      <w:szCs w:val="20"/>
    </w:rPr>
    <w:tblPr>
      <w:tblStyleRowBandSize w:val="1"/>
      <w:tblStyleColBandSize w:val="1"/>
      <w:tblCellMar>
        <w:top w:w="100.0" w:type="dxa"/>
        <w:left w:w="100.0" w:type="dxa"/>
        <w:bottom w:w="100.0" w:type="dxa"/>
        <w:right w:w="100.0" w:type="dxa"/>
      </w:tblCellMar>
    </w:tblPr>
  </w:style>
  <w:style w:type="table" w:styleId="affff4" w:customStyle="1">
    <w:basedOn w:val="TableNormal"/>
    <w:pPr>
      <w:spacing w:line="240" w:lineRule="auto"/>
      <w:ind w:left="0"/>
      <w:jc w:val="left"/>
    </w:pPr>
    <w:rPr>
      <w:rFonts w:ascii="Calibri" w:hAnsi="Calibri" w:eastAsia="Calibri" w:cs="Calibri"/>
      <w:sz w:val="20"/>
      <w:szCs w:val="20"/>
    </w:rPr>
    <w:tblPr>
      <w:tblStyleRowBandSize w:val="1"/>
      <w:tblStyleColBandSize w:val="1"/>
      <w:tblCellMar>
        <w:top w:w="100.0" w:type="dxa"/>
        <w:left w:w="100.0" w:type="dxa"/>
        <w:bottom w:w="100.0" w:type="dxa"/>
        <w:right w:w="100.0" w:type="dxa"/>
      </w:tblCellMar>
    </w:tblPr>
  </w:style>
  <w:style w:type="table" w:styleId="affff5" w:customStyle="1">
    <w:basedOn w:val="TableNormal"/>
    <w:pPr>
      <w:spacing w:line="240" w:lineRule="auto"/>
      <w:ind w:left="0"/>
      <w:jc w:val="left"/>
    </w:pPr>
    <w:rPr>
      <w:rFonts w:ascii="Calibri" w:hAnsi="Calibri" w:eastAsia="Calibri" w:cs="Calibri"/>
      <w:sz w:val="20"/>
      <w:szCs w:val="20"/>
    </w:rPr>
    <w:tblPr>
      <w:tblStyleRowBandSize w:val="1"/>
      <w:tblStyleColBandSize w:val="1"/>
      <w:tblCellMar>
        <w:top w:w="100.0" w:type="dxa"/>
        <w:left w:w="100.0" w:type="dxa"/>
        <w:bottom w:w="100.0" w:type="dxa"/>
        <w:right w:w="100.0" w:type="dxa"/>
      </w:tblCellMar>
    </w:tblPr>
  </w:style>
  <w:style w:type="table" w:styleId="affff6" w:customStyle="1">
    <w:basedOn w:val="TableNormal"/>
    <w:pPr>
      <w:spacing w:line="240" w:lineRule="auto"/>
      <w:ind w:left="0"/>
      <w:jc w:val="left"/>
    </w:pPr>
    <w:rPr>
      <w:rFonts w:ascii="Calibri" w:hAnsi="Calibri" w:eastAsia="Calibri" w:cs="Calibri"/>
      <w:sz w:val="20"/>
      <w:szCs w:val="20"/>
    </w:rPr>
    <w:tblPr>
      <w:tblStyleRowBandSize w:val="1"/>
      <w:tblStyleColBandSize w:val="1"/>
      <w:tblCellMar>
        <w:top w:w="100.0" w:type="dxa"/>
        <w:left w:w="100.0" w:type="dxa"/>
        <w:bottom w:w="100.0" w:type="dxa"/>
        <w:right w:w="100.0" w:type="dxa"/>
      </w:tblCellMar>
    </w:tblPr>
  </w:style>
  <w:style w:type="table" w:styleId="affff7" w:customStyle="1">
    <w:basedOn w:val="TableNormal"/>
    <w:pPr>
      <w:spacing w:line="240" w:lineRule="auto"/>
      <w:ind w:left="0"/>
      <w:jc w:val="left"/>
    </w:pPr>
    <w:rPr>
      <w:rFonts w:ascii="Calibri" w:hAnsi="Calibri" w:eastAsia="Calibri" w:cs="Calibri"/>
      <w:sz w:val="20"/>
      <w:szCs w:val="20"/>
    </w:rPr>
    <w:tblPr>
      <w:tblStyleRowBandSize w:val="1"/>
      <w:tblStyleColBandSize w:val="1"/>
      <w:tblCellMar>
        <w:top w:w="100.0" w:type="dxa"/>
        <w:left w:w="100.0" w:type="dxa"/>
        <w:bottom w:w="100.0" w:type="dxa"/>
        <w:right w:w="100.0" w:type="dxa"/>
      </w:tblCellMar>
    </w:tblPr>
  </w:style>
  <w:style w:type="table" w:styleId="affff8" w:customStyle="1">
    <w:basedOn w:val="TableNormal"/>
    <w:pPr>
      <w:spacing w:line="240" w:lineRule="auto"/>
      <w:ind w:left="0"/>
      <w:jc w:val="left"/>
    </w:pPr>
    <w:rPr>
      <w:rFonts w:ascii="Calibri" w:hAnsi="Calibri" w:eastAsia="Calibri" w:cs="Calibri"/>
      <w:sz w:val="20"/>
      <w:szCs w:val="20"/>
    </w:rPr>
    <w:tblPr>
      <w:tblStyleRowBandSize w:val="1"/>
      <w:tblStyleColBandSize w:val="1"/>
      <w:tblCellMar>
        <w:top w:w="100.0" w:type="dxa"/>
        <w:left w:w="100.0" w:type="dxa"/>
        <w:bottom w:w="100.0" w:type="dxa"/>
        <w:right w:w="100.0" w:type="dxa"/>
      </w:tblCellMar>
    </w:tblPr>
  </w:style>
  <w:style w:type="table" w:styleId="affff9" w:customStyle="1">
    <w:basedOn w:val="TableNormal"/>
    <w:tblPr>
      <w:tblStyleRowBandSize w:val="1"/>
      <w:tblStyleColBandSize w:val="1"/>
      <w:tblCellMar>
        <w:left w:w="115.0" w:type="dxa"/>
        <w:right w:w="115.0" w:type="dxa"/>
      </w:tblCellMar>
    </w:tblPr>
  </w:style>
  <w:style w:type="character" w:styleId="PlaceholderText">
    <w:name w:val="Placeholder Text"/>
    <w:basedOn w:val="DefaultParagraphFont"/>
    <w:uiPriority w:val="99"/>
    <w:semiHidden w:val="1"/>
    <w:rsid w:val="00384E2C"/>
    <w:rPr>
      <w:color w:val="808080"/>
    </w:rPr>
  </w:style>
  <w:style w:type="table" w:styleId="affffa" w:customStyle="1">
    <w:basedOn w:val="TableNormal"/>
    <w:pPr>
      <w:spacing w:line="240" w:lineRule="auto"/>
      <w:ind w:left="0"/>
      <w:jc w:val="left"/>
    </w:pPr>
    <w:rPr>
      <w:rFonts w:ascii="Calibri" w:hAnsi="Calibri" w:eastAsia="Calibri" w:cs="Calibri"/>
      <w:sz w:val="20"/>
      <w:szCs w:val="20"/>
    </w:rPr>
    <w:tblPr>
      <w:tblStyleRowBandSize w:val="1"/>
      <w:tblStyleColBandSize w:val="1"/>
      <w:tblCellMar>
        <w:top w:w="100.0" w:type="dxa"/>
        <w:left w:w="115.0" w:type="dxa"/>
        <w:bottom w:w="100.0" w:type="dxa"/>
        <w:right w:w="115.0" w:type="dxa"/>
      </w:tblCellMar>
    </w:tblPr>
  </w:style>
  <w:style w:type="table" w:styleId="affffb" w:customStyle="1">
    <w:basedOn w:val="TableNormal"/>
    <w:pPr>
      <w:spacing w:line="240" w:lineRule="auto"/>
      <w:ind w:left="0"/>
      <w:jc w:val="left"/>
    </w:pPr>
    <w:rPr>
      <w:rFonts w:ascii="Calibri" w:hAnsi="Calibri" w:eastAsia="Calibri" w:cs="Calibri"/>
      <w:sz w:val="20"/>
      <w:szCs w:val="20"/>
    </w:rPr>
    <w:tblPr>
      <w:tblStyleRowBandSize w:val="1"/>
      <w:tblStyleColBandSize w:val="1"/>
      <w:tblCellMar>
        <w:top w:w="100.0" w:type="dxa"/>
        <w:left w:w="115.0" w:type="dxa"/>
        <w:bottom w:w="100.0" w:type="dxa"/>
        <w:right w:w="115.0" w:type="dxa"/>
      </w:tblCellMar>
    </w:tblPr>
  </w:style>
  <w:style w:type="table" w:styleId="affffc" w:customStyle="1">
    <w:basedOn w:val="TableNormal"/>
    <w:pPr>
      <w:spacing w:line="240" w:lineRule="auto"/>
      <w:ind w:left="0"/>
      <w:jc w:val="left"/>
    </w:pPr>
    <w:rPr>
      <w:rFonts w:ascii="Calibri" w:hAnsi="Calibri" w:eastAsia="Calibri" w:cs="Calibri"/>
      <w:sz w:val="20"/>
      <w:szCs w:val="20"/>
    </w:rPr>
    <w:tblPr>
      <w:tblStyleRowBandSize w:val="1"/>
      <w:tblStyleColBandSize w:val="1"/>
      <w:tblCellMar>
        <w:top w:w="100.0" w:type="dxa"/>
        <w:left w:w="115.0" w:type="dxa"/>
        <w:bottom w:w="100.0" w:type="dxa"/>
        <w:right w:w="115.0" w:type="dxa"/>
      </w:tblCellMar>
    </w:tblPr>
  </w:style>
  <w:style w:type="table" w:styleId="affffd" w:customStyle="1">
    <w:basedOn w:val="TableNormal"/>
    <w:pPr>
      <w:spacing w:line="240" w:lineRule="auto"/>
      <w:ind w:left="0"/>
      <w:jc w:val="left"/>
    </w:pPr>
    <w:rPr>
      <w:rFonts w:ascii="Calibri" w:hAnsi="Calibri" w:eastAsia="Calibri" w:cs="Calibri"/>
      <w:sz w:val="20"/>
      <w:szCs w:val="20"/>
    </w:rPr>
    <w:tblPr>
      <w:tblStyleRowBandSize w:val="1"/>
      <w:tblStyleColBandSize w:val="1"/>
      <w:tblCellMar>
        <w:top w:w="100.0" w:type="dxa"/>
        <w:left w:w="115.0" w:type="dxa"/>
        <w:bottom w:w="100.0" w:type="dxa"/>
        <w:right w:w="115.0" w:type="dxa"/>
      </w:tblCellMar>
    </w:tblPr>
  </w:style>
  <w:style w:type="character" w:styleId="normaltextrun" w:customStyle="1">
    <w:name w:val="normaltextrun"/>
    <w:basedOn w:val="DefaultParagraphFont"/>
    <w:rsid w:val="007E2B7A"/>
  </w:style>
  <w:style w:type="character" w:styleId="eop" w:customStyle="1">
    <w:name w:val="eop"/>
    <w:basedOn w:val="DefaultParagraphFont"/>
    <w:rsid w:val="007E2B7A"/>
  </w:style>
  <w:style w:type="table" w:styleId="affffe" w:customStyle="1">
    <w:basedOn w:val="TableNormal"/>
    <w:pPr>
      <w:spacing w:line="240" w:lineRule="auto"/>
      <w:ind w:left="0"/>
      <w:jc w:val="left"/>
    </w:pPr>
    <w:rPr>
      <w:rFonts w:ascii="Calibri" w:hAnsi="Calibri" w:eastAsia="Calibri" w:cs="Calibri"/>
      <w:sz w:val="20"/>
      <w:szCs w:val="20"/>
    </w:rPr>
    <w:tblPr>
      <w:tblStyleRowBandSize w:val="1"/>
      <w:tblStyleColBandSize w:val="1"/>
      <w:tblCellMar>
        <w:top w:w="100.0" w:type="dxa"/>
        <w:left w:w="115.0" w:type="dxa"/>
        <w:bottom w:w="100.0" w:type="dxa"/>
        <w:right w:w="115.0" w:type="dxa"/>
      </w:tblCellMar>
    </w:tblPr>
  </w:style>
  <w:style w:type="table" w:styleId="afffff" w:customStyle="1">
    <w:basedOn w:val="TableNormal"/>
    <w:pPr>
      <w:spacing w:line="240" w:lineRule="auto"/>
      <w:ind w:left="0"/>
      <w:jc w:val="left"/>
    </w:pPr>
    <w:rPr>
      <w:rFonts w:ascii="Calibri" w:hAnsi="Calibri" w:eastAsia="Calibri" w:cs="Calibri"/>
      <w:sz w:val="20"/>
      <w:szCs w:val="20"/>
    </w:rPr>
    <w:tblPr>
      <w:tblStyleRowBandSize w:val="1"/>
      <w:tblStyleColBandSize w:val="1"/>
      <w:tblCellMar>
        <w:top w:w="100.0" w:type="dxa"/>
        <w:left w:w="115.0" w:type="dxa"/>
        <w:bottom w:w="100.0" w:type="dxa"/>
        <w:right w:w="115.0" w:type="dxa"/>
      </w:tblCellMar>
    </w:tblPr>
  </w:style>
  <w:style w:type="table" w:styleId="afffff0" w:customStyle="1">
    <w:basedOn w:val="TableNormal"/>
    <w:pPr>
      <w:spacing w:line="240" w:lineRule="auto"/>
      <w:ind w:left="0"/>
      <w:jc w:val="left"/>
    </w:pPr>
    <w:rPr>
      <w:rFonts w:ascii="Calibri" w:hAnsi="Calibri" w:eastAsia="Calibri" w:cs="Calibri"/>
      <w:sz w:val="20"/>
      <w:szCs w:val="20"/>
    </w:rPr>
    <w:tblPr>
      <w:tblStyleRowBandSize w:val="1"/>
      <w:tblStyleColBandSize w:val="1"/>
      <w:tblCellMar>
        <w:top w:w="100.0" w:type="dxa"/>
        <w:left w:w="115.0" w:type="dxa"/>
        <w:bottom w:w="100.0" w:type="dxa"/>
        <w:right w:w="115.0" w:type="dxa"/>
      </w:tblCellMar>
    </w:tblPr>
  </w:style>
  <w:style w:type="table" w:styleId="afffff1" w:customStyle="1">
    <w:basedOn w:val="TableNormal"/>
    <w:pPr>
      <w:spacing w:line="240" w:lineRule="auto"/>
      <w:ind w:left="0"/>
      <w:jc w:val="left"/>
    </w:pPr>
    <w:rPr>
      <w:rFonts w:ascii="Calibri" w:hAnsi="Calibri" w:eastAsia="Calibri" w:cs="Calibri"/>
      <w:sz w:val="20"/>
      <w:szCs w:val="20"/>
    </w:rPr>
    <w:tblPr>
      <w:tblStyleRowBandSize w:val="1"/>
      <w:tblStyleColBandSize w:val="1"/>
      <w:tblCellMar>
        <w:top w:w="100.0" w:type="dxa"/>
        <w:left w:w="115.0" w:type="dxa"/>
        <w:bottom w:w="100.0" w:type="dxa"/>
        <w:right w:w="115.0" w:type="dxa"/>
      </w:tblCellMar>
    </w:tblPr>
  </w:style>
  <w:style w:type="table" w:styleId="afffff2" w:customStyle="1">
    <w:basedOn w:val="TableNormal"/>
    <w:pPr>
      <w:spacing w:line="240" w:lineRule="auto"/>
      <w:ind w:left="0"/>
      <w:jc w:val="left"/>
    </w:pPr>
    <w:rPr>
      <w:rFonts w:ascii="Calibri" w:hAnsi="Calibri" w:eastAsia="Calibri" w:cs="Calibri"/>
      <w:sz w:val="20"/>
      <w:szCs w:val="20"/>
    </w:rPr>
    <w:tblPr>
      <w:tblStyleRowBandSize w:val="1"/>
      <w:tblStyleColBandSize w:val="1"/>
      <w:tblCellMar>
        <w:top w:w="100.0" w:type="dxa"/>
        <w:left w:w="115.0" w:type="dxa"/>
        <w:bottom w:w="100.0" w:type="dxa"/>
        <w:right w:w="115.0" w:type="dxa"/>
      </w:tblCellMar>
    </w:tblPr>
  </w:style>
  <w:style w:type="table" w:styleId="afffff3" w:customStyle="1">
    <w:basedOn w:val="TableNormal"/>
    <w:pPr>
      <w:spacing w:line="240" w:lineRule="auto"/>
      <w:ind w:left="0"/>
      <w:jc w:val="left"/>
    </w:pPr>
    <w:rPr>
      <w:rFonts w:ascii="Calibri" w:hAnsi="Calibri" w:eastAsia="Calibri" w:cs="Calibri"/>
      <w:sz w:val="20"/>
      <w:szCs w:val="20"/>
    </w:rPr>
    <w:tblPr>
      <w:tblStyleRowBandSize w:val="1"/>
      <w:tblStyleColBandSize w:val="1"/>
      <w:tblCellMar>
        <w:top w:w="100.0" w:type="dxa"/>
        <w:left w:w="115.0" w:type="dxa"/>
        <w:bottom w:w="100.0" w:type="dxa"/>
        <w:right w:w="115.0" w:type="dxa"/>
      </w:tblCellMar>
    </w:tblPr>
  </w:style>
  <w:style w:type="table" w:styleId="afffff4" w:customStyle="1">
    <w:basedOn w:val="TableNormal"/>
    <w:pPr>
      <w:spacing w:line="240" w:lineRule="auto"/>
      <w:ind w:left="0"/>
      <w:jc w:val="left"/>
    </w:pPr>
    <w:rPr>
      <w:rFonts w:ascii="Calibri" w:hAnsi="Calibri" w:eastAsia="Calibri" w:cs="Calibri"/>
      <w:sz w:val="20"/>
      <w:szCs w:val="20"/>
    </w:rPr>
    <w:tblPr>
      <w:tblStyleRowBandSize w:val="1"/>
      <w:tblStyleColBandSize w:val="1"/>
      <w:tblCellMar>
        <w:top w:w="100.0" w:type="dxa"/>
        <w:left w:w="115.0" w:type="dxa"/>
        <w:bottom w:w="100.0" w:type="dxa"/>
        <w:right w:w="115.0" w:type="dxa"/>
      </w:tblCellMar>
    </w:tblPr>
  </w:style>
  <w:style w:type="table" w:styleId="afffff5" w:customStyle="1">
    <w:basedOn w:val="TableNormal"/>
    <w:pPr>
      <w:spacing w:line="240" w:lineRule="auto"/>
      <w:ind w:left="0"/>
      <w:jc w:val="left"/>
    </w:pPr>
    <w:rPr>
      <w:rFonts w:ascii="Calibri" w:hAnsi="Calibri" w:eastAsia="Calibri" w:cs="Calibri"/>
      <w:sz w:val="20"/>
      <w:szCs w:val="20"/>
    </w:rPr>
    <w:tblPr>
      <w:tblStyleRowBandSize w:val="1"/>
      <w:tblStyleColBandSize w:val="1"/>
      <w:tblCellMar>
        <w:top w:w="100.0" w:type="dxa"/>
        <w:left w:w="115.0" w:type="dxa"/>
        <w:bottom w:w="100.0" w:type="dxa"/>
        <w:right w:w="115.0" w:type="dxa"/>
      </w:tblCellMar>
    </w:tblPr>
  </w:style>
  <w:style w:type="table" w:styleId="afffff6" w:customStyle="1">
    <w:basedOn w:val="TableNormal"/>
    <w:pPr>
      <w:spacing w:line="240" w:lineRule="auto"/>
      <w:ind w:left="0"/>
      <w:jc w:val="left"/>
    </w:pPr>
    <w:rPr>
      <w:rFonts w:ascii="Calibri" w:hAnsi="Calibri" w:eastAsia="Calibri" w:cs="Calibri"/>
      <w:sz w:val="20"/>
      <w:szCs w:val="20"/>
    </w:rPr>
    <w:tblPr>
      <w:tblStyleRowBandSize w:val="1"/>
      <w:tblStyleColBandSize w:val="1"/>
      <w:tblCellMar>
        <w:top w:w="100.0" w:type="dxa"/>
        <w:left w:w="115.0" w:type="dxa"/>
        <w:bottom w:w="100.0" w:type="dxa"/>
        <w:right w:w="115.0" w:type="dxa"/>
      </w:tblCellMar>
    </w:tblPr>
  </w:style>
  <w:style w:type="table" w:styleId="afffff7" w:customStyle="1">
    <w:basedOn w:val="TableNormal"/>
    <w:pPr>
      <w:spacing w:line="240" w:lineRule="auto"/>
      <w:ind w:left="0"/>
      <w:jc w:val="left"/>
    </w:pPr>
    <w:rPr>
      <w:rFonts w:ascii="Calibri" w:hAnsi="Calibri" w:eastAsia="Calibri" w:cs="Calibri"/>
      <w:sz w:val="20"/>
      <w:szCs w:val="20"/>
    </w:rPr>
    <w:tblPr>
      <w:tblStyleRowBandSize w:val="1"/>
      <w:tblStyleColBandSize w:val="1"/>
      <w:tblCellMar>
        <w:top w:w="100.0" w:type="dxa"/>
        <w:left w:w="115.0" w:type="dxa"/>
        <w:bottom w:w="100.0" w:type="dxa"/>
        <w:right w:w="115.0" w:type="dxa"/>
      </w:tblCellMar>
    </w:tblPr>
  </w:style>
  <w:style w:type="table" w:styleId="afffff8" w:customStyle="1">
    <w:basedOn w:val="TableNormal"/>
    <w:pPr>
      <w:spacing w:line="240" w:lineRule="auto"/>
      <w:ind w:left="0"/>
      <w:jc w:val="left"/>
    </w:pPr>
    <w:rPr>
      <w:rFonts w:ascii="Calibri" w:hAnsi="Calibri" w:eastAsia="Calibri" w:cs="Calibri"/>
      <w:sz w:val="20"/>
      <w:szCs w:val="20"/>
    </w:rPr>
    <w:tblPr>
      <w:tblStyleRowBandSize w:val="1"/>
      <w:tblStyleColBandSize w:val="1"/>
      <w:tblCellMar>
        <w:top w:w="100.0" w:type="dxa"/>
        <w:left w:w="115.0" w:type="dxa"/>
        <w:bottom w:w="100.0" w:type="dxa"/>
        <w:right w:w="115.0" w:type="dxa"/>
      </w:tblCellMar>
    </w:tblPr>
  </w:style>
  <w:style w:type="table" w:styleId="afffff9" w:customStyle="1">
    <w:basedOn w:val="TableNormal"/>
    <w:pPr>
      <w:spacing w:line="240" w:lineRule="auto"/>
      <w:ind w:left="0"/>
      <w:jc w:val="left"/>
    </w:pPr>
    <w:rPr>
      <w:rFonts w:ascii="Calibri" w:hAnsi="Calibri" w:eastAsia="Calibri" w:cs="Calibri"/>
      <w:sz w:val="20"/>
      <w:szCs w:val="20"/>
    </w:rPr>
    <w:tblPr>
      <w:tblStyleRowBandSize w:val="1"/>
      <w:tblStyleColBandSize w:val="1"/>
      <w:tblCellMar>
        <w:top w:w="100.0" w:type="dxa"/>
        <w:left w:w="115.0" w:type="dxa"/>
        <w:bottom w:w="100.0" w:type="dxa"/>
        <w:right w:w="115.0" w:type="dxa"/>
      </w:tblCellMar>
    </w:tblPr>
  </w:style>
  <w:style w:type="table" w:styleId="afffffa" w:customStyle="1">
    <w:basedOn w:val="TableNormal"/>
    <w:pPr>
      <w:spacing w:line="240" w:lineRule="auto"/>
      <w:ind w:left="0"/>
      <w:jc w:val="left"/>
    </w:pPr>
    <w:rPr>
      <w:rFonts w:ascii="Calibri" w:hAnsi="Calibri" w:eastAsia="Calibri" w:cs="Calibri"/>
      <w:sz w:val="20"/>
      <w:szCs w:val="20"/>
    </w:rPr>
    <w:tblPr>
      <w:tblStyleRowBandSize w:val="1"/>
      <w:tblStyleColBandSize w:val="1"/>
      <w:tblCellMar>
        <w:top w:w="100.0" w:type="dxa"/>
        <w:left w:w="115.0" w:type="dxa"/>
        <w:bottom w:w="100.0" w:type="dxa"/>
        <w:right w:w="115.0" w:type="dxa"/>
      </w:tblCellMar>
    </w:tblPr>
  </w:style>
  <w:style w:type="table" w:styleId="afffffb" w:customSty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afffffc" w:customSty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afffffd" w:customStyle="1">
    <w:basedOn w:val="TableNormal"/>
    <w:pPr>
      <w:spacing w:line="240" w:lineRule="auto"/>
      <w:ind w:left="0"/>
      <w:jc w:val="left"/>
    </w:pPr>
    <w:rPr>
      <w:rFonts w:ascii="Calibri" w:hAnsi="Calibri" w:eastAsia="Calibri" w:cs="Calibri"/>
      <w:sz w:val="20"/>
      <w:szCs w:val="20"/>
    </w:rPr>
    <w:tblPr>
      <w:tblStyleRowBandSize w:val="1"/>
      <w:tblStyleColBandSize w:val="1"/>
      <w:tblCellMar>
        <w:top w:w="100.0" w:type="dxa"/>
        <w:left w:w="115.0" w:type="dxa"/>
        <w:bottom w:w="100.0" w:type="dxa"/>
        <w:right w:w="115.0" w:type="dxa"/>
      </w:tblCellMar>
    </w:tblPr>
  </w:style>
  <w:style w:type="table" w:styleId="afffffe" w:customStyle="1">
    <w:basedOn w:val="TableNormal"/>
    <w:pPr>
      <w:spacing w:line="240" w:lineRule="auto"/>
      <w:ind w:left="0"/>
      <w:jc w:val="left"/>
    </w:pPr>
    <w:rPr>
      <w:rFonts w:ascii="Calibri" w:hAnsi="Calibri" w:eastAsia="Calibri" w:cs="Calibri"/>
      <w:sz w:val="20"/>
      <w:szCs w:val="20"/>
    </w:rPr>
    <w:tblPr>
      <w:tblStyleRowBandSize w:val="1"/>
      <w:tblStyleColBandSize w:val="1"/>
      <w:tblCellMar>
        <w:top w:w="100.0" w:type="dxa"/>
        <w:left w:w="115.0" w:type="dxa"/>
        <w:bottom w:w="100.0" w:type="dxa"/>
        <w:right w:w="115.0" w:type="dxa"/>
      </w:tblCellMar>
    </w:tblPr>
  </w:style>
  <w:style w:type="table" w:styleId="affffff" w:customStyle="1">
    <w:basedOn w:val="TableNormal"/>
    <w:pPr>
      <w:spacing w:line="240" w:lineRule="auto"/>
      <w:ind w:left="0"/>
      <w:jc w:val="left"/>
    </w:pPr>
    <w:rPr>
      <w:rFonts w:ascii="Calibri" w:hAnsi="Calibri" w:eastAsia="Calibri" w:cs="Calibri"/>
      <w:sz w:val="20"/>
      <w:szCs w:val="20"/>
    </w:rPr>
    <w:tblPr>
      <w:tblStyleRowBandSize w:val="1"/>
      <w:tblStyleColBandSize w:val="1"/>
      <w:tblCellMar>
        <w:top w:w="100.0" w:type="dxa"/>
        <w:left w:w="115.0" w:type="dxa"/>
        <w:bottom w:w="100.0" w:type="dxa"/>
        <w:right w:w="115.0" w:type="dxa"/>
      </w:tblCellMar>
    </w:tblPr>
  </w:style>
  <w:style w:type="table" w:styleId="affffff0" w:customStyle="1">
    <w:basedOn w:val="TableNormal"/>
    <w:pPr>
      <w:spacing w:line="240" w:lineRule="auto"/>
      <w:ind w:left="0"/>
      <w:jc w:val="left"/>
    </w:pPr>
    <w:rPr>
      <w:rFonts w:ascii="Calibri" w:hAnsi="Calibri" w:eastAsia="Calibri" w:cs="Calibri"/>
      <w:sz w:val="20"/>
      <w:szCs w:val="20"/>
    </w:rPr>
    <w:tblPr>
      <w:tblStyleRowBandSize w:val="1"/>
      <w:tblStyleColBandSize w:val="1"/>
      <w:tblCellMar>
        <w:top w:w="100.0" w:type="dxa"/>
        <w:left w:w="115.0" w:type="dxa"/>
        <w:bottom w:w="100.0" w:type="dxa"/>
        <w:right w:w="115.0" w:type="dxa"/>
      </w:tblCellMar>
    </w:tblPr>
  </w:style>
  <w:style w:type="table" w:styleId="affffff1" w:customStyle="1">
    <w:basedOn w:val="TableNormal"/>
    <w:pPr>
      <w:spacing w:line="240" w:lineRule="auto"/>
      <w:ind w:left="0"/>
      <w:jc w:val="left"/>
    </w:pPr>
    <w:rPr>
      <w:rFonts w:ascii="Calibri" w:hAnsi="Calibri" w:eastAsia="Calibri" w:cs="Calibri"/>
      <w:sz w:val="20"/>
      <w:szCs w:val="20"/>
    </w:rPr>
    <w:tblPr>
      <w:tblStyleRowBandSize w:val="1"/>
      <w:tblStyleColBandSize w:val="1"/>
      <w:tblCellMar>
        <w:top w:w="100.0" w:type="dxa"/>
        <w:left w:w="115.0" w:type="dxa"/>
        <w:bottom w:w="100.0" w:type="dxa"/>
        <w:right w:w="115.0" w:type="dxa"/>
      </w:tblCellMar>
    </w:tblPr>
  </w:style>
  <w:style w:type="table" w:styleId="affffff2" w:customStyle="1">
    <w:basedOn w:val="TableNormal"/>
    <w:pPr>
      <w:spacing w:line="240" w:lineRule="auto"/>
      <w:ind w:left="0"/>
      <w:jc w:val="left"/>
    </w:pPr>
    <w:rPr>
      <w:rFonts w:ascii="Calibri" w:hAnsi="Calibri" w:eastAsia="Calibri" w:cs="Calibri"/>
      <w:sz w:val="20"/>
      <w:szCs w:val="20"/>
    </w:rPr>
    <w:tblPr>
      <w:tblStyleRowBandSize w:val="1"/>
      <w:tblStyleColBandSize w:val="1"/>
      <w:tblCellMar>
        <w:top w:w="100.0" w:type="dxa"/>
        <w:left w:w="115.0" w:type="dxa"/>
        <w:bottom w:w="100.0" w:type="dxa"/>
        <w:right w:w="115.0" w:type="dxa"/>
      </w:tblCellMar>
    </w:tblPr>
  </w:style>
  <w:style w:type="table" w:styleId="affffff3" w:customStyle="1">
    <w:basedOn w:val="TableNormal"/>
    <w:pPr>
      <w:spacing w:line="240" w:lineRule="auto"/>
      <w:ind w:left="0"/>
      <w:jc w:val="left"/>
    </w:pPr>
    <w:rPr>
      <w:rFonts w:ascii="Calibri" w:hAnsi="Calibri" w:eastAsia="Calibri" w:cs="Calibri"/>
      <w:sz w:val="20"/>
      <w:szCs w:val="20"/>
    </w:rPr>
    <w:tblPr>
      <w:tblStyleRowBandSize w:val="1"/>
      <w:tblStyleColBandSize w:val="1"/>
      <w:tblCellMar>
        <w:top w:w="100.0" w:type="dxa"/>
        <w:left w:w="115.0" w:type="dxa"/>
        <w:bottom w:w="100.0" w:type="dxa"/>
        <w:right w:w="115.0" w:type="dxa"/>
      </w:tblCellMar>
    </w:tblPr>
  </w:style>
  <w:style w:type="table" w:styleId="affffff4" w:customStyle="1">
    <w:basedOn w:val="TableNormal"/>
    <w:pPr>
      <w:spacing w:line="240" w:lineRule="auto"/>
      <w:ind w:left="0"/>
      <w:jc w:val="left"/>
    </w:pPr>
    <w:rPr>
      <w:rFonts w:ascii="Calibri" w:hAnsi="Calibri" w:eastAsia="Calibri" w:cs="Calibri"/>
      <w:sz w:val="20"/>
      <w:szCs w:val="20"/>
    </w:rPr>
    <w:tblPr>
      <w:tblStyleRowBandSize w:val="1"/>
      <w:tblStyleColBandSize w:val="1"/>
      <w:tblCellMar>
        <w:top w:w="100.0" w:type="dxa"/>
        <w:left w:w="115.0" w:type="dxa"/>
        <w:bottom w:w="100.0" w:type="dxa"/>
        <w:right w:w="115.0" w:type="dxa"/>
      </w:tblCellMar>
    </w:tblPr>
  </w:style>
  <w:style w:type="table" w:styleId="affffff5" w:customStyle="1">
    <w:basedOn w:val="TableNormal"/>
    <w:pPr>
      <w:spacing w:line="240" w:lineRule="auto"/>
      <w:ind w:left="0"/>
      <w:jc w:val="left"/>
    </w:pPr>
    <w:rPr>
      <w:rFonts w:ascii="Calibri" w:hAnsi="Calibri" w:eastAsia="Calibri" w:cs="Calibri"/>
      <w:sz w:val="20"/>
      <w:szCs w:val="20"/>
    </w:rPr>
    <w:tblPr>
      <w:tblStyleRowBandSize w:val="1"/>
      <w:tblStyleColBandSize w:val="1"/>
      <w:tblCellMar>
        <w:top w:w="100.0" w:type="dxa"/>
        <w:left w:w="115.0" w:type="dxa"/>
        <w:bottom w:w="100.0" w:type="dxa"/>
        <w:right w:w="115.0" w:type="dxa"/>
      </w:tblCellMar>
    </w:tblPr>
  </w:style>
  <w:style w:type="table" w:styleId="affffff6" w:customStyle="1">
    <w:basedOn w:val="TableNormal"/>
    <w:pPr>
      <w:spacing w:line="240" w:lineRule="auto"/>
      <w:ind w:left="0"/>
      <w:jc w:val="left"/>
    </w:pPr>
    <w:rPr>
      <w:rFonts w:ascii="Calibri" w:hAnsi="Calibri" w:eastAsia="Calibri" w:cs="Calibri"/>
      <w:sz w:val="20"/>
      <w:szCs w:val="20"/>
    </w:rPr>
    <w:tblPr>
      <w:tblStyleRowBandSize w:val="1"/>
      <w:tblStyleColBandSize w:val="1"/>
      <w:tblCellMar>
        <w:top w:w="100.0" w:type="dxa"/>
        <w:left w:w="115.0" w:type="dxa"/>
        <w:bottom w:w="100.0" w:type="dxa"/>
        <w:right w:w="115.0" w:type="dxa"/>
      </w:tblCellMar>
    </w:tblPr>
  </w:style>
  <w:style w:type="table" w:styleId="affffff7" w:customStyle="1">
    <w:basedOn w:val="TableNormal"/>
    <w:pPr>
      <w:spacing w:line="240" w:lineRule="auto"/>
      <w:ind w:left="0"/>
      <w:jc w:val="left"/>
    </w:pPr>
    <w:rPr>
      <w:rFonts w:ascii="Calibri" w:hAnsi="Calibri" w:eastAsia="Calibri" w:cs="Calibri"/>
      <w:sz w:val="20"/>
      <w:szCs w:val="20"/>
    </w:rPr>
    <w:tblPr>
      <w:tblStyleRowBandSize w:val="1"/>
      <w:tblStyleColBandSize w:val="1"/>
      <w:tblCellMar>
        <w:top w:w="100.0" w:type="dxa"/>
        <w:left w:w="115.0" w:type="dxa"/>
        <w:bottom w:w="100.0" w:type="dxa"/>
        <w:right w:w="115.0" w:type="dxa"/>
      </w:tblCellMar>
    </w:tblPr>
  </w:style>
  <w:style w:type="table" w:styleId="affffff8" w:customStyle="1">
    <w:basedOn w:val="TableNormal"/>
    <w:pPr>
      <w:spacing w:line="240" w:lineRule="auto"/>
      <w:ind w:left="0"/>
      <w:jc w:val="left"/>
    </w:pPr>
    <w:rPr>
      <w:rFonts w:ascii="Calibri" w:hAnsi="Calibri" w:eastAsia="Calibri" w:cs="Calibri"/>
      <w:sz w:val="20"/>
      <w:szCs w:val="20"/>
    </w:rPr>
    <w:tblPr>
      <w:tblStyleRowBandSize w:val="1"/>
      <w:tblStyleColBandSize w:val="1"/>
      <w:tblCellMar>
        <w:top w:w="100.0" w:type="dxa"/>
        <w:left w:w="115.0" w:type="dxa"/>
        <w:bottom w:w="100.0" w:type="dxa"/>
        <w:right w:w="115.0" w:type="dxa"/>
      </w:tblCellMar>
    </w:tblPr>
  </w:style>
  <w:style w:type="paragraph" w:styleId="ListBullet9" w:customStyle="1">
    <w:name w:val="List Bullet 9"/>
    <w:basedOn w:val="Normal"/>
    <w:qFormat w:val="1"/>
    <w:rsid w:val="00643A82"/>
    <w:pPr>
      <w:numPr>
        <w:numId w:val="18"/>
      </w:numPr>
      <w:contextualSpacing w:val="1"/>
    </w:pPr>
  </w:style>
  <w:style w:type="paragraph" w:styleId="BodyTextBlock5" w:customStyle="1">
    <w:name w:val="Body Text Block 5"/>
    <w:basedOn w:val="Normal"/>
    <w:qFormat w:val="1"/>
    <w:rsid w:val="00AB7DBC"/>
    <w:pPr>
      <w:spacing w:after="120"/>
      <w:ind w:left="0"/>
    </w:pPr>
  </w:style>
  <w:style w:type="paragraph" w:styleId="ListBullet10" w:customStyle="1">
    <w:name w:val="List Bullet 10"/>
    <w:basedOn w:val="Normal"/>
    <w:qFormat w:val="1"/>
    <w:rsid w:val="004E325A"/>
    <w:pPr>
      <w:numPr>
        <w:numId w:val="32"/>
      </w:numPr>
      <w:spacing w:after="120"/>
    </w:pPr>
  </w:style>
  <w:style w:type="paragraph" w:styleId="BodyTextBlock6" w:customStyle="1">
    <w:name w:val="Body Text Block 6"/>
    <w:basedOn w:val="BodyTextBlock5"/>
    <w:qFormat w:val="1"/>
    <w:rsid w:val="00D23A7E"/>
    <w:pPr>
      <w:ind w:left="720"/>
    </w:pPr>
  </w:style>
  <w:style w:type="paragraph" w:styleId="ListBullet7" w:customStyle="1">
    <w:name w:val="List Bullet 7"/>
    <w:basedOn w:val="Normal"/>
    <w:qFormat w:val="1"/>
    <w:rsid w:val="005253DF"/>
    <w:pPr>
      <w:numPr>
        <w:numId w:val="85"/>
      </w:numPr>
      <w:pBdr>
        <w:top w:val="nil" w:sz="0" w:space="0"/>
        <w:left w:val="nil" w:sz="0" w:space="0"/>
        <w:bottom w:val="nil" w:sz="0" w:space="0"/>
        <w:right w:val="nil" w:sz="0" w:space="0"/>
        <w:between w:val="nil" w:sz="0" w:space="0"/>
      </w:pBdr>
      <w:spacing w:after="120"/>
    </w:pPr>
  </w:style>
  <w:style w:type="paragraph" w:styleId="ListBullet11" w:customStyle="1">
    <w:name w:val="List Bullet 11"/>
    <w:basedOn w:val="Normal"/>
    <w:qFormat w:val="1"/>
    <w:rsid w:val="00150A6B"/>
    <w:pPr>
      <w:numPr>
        <w:numId w:val="11"/>
      </w:numPr>
    </w:pPr>
  </w:style>
  <w:style w:type="paragraph" w:styleId="BodyTextCenter1" w:customStyle="1">
    <w:name w:val="Body Text Center 1"/>
    <w:basedOn w:val="Normal"/>
    <w:qFormat w:val="1"/>
    <w:rsid w:val="006D25EC"/>
    <w:pPr>
      <w:spacing w:before="120" w:after="120"/>
      <w:ind w:left="0"/>
      <w:jc w:val="center"/>
    </w:pPr>
    <w:rPr>
      <w:b w:val="1"/>
      <w:szCs w:val="20"/>
    </w:rPr>
  </w:style>
  <w:style w:type="character" w:styleId="Heading7Char" w:customStyle="1">
    <w:name w:val="Heading 7 Char"/>
    <w:basedOn w:val="DefaultParagraphFont"/>
    <w:link w:val="Heading7"/>
    <w:uiPriority w:val="9"/>
    <w:rsid w:val="00566C16"/>
    <w:rPr>
      <w:rFonts w:eastAsiaTheme="majorEastAsia" w:cstheme="majorBidi"/>
      <w:b w:val="1"/>
    </w:rPr>
  </w:style>
  <w:style w:type="character" w:styleId="PageNumber">
    <w:name w:val="page number"/>
    <w:basedOn w:val="DefaultParagraphFont"/>
    <w:uiPriority w:val="99"/>
    <w:semiHidden w:val="1"/>
    <w:unhideWhenUsed w:val="1"/>
    <w:rsid w:val="00566C16"/>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Pr>
  </w:style>
  <w:style w:type="table" w:styleId="Table3">
    <w:basedOn w:val="TableNormal"/>
    <w:pPr>
      <w:spacing w:after="0" w:line="240" w:lineRule="auto"/>
    </w:pPr>
    <w:tblPr>
      <w:tblStyleRowBandSize w:val="1"/>
      <w:tblStyleColBandSize w:val="1"/>
    </w:tblPr>
  </w:style>
  <w:style w:type="table" w:styleId="Table4">
    <w:basedOn w:val="TableNormal"/>
    <w:pPr>
      <w:spacing w:after="0" w:line="240" w:lineRule="auto"/>
    </w:pPr>
    <w:tblPr>
      <w:tblStyleRowBandSize w:val="1"/>
      <w:tblStyleColBandSize w:val="1"/>
    </w:tblPr>
  </w:style>
  <w:style w:type="table" w:styleId="Table5">
    <w:basedOn w:val="TableNormal"/>
    <w:pPr>
      <w:spacing w:line="240" w:lineRule="auto"/>
      <w:ind w:left="0"/>
      <w:jc w:val="left"/>
    </w:pPr>
    <w:rPr>
      <w:rFonts w:ascii="Calibri" w:hAnsi="Calibri" w:eastAsia="Calibri" w:cs="Calibri"/>
      <w:sz w:val="20"/>
      <w:szCs w:val="20"/>
    </w:rPr>
    <w:tblPr>
      <w:tblStyleRowBandSize w:val="1"/>
      <w:tblStyleColBandSize w:val="1"/>
      <w:tblCellMar>
        <w:top w:w="100.0" w:type="dxa"/>
        <w:left w:w="115.0" w:type="dxa"/>
        <w:bottom w:w="100.0" w:type="dxa"/>
        <w:right w:w="115.0" w:type="dxa"/>
      </w:tblCellMar>
    </w:tblPr>
  </w:style>
  <w:style w:type="table" w:styleId="Table6">
    <w:basedOn w:val="TableNormal"/>
    <w:tblPr>
      <w:tblStyleRowBandSize w:val="1"/>
      <w:tblStyleColBandSize w:val="1"/>
    </w:tbl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ind w:left="0"/>
      <w:jc w:val="left"/>
    </w:pPr>
    <w:rPr>
      <w:rFonts w:ascii="Calibri" w:hAnsi="Calibri" w:eastAsia="Calibri" w:cs="Calibri"/>
      <w:sz w:val="20"/>
      <w:szCs w:val="20"/>
    </w:rPr>
    <w:tblPr>
      <w:tblStyleRowBandSize w:val="1"/>
      <w:tblStyleColBandSize w:val="1"/>
      <w:tblCellMar>
        <w:top w:w="100.0" w:type="dxa"/>
        <w:left w:w="115.0" w:type="dxa"/>
        <w:bottom w:w="100.0" w:type="dxa"/>
        <w:right w:w="1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ind w:left="0"/>
      <w:jc w:val="left"/>
    </w:pPr>
    <w:rPr>
      <w:rFonts w:ascii="Calibri" w:hAnsi="Calibri" w:eastAsia="Calibri" w:cs="Calibri"/>
      <w:sz w:val="20"/>
      <w:szCs w:val="20"/>
    </w:rPr>
    <w:tblPr>
      <w:tblStyleRowBandSize w:val="1"/>
      <w:tblStyleColBandSize w:val="1"/>
      <w:tblCellMar>
        <w:top w:w="100.0" w:type="dxa"/>
        <w:left w:w="115.0" w:type="dxa"/>
        <w:bottom w:w="100.0" w:type="dxa"/>
        <w:right w:w="1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&#65279;<?xml version="1.0" encoding="utf-8"?><Relationships xmlns="http://schemas.openxmlformats.org/package/2006/relationships"><Relationship Type="http://schemas.openxmlformats.org/officeDocument/2006/relationships/hyperlink" Target="https://confluence.toolsfdg.net/pages/viewpage.action?pageId=339137150" TargetMode="External" Id="rId20" /><Relationship Type="http://schemas.openxmlformats.org/officeDocument/2006/relationships/hyperlink" Target="https://confluence.toolsfdg.net/display/CMPL/Transaction+Monitoring+Compliance+Framework" TargetMode="External" Id="rId22" /><Relationship Type="http://schemas.openxmlformats.org/officeDocument/2006/relationships/hyperlink" Target="https://confluence.toolsfdg.net/display/CMPL/Sanctions+Compliance+Framework" TargetMode="External" Id="rId21" /><Relationship Type="http://schemas.openxmlformats.org/officeDocument/2006/relationships/hyperlink" Target="https://confluence.toolsfdg.net/display/CMPL/Law+Enforcement" TargetMode="External" Id="rId24" /><Relationship Type="http://schemas.openxmlformats.org/officeDocument/2006/relationships/hyperlink" Target="https://confluence.toolsfdg.net/display/CMPL/FCI+Compliance+Framework" TargetMode="External" Id="rId23" /><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footnotes" Target="footnotes.xml" Id="rId4" /><Relationship Type="http://schemas.openxmlformats.org/officeDocument/2006/relationships/footer" Target="footer1.xml" Id="rId9" /><Relationship Type="http://schemas.openxmlformats.org/officeDocument/2006/relationships/hyperlink" Target="https://confluence.toolsfdg.net/display/CMPL/Templates" TargetMode="External" Id="rId26" /><Relationship Type="http://schemas.openxmlformats.org/officeDocument/2006/relationships/hyperlink" Target="https://confluence.toolsfdg.net/pages/viewpage.action?pageId=213527765" TargetMode="External" Id="rId25" /><Relationship Type="http://schemas.openxmlformats.org/officeDocument/2006/relationships/hyperlink" Target="https://confluence.toolsfdg.net/display/CMPL/Templates" TargetMode="External" Id="rId28" /><Relationship Type="http://schemas.openxmlformats.org/officeDocument/2006/relationships/hyperlink" Target="https://confluence.toolsfdg.net/display/CMPL/Templates" TargetMode="External" Id="rId27" /><Relationship Type="http://schemas.openxmlformats.org/officeDocument/2006/relationships/numbering" Target="numbering.xml" Id="rId5" /><Relationship Type="http://schemas.openxmlformats.org/officeDocument/2006/relationships/styles" Target="styles.xml" Id="rId6" /><Relationship Type="http://schemas.openxmlformats.org/officeDocument/2006/relationships/hyperlink" Target="https://drive.google.com/file/d/18A60yaCpY4HHsLSUpJWr_ub7eFJzxr3D/view" TargetMode="External" Id="rId29" /><Relationship Type="http://schemas.openxmlformats.org/officeDocument/2006/relationships/image" Target="media/image1.png" Id="rId8" /><Relationship Type="http://schemas.openxmlformats.org/officeDocument/2006/relationships/hyperlink" Target="https://docs.google.com/spreadsheets/d/1RvnNEUPAxTOIOWEi2aRBEaeldGOHwdqh/edit#gid=1213638293" TargetMode="External" Id="rId31" /><Relationship Type="http://schemas.openxmlformats.org/officeDocument/2006/relationships/hyperlink" Target="https://confluence.toolsfdg.net/pages/viewpage.action?pageId=213527717" TargetMode="External" Id="rId30" /><Relationship Type="http://schemas.openxmlformats.org/officeDocument/2006/relationships/header" Target="header1.xml" Id="rId11" /><Relationship Type="http://schemas.openxmlformats.org/officeDocument/2006/relationships/hyperlink" Target="https://confluence.toolsfdg.net/display/CMPL/ABC+Compliance+Framework" TargetMode="External" Id="rId33" /><Relationship Type="http://schemas.openxmlformats.org/officeDocument/2006/relationships/footer" Target="footer2.xml" Id="rId10" /><Relationship Type="http://schemas.openxmlformats.org/officeDocument/2006/relationships/hyperlink" Target="https://drive.google.com/file/d/15qo-lqm_-O08_wjy73xjg3xeuAMTmWyk/view" TargetMode="External" Id="rId32" /><Relationship Type="http://schemas.openxmlformats.org/officeDocument/2006/relationships/hyperlink" Target="https://services.uaefiu.gov.ae/goaml/Home" TargetMode="External" Id="rId13" /><Relationship Type="http://schemas.openxmlformats.org/officeDocument/2006/relationships/hyperlink" Target="https://boffice.toolsfdg.net/Products/Files/DocEditor.aspx?fileid=1383127&amp;doc=Z0VSS2h4UEF5UzNHL2hwOUR0WFFZdElrQUVDOU5ZbHl2SFZOZ0IvMXVPYz0_IjEzODMxMjci0" TargetMode="External" Id="rId35" /><Relationship Type="http://schemas.openxmlformats.org/officeDocument/2006/relationships/hyperlink" Target="https://docs.google.com/spreadsheets/d/1cKCDKJlVrAZ3oPhHm9je_ZatJNbep-aQbw-Y7azmYlA/edit#gid=344069587" TargetMode="External" Id="rId12" /><Relationship Type="http://schemas.openxmlformats.org/officeDocument/2006/relationships/hyperlink" Target="https://docs.google.com/document/d/1NIkUE9FfgJGUGS9MXns1bsUYDct4lLSy/edit" TargetMode="External" Id="rId34" /><Relationship Type="http://schemas.openxmlformats.org/officeDocument/2006/relationships/hyperlink" Target="https://www.datagrail.io/glossary/gdpr/" TargetMode="External" Id="rId15" /><Relationship Type="http://schemas.openxmlformats.org/officeDocument/2006/relationships/header" Target="header2.xml" Id="rId37" /><Relationship Type="http://schemas.openxmlformats.org/officeDocument/2006/relationships/hyperlink" Target="https://www.uaeiec.gov.ae/en-us/un-page" TargetMode="External" Id="rId14" /><Relationship Type="http://schemas.openxmlformats.org/officeDocument/2006/relationships/hyperlink" Target="https://confluence.toolsfdg.net/pages/viewpage.action?pageId=349642998" TargetMode="External" Id="rId36" /><Relationship Type="http://schemas.openxmlformats.org/officeDocument/2006/relationships/hyperlink" Target="https://confluence.toolsfdg.net/display/CMPL/Compliance+Risk+Management+Framework" TargetMode="External" Id="rId17" /><Relationship Type="http://schemas.openxmlformats.org/officeDocument/2006/relationships/hyperlink" Target="https://docs.google.com/document/d/1nwgLQOmMSRxfpstEDoX6WxvxY2jopK_15A_LqOPsv3o/edit?tab=t.0" TargetMode="External" Id="rId39" /><Relationship Type="http://schemas.openxmlformats.org/officeDocument/2006/relationships/hyperlink" Target="https://confluence.toolsfdg.net/display/CMPL/Compliance+Policies+and+Procedures+Hub" TargetMode="External" Id="rId16" /><Relationship Type="http://schemas.openxmlformats.org/officeDocument/2006/relationships/hyperlink" Target="https://confluence.toolsfdg.net/display/CMPL/Compliance+Offboarding+Frameworks" TargetMode="External" Id="rId38" /><Relationship Type="http://schemas.openxmlformats.org/officeDocument/2006/relationships/hyperlink" Target="https://confluence.toolsfdg.net/pages/viewpage.action?pageId=213527717" TargetMode="External" Id="rId19" /><Relationship Type="http://schemas.openxmlformats.org/officeDocument/2006/relationships/hyperlink" Target="https://confluence.toolsfdg.net/pages/viewpage.action?pageId=213527717" TargetMode="External" Id="rId18" /></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1" Type="http://schemas.openxmlformats.org/officeDocument/2006/relationships/hyperlink" Target="https://www.binance.com/en/square/post/6219665527650" TargetMode="External"/><Relationship Id="rId2" Type="http://schemas.openxmlformats.org/officeDocument/2006/relationships/hyperlink" Target="https://bn.my.onetrust.com/data-mapp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2025-12-09T12:12:29.0000000Z</dcterms:created>
</coreProperties>
</file>

<file path=docProps/custom.xml><?xml version="1.0" encoding="utf-8"?>
<op:Properties xmlns:vt="http://schemas.openxmlformats.org/officeDocument/2006/docPropsVTypes" xmlns:op="http://schemas.openxmlformats.org/officeDocument/2006/custom-properties"/>
</file>