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Pr="00000000" w:rsidR="00000000" w:rsidDel="00000000" w:rsidP="00000000" w:rsidRDefault="00000000" w14:paraId="00000001">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pPr>
      <w:r w:rsidRPr="00000000" w:rsidDel="00000000" w:rsid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w:pict>
      </w:r>
    </w:p>
    <w:p w:rsidRPr="00000000" w:rsidR="00000000" w:rsidDel="00000000" w:rsidP="00000000" w:rsidRDefault="00000000" w14:paraId="00000002">
      <w:pPr>
        <w:spacing w:before="240" w:after="240" w:lineRule="auto"/>
        <w:ind w:left="3240" w:firstLine="0"/>
        <w:rPr/>
      </w:pPr>
      <w:r w:rsidRPr="00000000" w:rsidDel="00000000" w:rsidR="00000000">
        <w:rPr>
          <w:rtl w:val="0"/>
        </w:rPr>
        <w:t xml:space="preserve"> </w:t>
      </w:r>
      <w:r w:rsidRPr="00000000" w:rsidDel="00000000" w:rsidR="00000000">
        <w:rPr/>
        <w:drawing>
          <wp:inline distT="0" distB="0" distL="0" distR="0">
            <wp:extent cx="3848099" cy="942975"/>
            <wp:effectExtent l="0" t="0" r="0" b="0"/>
            <wp:docPr id="14" name="image1.png"/>
            <a:graphic>
              <a:graphicData uri="http://schemas.openxmlformats.org/drawingml/2006/picture">
                <pic:pic>
                  <pic:nvPicPr>
                    <pic:cNvPr id="0" name="image1.png"/>
                    <pic:cNvPicPr preferRelativeResize="0"/>
                  </pic:nvPicPr>
                  <pic:blipFill>
                    <a:blip r:embed="rId8"/>
                    <a:srcRect l="0" t="0" r="0" b="0"/>
                    <a:stretch>
                      <a:fillRect/>
                    </a:stretch>
                  </pic:blipFill>
                  <pic:spPr>
                    <a:xfrm>
                      <a:off x="0" y="0"/>
                      <a:ext cx="3848099" cy="942975"/>
                    </a:xfrm>
                    <a:prstGeom prst="rect"/>
                    <a:ln/>
                  </pic:spPr>
                </pic:pic>
              </a:graphicData>
            </a:graphic>
          </wp:inline>
        </w:drawing>
      </w:r>
      <w:r w:rsidRPr="00000000" w:rsidDel="00000000" w:rsidR="00000000">
        <w:rPr>
          <w:rtl w:val="0"/>
        </w:rPr>
      </w:r>
    </w:p>
    <w:p w:rsidRPr="00000000" w:rsidR="00000000" w:rsidDel="00000000" w:rsidP="00000000" w:rsidRDefault="00000000" w14:paraId="00000003">
      <w:pPr>
        <w:spacing w:after="0" w:line="240" w:lineRule="auto"/>
        <w:rPr/>
      </w:pPr>
      <w:r w:rsidRPr="00000000" w:rsidDel="00000000" w:rsidR="00000000">
        <w:rPr>
          <w:rtl w:val="0"/>
        </w:rPr>
      </w:r>
    </w:p>
    <w:p w:rsidRPr="00000000" w:rsidR="00000000" w:rsidDel="00000000" w:rsidP="00000000" w:rsidRDefault="00000000" w14:paraId="00000004">
      <w:pPr>
        <w:spacing w:after="0" w:line="240" w:lineRule="auto"/>
        <w:rPr/>
      </w:pPr>
      <w:r w:rsidRPr="00000000" w:rsidDel="00000000" w:rsidR="00000000">
        <w:rPr>
          <w:rtl w:val="0"/>
        </w:rPr>
      </w:r>
    </w:p>
    <w:p w:rsidRPr="00000000" w:rsidR="00000000" w:rsidDel="00000000" w:rsidP="00000000" w:rsidRDefault="00000000" w14:paraId="00000005">
      <w:pPr>
        <w:widowControl w:val="0"/>
        <w:spacing w:after="0" w:line="240" w:lineRule="auto"/>
        <w:rPr>
          <w:sz w:val="20"/>
          <w:szCs w:val="20"/>
        </w:rPr>
      </w:pPr>
      <w:r w:rsidRPr="00000000" w:rsidDel="00000000" w:rsidR="00000000">
        <w:rPr>
          <w:rtl w:val="0"/>
        </w:rPr>
      </w:r>
    </w:p>
    <w:tbl>
      <w:tblPr>
        <w:tblStyle w:val="Table1"/>
        <w:tblW w:w="9570.0" w:type="dxa"/>
        <w:jc w:val="left"/>
        <w:tblInd w:w="-115.0" w:type="dxa"/>
        <w:tblBorders>
          <w:left w:val="single" w:color="4472c4" w:sz="12" w:space="0"/>
        </w:tblBorders>
        <w:tblLayout w:type="fixed"/>
        <w:tblLook w:val="0400"/>
      </w:tblPr>
      <w:tblGrid>
        <w:gridCol w:w="9570"/>
        <w:tblGridChange w:id="0">
          <w:tblGrid>
            <w:gridCol w:w="9570"/>
          </w:tblGrid>
        </w:tblGridChange>
      </w:tblGrid>
      <w:tr>
        <w:trPr>
          <w:cantSplit w:val="0"/>
          <w:trHeight w:val="1785" w:hRule="atLeast"/>
          <w:tblHeader w:val="0"/>
        </w:trPr>
        <w:tc>
          <w:tcPr>
            <w:tcBorders>
              <w:left w:val="single" w:color="f0b90b" w:sz="12" w:space="0"/>
            </w:tcBorders>
            <w:tcMar>
              <w:top w:w="216.0" w:type="dxa"/>
              <w:left w:w="115.0" w:type="dxa"/>
              <w:bottom w:w="216.0" w:type="dxa"/>
              <w:right w:w="115.0" w:type="dxa"/>
            </w:tcMar>
            <w:vAlign w:val="center"/>
          </w:tcPr>
          <w:p w:rsidRPr="00000000" w:rsidR="00000000" w:rsidDel="00000000" w:rsidP="00000000" w:rsidRDefault="00000000" w14:paraId="00000006">
            <w:pPr>
              <w:keepNext w:val="1"/>
              <w:keepLines w:val="1"/>
              <w:spacing w:before="100" w:after="100" w:lineRule="auto"/>
              <w:ind w:right="-120"/>
              <w:rPr>
                <w:b w:val="1"/>
                <w:bCs w:val="1"/>
                <w:sz w:val="48"/>
                <w:szCs w:val="48"/>
              </w:rPr>
            </w:pPr>
            <w:bookmarkStart w:name="_heading=h.cwys9xbwbswy" w:colFirst="0" w:colLast="0" w:id="0"/>
            <w:bookmarkEnd w:id="0"/>
            <w:r w:rsidRPr="00000000" w:rsidDel="00000000" w:rsidR="00000000">
              <w:rPr>
                <w:sz w:val="36"/>
                <w:szCs w:val="36"/>
                <w:rtl w:val="0"/>
              </w:rPr>
              <w:t xml:space="preserve"> </w:t>
            </w:r>
            <w:r w:rsidRPr="00000000" w:rsidDel="00000000" w:rsidR="00000000">
              <w:rPr>
                <w:b w:val="1"/>
                <w:bCs w:val="1"/>
                <w:sz w:val="48"/>
                <w:szCs w:val="48"/>
                <w:rtl w:val="0"/>
              </w:rPr>
              <w:t xml:space="preserve">Global Transaction Monitoring </w:t>
            </w:r>
          </w:p>
          <w:p w:rsidRPr="00000000" w:rsidR="00000000" w:rsidDel="00000000" w:rsidP="00000000" w:rsidRDefault="00000000" w14:paraId="00000007">
            <w:pPr>
              <w:keepNext w:val="1"/>
              <w:keepLines w:val="1"/>
              <w:spacing w:before="100" w:after="100" w:lineRule="auto"/>
              <w:ind w:right="-120"/>
              <w:rPr>
                <w:sz w:val="48"/>
                <w:szCs w:val="48"/>
              </w:rPr>
            </w:pPr>
            <w:r w:rsidRPr="00000000" w:rsidDel="00000000" w:rsidR="00000000">
              <w:rPr>
                <w:b w:val="1"/>
                <w:bCs w:val="1"/>
                <w:sz w:val="48"/>
                <w:szCs w:val="48"/>
                <w:rtl w:val="0"/>
              </w:rPr>
              <w:t xml:space="preserve"> Operating Procedures</w:t>
            </w:r>
            <w:r w:rsidRPr="00000000" w:rsidDel="00000000" w:rsidR="00000000">
              <w:rPr>
                <w:sz w:val="48"/>
                <w:szCs w:val="48"/>
                <w:rtl w:val="0"/>
              </w:rPr>
              <w:t xml:space="preserve"> </w:t>
            </w:r>
          </w:p>
          <w:p w:rsidRPr="00000000" w:rsidR="00000000" w:rsidDel="00000000" w:rsidP="00000000" w:rsidRDefault="00000000" w14:paraId="00000008">
            <w:pPr>
              <w:keepNext w:val="1"/>
              <w:keepLines w:val="1"/>
              <w:spacing w:before="100" w:after="100" w:lineRule="auto"/>
              <w:ind w:right="-210"/>
              <w:rPr>
                <w:i w:val="1"/>
                <w:iCs w:val="1"/>
                <w:color w:val="434343"/>
                <w:sz w:val="18"/>
                <w:szCs w:val="18"/>
              </w:rPr>
            </w:pPr>
            <w:r w:rsidRPr="00000000" w:rsidDel="00000000" w:rsidR="00000000">
              <w:rPr>
                <w:i w:val="1"/>
                <w:iCs w:val="1"/>
                <w:color w:val="434343"/>
                <w:sz w:val="18"/>
                <w:szCs w:val="18"/>
                <w:rtl w:val="0"/>
              </w:rPr>
              <w:t xml:space="preserve"> </w:t>
            </w:r>
          </w:p>
        </w:tc>
      </w:tr>
      <w:tr>
        <w:trPr>
          <w:cantSplit w:val="0"/>
          <w:trHeight w:val="1165" w:hRule="atLeast"/>
          <w:tblHeader w:val="0"/>
        </w:trPr>
        <w:tc>
          <w:tcPr>
            <w:tcBorders>
              <w:left w:val="single" w:color="f0b90b" w:sz="12" w:space="0"/>
            </w:tcBorders>
            <w:tcMar>
              <w:top w:w="216.0" w:type="dxa"/>
              <w:left w:w="115.0" w:type="dxa"/>
              <w:bottom w:w="216.0" w:type="dxa"/>
              <w:right w:w="115.0" w:type="dxa"/>
            </w:tcMar>
            <w:vAlign w:val="center"/>
          </w:tcPr>
          <w:p w:rsidRPr="00000000" w:rsidR="00000000" w:rsidDel="00000000" w:rsidP="00000000" w:rsidRDefault="00000000" w14:paraId="00000009">
            <w:pPr>
              <w:keepNext w:val="1"/>
              <w:keepLines w:val="1"/>
              <w:spacing w:before="100" w:after="100" w:lineRule="auto"/>
              <w:rPr>
                <w:sz w:val="36"/>
                <w:szCs w:val="36"/>
              </w:rPr>
            </w:pPr>
            <w:r w:rsidRPr="00000000" w:rsidDel="00000000" w:rsidR="00000000">
              <w:rPr>
                <w:sz w:val="36"/>
                <w:szCs w:val="36"/>
                <w:rtl w:val="0"/>
              </w:rPr>
              <w:t xml:space="preserve"> Transaction Monitoring Investigations</w:t>
            </w:r>
          </w:p>
        </w:tc>
      </w:tr>
    </w:tbl>
    <w:p w:rsidRPr="00000000" w:rsidR="00000000" w:rsidDel="00000000" w:rsidP="00000000" w:rsidRDefault="00000000" w14:paraId="0000000A">
      <w:pPr>
        <w:spacing w:after="0" w:line="240" w:lineRule="auto"/>
        <w:rPr/>
      </w:pPr>
      <w:r w:rsidRPr="00000000" w:rsidDel="00000000" w:rsidR="00000000">
        <w:rPr>
          <w:rtl w:val="0"/>
        </w:rPr>
      </w:r>
    </w:p>
    <w:p w:rsidRPr="00000000" w:rsidR="00000000" w:rsidDel="00000000" w:rsidP="00000000" w:rsidRDefault="00000000" w14:paraId="0000000B">
      <w:pPr>
        <w:spacing w:after="0" w:line="240" w:lineRule="auto"/>
        <w:rPr/>
      </w:pPr>
      <w:r w:rsidRPr="00000000" w:rsidDel="00000000" w:rsidR="00000000">
        <w:rPr>
          <w:rtl w:val="0"/>
        </w:rPr>
      </w:r>
    </w:p>
    <w:p w:rsidRPr="00000000" w:rsidR="00000000" w:rsidDel="00000000" w:rsidP="00000000" w:rsidRDefault="00000000" w14:paraId="0000000C">
      <w:pPr>
        <w:ind w:hanging="360"/>
        <w:rPr>
          <w:b w:val="1"/>
          <w:bCs w:val="1"/>
          <w:sz w:val="24"/>
          <w:szCs w:val="24"/>
        </w:rPr>
      </w:pPr>
      <w:r w:rsidRPr="00000000" w:rsidDel="00000000" w:rsidR="00000000">
        <w:rPr>
          <w:rtl w:val="0"/>
        </w:rPr>
      </w:r>
    </w:p>
    <w:p w:rsidRPr="00000000" w:rsidR="00000000" w:rsidDel="00000000" w:rsidP="00000000" w:rsidRDefault="00000000" w14:paraId="0000000D">
      <w:pPr>
        <w:ind w:hanging="360"/>
        <w:rPr>
          <w:b w:val="1"/>
          <w:bCs w:val="1"/>
          <w:sz w:val="24"/>
          <w:szCs w:val="24"/>
        </w:rPr>
      </w:pPr>
      <w:r w:rsidRPr="00000000" w:rsidDel="00000000" w:rsidR="00000000">
        <w:rPr>
          <w:rtl w:val="0"/>
        </w:rPr>
      </w:r>
    </w:p>
    <w:p w:rsidRPr="00000000" w:rsidR="00000000" w:rsidDel="00000000" w:rsidP="00000000" w:rsidRDefault="00000000" w14:paraId="0000000E">
      <w:pPr>
        <w:ind w:hanging="360"/>
        <w:rPr>
          <w:b w:val="1"/>
          <w:bCs w:val="1"/>
          <w:sz w:val="24"/>
          <w:szCs w:val="24"/>
        </w:rPr>
      </w:pPr>
      <w:r w:rsidRPr="00000000" w:rsidDel="00000000" w:rsidR="00000000">
        <w:rPr>
          <w:b w:val="1"/>
          <w:bCs w:val="1"/>
          <w:sz w:val="24"/>
          <w:szCs w:val="24"/>
          <w:rtl w:val="0"/>
        </w:rPr>
        <w:t xml:space="preserve">Document Version Control</w:t>
      </w:r>
    </w:p>
    <w:tbl>
      <w:tblPr>
        <w:tblStyle w:val="Table2"/>
        <w:tblW w:w="10110.0" w:type="dxa"/>
        <w:jc w:val="left"/>
        <w:tblInd w:w="-34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190"/>
        <w:gridCol w:w="7920"/>
        <w:tblGridChange w:id="0">
          <w:tblGrid>
            <w:gridCol w:w="2190"/>
            <w:gridCol w:w="7920"/>
          </w:tblGrid>
        </w:tblGridChange>
      </w:tblGrid>
      <w:tr>
        <w:trPr>
          <w:cantSplit w:val="0"/>
          <w:trHeight w:val="60" w:hRule="atLeast"/>
          <w:tblHeader w:val="0"/>
        </w:trPr>
        <w:tc>
          <w:tcPr>
            <w:shd w:val="clear" w:fill="d9d9d9"/>
            <w:vAlign w:val="center"/>
          </w:tcPr>
          <w:p w:rsidRPr="00000000" w:rsidR="00000000" w:rsidDel="00000000" w:rsidP="00000000" w:rsidRDefault="00000000" w14:paraId="0000000F">
            <w:pPr>
              <w:rPr>
                <w:b w:val="1"/>
                <w:bCs w:val="1"/>
                <w:sz w:val="20"/>
                <w:szCs w:val="20"/>
              </w:rPr>
            </w:pPr>
            <w:r w:rsidRPr="00000000" w:rsidDel="00000000" w:rsidR="00000000">
              <w:rPr>
                <w:b w:val="1"/>
                <w:bCs w:val="1"/>
                <w:sz w:val="20"/>
                <w:szCs w:val="20"/>
                <w:rtl w:val="0"/>
              </w:rPr>
              <w:t xml:space="preserve">Version:</w:t>
            </w:r>
          </w:p>
        </w:tc>
        <w:tc>
          <w:tcPr>
            <w:vAlign w:val="center"/>
          </w:tcPr>
          <w:p w:rsidRPr="00000000" w:rsidR="00000000" w:rsidDel="00000000" w:rsidP="00000000" w:rsidRDefault="00000000" w14:paraId="00000010">
            <w:pPr>
              <w:pBdr>
                <w:top w:val="none" w:color="000000" w:sz="0" w:space="0"/>
                <w:left w:val="none" w:color="000000" w:sz="0" w:space="0"/>
                <w:bottom w:val="none" w:color="000000" w:sz="0" w:space="0"/>
                <w:right w:val="none" w:color="000000" w:sz="0" w:space="0"/>
                <w:between w:val="none" w:color="000000" w:sz="0" w:space="0"/>
              </w:pBdr>
              <w:jc w:val="both"/>
              <w:rPr>
                <w:b w:val="1"/>
                <w:bCs w:val="1"/>
              </w:rPr>
            </w:pPr>
            <w:r w:rsidRPr="00000000" w:rsidDel="00000000" w:rsidR="00000000">
              <w:rPr>
                <w:b w:val="1"/>
                <w:bCs w:val="1"/>
                <w:rtl w:val="0"/>
              </w:rPr>
              <w:t xml:space="preserve">1.1</w:t>
            </w:r>
            <w:r w:rsidRPr="00000000" w:rsidDel="00000000" w:rsidR="00000000">
              <w:rPr>
                <w:rtl w:val="0"/>
              </w:rPr>
            </w:r>
          </w:p>
        </w:tc>
      </w:tr>
      <w:tr>
        <w:trPr>
          <w:cantSplit w:val="0"/>
          <w:tblHeader w:val="0"/>
        </w:trPr>
        <w:tc>
          <w:tcPr>
            <w:shd w:val="clear" w:fill="d9d9d9"/>
            <w:vAlign w:val="center"/>
          </w:tcPr>
          <w:p w:rsidRPr="00000000" w:rsidR="00000000" w:rsidDel="00000000" w:rsidP="00000000" w:rsidRDefault="00000000" w14:paraId="00000011">
            <w:pPr>
              <w:rPr>
                <w:b w:val="1"/>
                <w:bCs w:val="1"/>
                <w:sz w:val="20"/>
                <w:szCs w:val="20"/>
              </w:rPr>
            </w:pPr>
            <w:r w:rsidRPr="00000000" w:rsidDel="00000000" w:rsidR="00000000">
              <w:rPr>
                <w:b w:val="1"/>
                <w:bCs w:val="1"/>
                <w:sz w:val="20"/>
                <w:szCs w:val="20"/>
                <w:rtl w:val="0"/>
              </w:rPr>
              <w:t xml:space="preserve">Date of Issue:</w:t>
            </w:r>
          </w:p>
        </w:tc>
        <w:tc>
          <w:tcPr>
            <w:vAlign w:val="center"/>
          </w:tcPr>
          <w:p w:rsidRPr="00000000" w:rsidR="00000000" w:rsidDel="00000000" w:rsidP="00000000" w:rsidRDefault="00000000" w14:paraId="00000012">
            <w:pPr>
              <w:shd w:val="clear" w:fill="ffffff"/>
              <w:spacing w:after="20" w:line="276" w:lineRule="auto"/>
              <w:ind w:left="-20" w:firstLine="0"/>
              <w:jc w:val="both"/>
              <w:rPr>
                <w:sz w:val="20"/>
                <w:szCs w:val="20"/>
              </w:rPr>
            </w:pPr>
            <w:r w:rsidRPr="00000000" w:rsidDel="00000000" w:rsidR="00000000">
              <w:rPr>
                <w:b w:val="1"/>
                <w:bCs w:val="1"/>
                <w:rtl w:val="0"/>
              </w:rPr>
              <w:t xml:space="preserve"> </w:t>
            </w:r>
            <w:r w:rsidRPr="00000000" w:rsidDel="00000000" w:rsidR="00000000">
              <w:rPr>
                <w:b w:val="1"/>
                <w:bCs w:val="1"/>
                <w:rtl w:val="0"/>
              </w:rPr>
              <w:t xml:space="preserve">Sep 24, 2025</w:t>
            </w:r>
            <w:r w:rsidRPr="00000000" w:rsidDel="00000000" w:rsidR="00000000">
              <w:rPr>
                <w:rtl w:val="0"/>
              </w:rPr>
            </w:r>
          </w:p>
        </w:tc>
      </w:tr>
      <w:tr>
        <w:trPr>
          <w:cantSplit w:val="0"/>
          <w:tblHeader w:val="0"/>
        </w:trPr>
        <w:tc>
          <w:tcPr>
            <w:shd w:val="clear" w:fill="d9d9d9"/>
            <w:tcMar>
              <w:top w:w="100.0" w:type="dxa"/>
              <w:left w:w="100.0" w:type="dxa"/>
              <w:bottom w:w="100.0" w:type="dxa"/>
              <w:right w:w="100.0" w:type="dxa"/>
            </w:tcMar>
            <w:vAlign w:val="center"/>
          </w:tcPr>
          <w:p w:rsidRPr="00000000" w:rsidR="00000000" w:rsidDel="00000000" w:rsidP="00000000" w:rsidRDefault="00000000" w14:paraId="00000013">
            <w:pPr>
              <w:rPr>
                <w:b w:val="1"/>
                <w:bCs w:val="1"/>
                <w:sz w:val="20"/>
                <w:szCs w:val="20"/>
              </w:rPr>
            </w:pPr>
            <w:r w:rsidRPr="00000000" w:rsidDel="00000000" w:rsidR="00000000">
              <w:rPr>
                <w:b w:val="1"/>
                <w:bCs w:val="1"/>
                <w:sz w:val="20"/>
                <w:szCs w:val="20"/>
                <w:rtl w:val="0"/>
              </w:rPr>
              <w:t xml:space="preserve">Document Owner:</w:t>
            </w:r>
          </w:p>
        </w:tc>
        <w:tc>
          <w:tcPr>
            <w:vAlign w:val="center"/>
          </w:tcPr>
          <w:p w:rsidRPr="00000000" w:rsidR="00000000" w:rsidDel="00000000" w:rsidP="00000000" w:rsidRDefault="00000000" w14:paraId="00000014">
            <w:pPr>
              <w:widowControl w:val="0"/>
              <w:rPr>
                <w:sz w:val="20"/>
                <w:szCs w:val="20"/>
              </w:rPr>
            </w:pPr>
            <w:r w:rsidRPr="00000000" w:rsidDel="00000000" w:rsidR="00000000">
              <w:rPr>
                <w:b w:val="1"/>
                <w:bCs w:val="1"/>
                <w:sz w:val="20"/>
                <w:szCs w:val="20"/>
                <w:rtl w:val="0"/>
              </w:rPr>
              <w:t xml:space="preserve">Albert Volcek</w:t>
            </w:r>
            <w:r w:rsidRPr="00000000" w:rsidDel="00000000" w:rsidR="00000000">
              <w:rPr>
                <w:sz w:val="20"/>
                <w:szCs w:val="20"/>
                <w:rtl w:val="0"/>
              </w:rPr>
              <w:t xml:space="preserve">, Transaction Monitoring Investigations Operations Lead</w:t>
            </w:r>
          </w:p>
          <w:p w:rsidRPr="00000000" w:rsidR="00000000" w:rsidDel="00000000" w:rsidP="00000000" w:rsidRDefault="00000000" w14:paraId="00000015">
            <w:pPr>
              <w:widowControl w:val="0"/>
              <w:rPr>
                <w:sz w:val="20"/>
                <w:szCs w:val="20"/>
              </w:rPr>
            </w:pPr>
            <w:r w:rsidRPr="00000000" w:rsidDel="00000000" w:rsidR="00000000">
              <w:rPr>
                <w:b w:val="1"/>
                <w:bCs w:val="1"/>
                <w:sz w:val="20"/>
                <w:szCs w:val="20"/>
                <w:rtl w:val="0"/>
              </w:rPr>
              <w:t xml:space="preserve">Wilson Cheung</w:t>
            </w:r>
            <w:r w:rsidRPr="00000000" w:rsidDel="00000000" w:rsidR="00000000">
              <w:rPr>
                <w:sz w:val="20"/>
                <w:szCs w:val="20"/>
                <w:rtl w:val="0"/>
              </w:rPr>
              <w:t xml:space="preserve">, MLRO/CO of ADGM (Nest Exchange Limited &amp; Nest Clearing and Custody Limited)</w:t>
            </w:r>
          </w:p>
          <w:p w:rsidRPr="00000000" w:rsidR="00000000" w:rsidDel="00000000" w:rsidP="00000000" w:rsidRDefault="00000000" w14:paraId="00000016">
            <w:pPr>
              <w:widowControl w:val="0"/>
              <w:rPr>
                <w:sz w:val="20"/>
                <w:szCs w:val="20"/>
              </w:rPr>
            </w:pPr>
            <w:r w:rsidRPr="00000000" w:rsidDel="00000000" w:rsidR="00000000">
              <w:rPr>
                <w:b w:val="1"/>
                <w:bCs w:val="1"/>
                <w:sz w:val="20"/>
                <w:szCs w:val="20"/>
                <w:rtl w:val="0"/>
              </w:rPr>
              <w:t xml:space="preserve">David Harrington</w:t>
            </w:r>
            <w:r w:rsidRPr="00000000" w:rsidDel="00000000" w:rsidR="00000000">
              <w:rPr>
                <w:sz w:val="20"/>
                <w:szCs w:val="20"/>
                <w:rtl w:val="0"/>
              </w:rPr>
              <w:t xml:space="preserve"> , MLRO/CO of ADGM (Nest Trading Limited)</w:t>
            </w:r>
          </w:p>
        </w:tc>
      </w:tr>
      <w:tr>
        <w:trPr>
          <w:cantSplit w:val="0"/>
          <w:tblHeader w:val="0"/>
        </w:trPr>
        <w:tc>
          <w:tcPr>
            <w:shd w:val="clear" w:fill="d9d9d9"/>
            <w:tcMar>
              <w:top w:w="100.0" w:type="dxa"/>
              <w:left w:w="100.0" w:type="dxa"/>
              <w:bottom w:w="100.0" w:type="dxa"/>
              <w:right w:w="100.0" w:type="dxa"/>
            </w:tcMar>
            <w:vAlign w:val="center"/>
          </w:tcPr>
          <w:p w:rsidRPr="00000000" w:rsidR="00000000" w:rsidDel="00000000" w:rsidP="00000000" w:rsidRDefault="00000000" w14:paraId="00000017">
            <w:pPr>
              <w:rPr>
                <w:b w:val="1"/>
                <w:bCs w:val="1"/>
                <w:sz w:val="20"/>
                <w:szCs w:val="20"/>
              </w:rPr>
            </w:pPr>
            <w:r w:rsidRPr="00000000" w:rsidDel="00000000" w:rsidR="00000000">
              <w:rPr>
                <w:b w:val="1"/>
                <w:bCs w:val="1"/>
                <w:sz w:val="20"/>
                <w:szCs w:val="20"/>
                <w:rtl w:val="0"/>
              </w:rPr>
              <w:t xml:space="preserve">Next Review Date:</w:t>
            </w:r>
          </w:p>
        </w:tc>
        <w:tc>
          <w:tcPr>
            <w:vAlign w:val="center"/>
          </w:tcPr>
          <w:p w:rsidRPr="00000000" w:rsidR="00000000" w:rsidDel="00000000" w:rsidP="00000000" w:rsidRDefault="00000000" w14:paraId="00000018">
            <w:pPr>
              <w:shd w:val="clear" w:fill="ffffff"/>
              <w:spacing w:after="20" w:line="276" w:lineRule="auto"/>
              <w:ind w:left="-20" w:firstLine="0"/>
              <w:jc w:val="both"/>
              <w:rPr>
                <w:sz w:val="20"/>
                <w:szCs w:val="20"/>
              </w:rPr>
            </w:pPr>
            <w:r w:rsidRPr="00000000" w:rsidDel="00000000" w:rsidR="00000000">
              <w:rPr>
                <w:b w:val="1"/>
                <w:bCs w:val="1"/>
                <w:rtl w:val="0"/>
              </w:rPr>
              <w:t xml:space="preserve"> Sep 24, 2026</w:t>
            </w:r>
            <w:r w:rsidRPr="00000000" w:rsidDel="00000000" w:rsidR="00000000">
              <w:rPr>
                <w:rtl w:val="0"/>
              </w:rPr>
            </w:r>
          </w:p>
        </w:tc>
      </w:tr>
    </w:tbl>
    <w:p w:rsidRPr="00000000" w:rsidR="00000000" w:rsidDel="00000000" w:rsidP="00000000" w:rsidRDefault="00000000" w14:paraId="00000019">
      <w:pPr>
        <w:rPr>
          <w:b w:val="1"/>
          <w:bCs w:val="1"/>
          <w:sz w:val="24"/>
          <w:szCs w:val="24"/>
        </w:rPr>
      </w:pPr>
      <w:r w:rsidRPr="00000000" w:rsidDel="00000000" w:rsidR="00000000">
        <w:rPr>
          <w:rtl w:val="0"/>
        </w:rPr>
      </w:r>
    </w:p>
    <w:p w:rsidRPr="00000000" w:rsidR="00000000" w:rsidDel="00000000" w:rsidP="00000000" w:rsidRDefault="00000000" w14:paraId="0000001A">
      <w:pPr>
        <w:rPr/>
      </w:pPr>
      <w:r w:rsidRPr="00000000" w:rsidDel="00000000" w:rsidR="00000000">
        <w:rPr>
          <w:rtl w:val="0"/>
        </w:rPr>
      </w:r>
    </w:p>
    <w:p w:rsidRPr="00000000" w:rsidR="00000000" w:rsidDel="00000000" w:rsidP="00000000" w:rsidRDefault="00000000" w14:paraId="0000001B">
      <w:pPr>
        <w:rPr>
          <w:b w:val="1"/>
          <w:bCs w:val="1"/>
          <w:sz w:val="24"/>
          <w:szCs w:val="24"/>
        </w:rPr>
      </w:pPr>
      <w:r w:rsidRPr="00000000" w:rsidDel="00000000" w:rsidR="00000000">
        <w:br w:type="page"/>
      </w:r>
      <w:r w:rsidRPr="00000000" w:rsidDel="00000000" w:rsidR="00000000">
        <w:rPr>
          <w:b w:val="1"/>
          <w:bCs w:val="1"/>
          <w:sz w:val="24"/>
          <w:szCs w:val="24"/>
          <w:rtl w:val="0"/>
        </w:rPr>
        <w:t xml:space="preserve">Version History, Approval and Sign-Off</w:t>
      </w:r>
    </w:p>
    <w:sdt>
      <w:sdtPr>
        <w:lock w:val="contentLocked"/>
        <w:id w:val="418386321"/>
        <w:tag w:val="goog_rdk_0"/>
      </w:sdtPr>
      <w:sdtContent>
        <w:tbl>
          <w:tblPr>
            <w:tblStyle w:val="Table3"/>
            <w:tblW w:w="10920.0" w:type="dxa"/>
            <w:jc w:val="left"/>
            <w:tblInd w:w="-863.99999999999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870"/>
            <w:gridCol w:w="4755"/>
            <w:gridCol w:w="1290"/>
            <w:gridCol w:w="2040"/>
            <w:gridCol w:w="1965"/>
            <w:tblGridChange w:id="0">
              <w:tblGrid>
                <w:gridCol w:w="870"/>
                <w:gridCol w:w="4755"/>
                <w:gridCol w:w="1290"/>
                <w:gridCol w:w="2040"/>
                <w:gridCol w:w="1965"/>
              </w:tblGrid>
            </w:tblGridChange>
          </w:tblGrid>
          <w:tr>
            <w:trPr>
              <w:cantSplit w:val="0"/>
              <w:tblHeader w:val="0"/>
            </w:trPr>
            <w:tc>
              <w:tcPr>
                <w:shd w:val="clear" w:fill="d9d9d9"/>
                <w:vAlign w:val="center"/>
              </w:tcPr>
              <w:p w:rsidRPr="00000000" w:rsidR="00000000" w:rsidDel="00000000" w:rsidP="00000000" w:rsidRDefault="00000000" w14:paraId="0000001C">
                <w:pPr>
                  <w:jc w:val="center"/>
                  <w:rPr>
                    <w:b w:val="1"/>
                    <w:bCs w:val="1"/>
                    <w:sz w:val="18"/>
                    <w:szCs w:val="18"/>
                  </w:rPr>
                </w:pPr>
                <w:r w:rsidRPr="00000000" w:rsidDel="00000000" w:rsidR="00000000">
                  <w:rPr>
                    <w:b w:val="1"/>
                    <w:bCs w:val="1"/>
                    <w:sz w:val="18"/>
                    <w:szCs w:val="18"/>
                    <w:rtl w:val="0"/>
                  </w:rPr>
                  <w:t xml:space="preserve">Version No:</w:t>
                </w:r>
              </w:p>
            </w:tc>
            <w:tc>
              <w:tcPr>
                <w:shd w:val="clear" w:fill="d9d9d9"/>
                <w:tcMar>
                  <w:top w:w="100.0" w:type="dxa"/>
                  <w:left w:w="100.0" w:type="dxa"/>
                  <w:bottom w:w="100.0" w:type="dxa"/>
                  <w:right w:w="100.0" w:type="dxa"/>
                </w:tcMar>
                <w:vAlign w:val="center"/>
              </w:tcPr>
              <w:p w:rsidRPr="00000000" w:rsidR="00000000" w:rsidDel="00000000" w:rsidP="00000000" w:rsidRDefault="00000000" w14:paraId="0000001D">
                <w:pPr>
                  <w:jc w:val="center"/>
                  <w:rPr>
                    <w:b w:val="1"/>
                    <w:bCs w:val="1"/>
                    <w:sz w:val="20"/>
                    <w:szCs w:val="20"/>
                  </w:rPr>
                </w:pPr>
                <w:r w:rsidRPr="00000000" w:rsidDel="00000000" w:rsidR="00000000">
                  <w:rPr>
                    <w:b w:val="1"/>
                    <w:bCs w:val="1"/>
                    <w:sz w:val="20"/>
                    <w:szCs w:val="20"/>
                    <w:rtl w:val="0"/>
                  </w:rPr>
                  <w:t xml:space="preserve">Change Description</w:t>
                </w:r>
              </w:p>
            </w:tc>
            <w:tc>
              <w:tcPr>
                <w:shd w:val="clear" w:fill="d9d9d9"/>
                <w:tcMar>
                  <w:top w:w="100.0" w:type="dxa"/>
                  <w:left w:w="100.0" w:type="dxa"/>
                  <w:bottom w:w="100.0" w:type="dxa"/>
                  <w:right w:w="100.0" w:type="dxa"/>
                </w:tcMar>
                <w:vAlign w:val="center"/>
              </w:tcPr>
              <w:p w:rsidRPr="00000000" w:rsidR="00000000" w:rsidDel="00000000" w:rsidP="00000000" w:rsidRDefault="00000000" w14:paraId="0000001E">
                <w:pPr>
                  <w:jc w:val="center"/>
                  <w:rPr>
                    <w:b w:val="1"/>
                    <w:bCs w:val="1"/>
                    <w:sz w:val="18"/>
                    <w:szCs w:val="18"/>
                  </w:rPr>
                </w:pPr>
                <w:r w:rsidRPr="00000000" w:rsidDel="00000000" w:rsidR="00000000">
                  <w:rPr>
                    <w:b w:val="1"/>
                    <w:bCs w:val="1"/>
                    <w:sz w:val="18"/>
                    <w:szCs w:val="18"/>
                    <w:rtl w:val="0"/>
                  </w:rPr>
                  <w:t xml:space="preserve">Author</w:t>
                </w:r>
              </w:p>
            </w:tc>
            <w:tc>
              <w:tcPr>
                <w:shd w:val="clear" w:fill="d9d9d9"/>
                <w:vAlign w:val="center"/>
              </w:tcPr>
              <w:p w:rsidRPr="00000000" w:rsidR="00000000" w:rsidDel="00000000" w:rsidP="00000000" w:rsidRDefault="00000000" w14:paraId="0000001F">
                <w:pPr>
                  <w:jc w:val="center"/>
                  <w:rPr>
                    <w:b w:val="1"/>
                    <w:bCs w:val="1"/>
                    <w:sz w:val="18"/>
                    <w:szCs w:val="18"/>
                  </w:rPr>
                </w:pPr>
                <w:r w:rsidRPr="00000000" w:rsidDel="00000000" w:rsidR="00000000">
                  <w:rPr>
                    <w:b w:val="1"/>
                    <w:bCs w:val="1"/>
                    <w:sz w:val="18"/>
                    <w:szCs w:val="18"/>
                    <w:rtl w:val="0"/>
                  </w:rPr>
                  <w:t xml:space="preserve">Department / </w:t>
                </w:r>
              </w:p>
              <w:p w:rsidRPr="00000000" w:rsidR="00000000" w:rsidDel="00000000" w:rsidP="00000000" w:rsidRDefault="00000000" w14:paraId="00000020">
                <w:pPr>
                  <w:jc w:val="center"/>
                  <w:rPr>
                    <w:b w:val="1"/>
                    <w:bCs w:val="1"/>
                    <w:sz w:val="18"/>
                    <w:szCs w:val="18"/>
                  </w:rPr>
                </w:pPr>
                <w:r w:rsidRPr="00000000" w:rsidDel="00000000" w:rsidR="00000000">
                  <w:rPr>
                    <w:b w:val="1"/>
                    <w:bCs w:val="1"/>
                    <w:sz w:val="18"/>
                    <w:szCs w:val="18"/>
                    <w:rtl w:val="0"/>
                  </w:rPr>
                  <w:t xml:space="preserve">Approval Authority:</w:t>
                </w:r>
              </w:p>
            </w:tc>
            <w:tc>
              <w:tcPr>
                <w:shd w:val="clear" w:fill="d9d9d9"/>
                <w:vAlign w:val="center"/>
              </w:tcPr>
              <w:p w:rsidRPr="00000000" w:rsidR="00000000" w:rsidDel="00000000" w:rsidP="00000000" w:rsidRDefault="00000000" w14:paraId="00000021">
                <w:pPr>
                  <w:jc w:val="center"/>
                  <w:rPr>
                    <w:b w:val="1"/>
                    <w:bCs w:val="1"/>
                    <w:sz w:val="18"/>
                    <w:szCs w:val="18"/>
                  </w:rPr>
                </w:pPr>
                <w:r w:rsidRPr="00000000" w:rsidDel="00000000" w:rsidR="00000000">
                  <w:rPr>
                    <w:b w:val="1"/>
                    <w:bCs w:val="1"/>
                    <w:sz w:val="18"/>
                    <w:szCs w:val="18"/>
                    <w:rtl w:val="0"/>
                  </w:rPr>
                  <w:t xml:space="preserve">Review &amp; </w:t>
                </w:r>
              </w:p>
              <w:p w:rsidRPr="00000000" w:rsidR="00000000" w:rsidDel="00000000" w:rsidP="00000000" w:rsidRDefault="00000000" w14:paraId="00000022">
                <w:pPr>
                  <w:jc w:val="center"/>
                  <w:rPr>
                    <w:b w:val="1"/>
                    <w:bCs w:val="1"/>
                    <w:sz w:val="18"/>
                    <w:szCs w:val="18"/>
                  </w:rPr>
                </w:pPr>
                <w:r w:rsidRPr="00000000" w:rsidDel="00000000" w:rsidR="00000000">
                  <w:rPr>
                    <w:b w:val="1"/>
                    <w:bCs w:val="1"/>
                    <w:sz w:val="18"/>
                    <w:szCs w:val="18"/>
                    <w:rtl w:val="0"/>
                  </w:rPr>
                  <w:t xml:space="preserve">Approval Date</w:t>
                </w:r>
              </w:p>
            </w:tc>
          </w:tr>
          <w:tr>
            <w:trPr>
              <w:cantSplit w:val="0"/>
              <w:trHeight w:val="2925" w:hRule="atLeast"/>
              <w:tblHeader w:val="0"/>
            </w:trPr>
            <w:tc>
              <w:tcPr>
                <w:vMerge w:val="restart"/>
                <w:vAlign w:val="center"/>
              </w:tcPr>
              <w:p w:rsidRPr="00000000" w:rsidR="00000000" w:rsidDel="00000000" w:rsidP="00000000" w:rsidRDefault="00000000" w14:paraId="00000023">
                <w:pPr>
                  <w:jc w:val="center"/>
                  <w:rPr>
                    <w:b w:val="1"/>
                    <w:bCs w:val="1"/>
                  </w:rPr>
                </w:pPr>
                <w:r w:rsidRPr="00000000" w:rsidDel="00000000" w:rsidR="00000000">
                  <w:rPr>
                    <w:b w:val="1"/>
                    <w:bCs w:val="1"/>
                    <w:rtl w:val="0"/>
                  </w:rPr>
                  <w:t xml:space="preserve">1.1</w:t>
                </w:r>
              </w:p>
            </w:tc>
            <w:tc>
              <w:tcPr>
                <w:vMerge w:val="restart"/>
                <w:vAlign w:val="center"/>
              </w:tcPr>
              <w:p w:rsidRPr="00000000" w:rsidR="00000000" w:rsidDel="00000000" w:rsidP="00000000" w:rsidRDefault="00000000" w14:paraId="00000024">
                <w:pPr>
                  <w:keepNext w:val="0"/>
                  <w:keepLines w:val="0"/>
                  <w:widowControl w:val="1"/>
                  <w:numPr>
                    <w:ilvl w:val="0"/>
                    <w:numId w:val="4"/>
                  </w:numPr>
                  <w:pBdr>
                    <w:top w:val="nil" w:sz="0" w:space="0"/>
                    <w:left w:val="nil" w:sz="0" w:space="0"/>
                    <w:bottom w:val="nil" w:sz="0" w:space="0"/>
                    <w:right w:val="nil" w:sz="0" w:space="0"/>
                    <w:between w:val="nil" w:sz="0" w:space="0"/>
                  </w:pBdr>
                  <w:shd w:val="clear" w:fill="auto"/>
                  <w:spacing w:before="0" w:after="0" w:line="240" w:lineRule="auto"/>
                  <w:ind w:left="270" w:right="-15" w:hanging="270"/>
                  <w:jc w:val="both"/>
                  <w:rPr>
                    <w:sz w:val="18"/>
                    <w:szCs w:val="18"/>
                  </w:rPr>
                </w:pPr>
                <w:r w:rsidRPr="00000000" w:rsidDel="00000000" w:rsidR="00000000">
                  <w:rPr>
                    <w:sz w:val="18"/>
                    <w:szCs w:val="18"/>
                    <w:rtl w:val="0"/>
                  </w:rPr>
                  <w:t xml:space="preserve">Amended in line with UAE and ADGM regulatory requirements.</w:t>
                </w:r>
              </w:p>
              <w:p w:rsidRPr="00000000" w:rsidR="00000000" w:rsidDel="00000000" w:rsidP="00000000" w:rsidRDefault="00000000" w14:paraId="00000025">
                <w:pPr>
                  <w:numPr>
                    <w:ilvl w:val="0"/>
                    <w:numId w:val="4"/>
                  </w:numPr>
                  <w:ind w:left="270" w:right="-15"/>
                  <w:jc w:val="both"/>
                  <w:rPr>
                    <w:sz w:val="18"/>
                    <w:szCs w:val="18"/>
                  </w:rPr>
                </w:pPr>
                <w:r w:rsidRPr="00000000" w:rsidDel="00000000" w:rsidR="00000000">
                  <w:rPr>
                    <w:sz w:val="18"/>
                    <w:szCs w:val="18"/>
                    <w:rtl w:val="0"/>
                  </w:rPr>
                  <w:t xml:space="preserve">Added more details on the application of automated restrictions (4.1)</w:t>
                </w:r>
              </w:p>
              <w:p w:rsidRPr="00000000" w:rsidR="00000000" w:rsidDel="00000000" w:rsidP="00000000" w:rsidRDefault="00000000" w14:paraId="00000026">
                <w:pPr>
                  <w:numPr>
                    <w:ilvl w:val="0"/>
                    <w:numId w:val="4"/>
                  </w:numPr>
                  <w:ind w:left="270" w:right="-15"/>
                  <w:jc w:val="both"/>
                  <w:rPr>
                    <w:sz w:val="18"/>
                    <w:szCs w:val="18"/>
                  </w:rPr>
                </w:pPr>
                <w:r w:rsidRPr="00000000" w:rsidDel="00000000" w:rsidR="00000000">
                  <w:rPr>
                    <w:sz w:val="18"/>
                    <w:szCs w:val="18"/>
                    <w:rtl w:val="0"/>
                  </w:rPr>
                  <w:t xml:space="preserve">Added clear and consistent definitions for Live/Post alerts; Update of Transaction Screening definitions (4.1)</w:t>
                </w:r>
              </w:p>
              <w:p w:rsidRPr="00000000" w:rsidR="00000000" w:rsidDel="00000000" w:rsidP="00000000" w:rsidRDefault="00000000" w14:paraId="00000027">
                <w:pPr>
                  <w:numPr>
                    <w:ilvl w:val="0"/>
                    <w:numId w:val="4"/>
                  </w:numPr>
                  <w:ind w:left="270" w:right="-15"/>
                  <w:jc w:val="both"/>
                  <w:rPr>
                    <w:sz w:val="18"/>
                    <w:szCs w:val="18"/>
                  </w:rPr>
                </w:pPr>
                <w:r w:rsidRPr="00000000" w:rsidDel="00000000" w:rsidR="00000000">
                  <w:rPr>
                    <w:sz w:val="18"/>
                    <w:szCs w:val="18"/>
                    <w:rtl w:val="0"/>
                  </w:rPr>
                  <w:t xml:space="preserve">Added Behavioural Matrix (7.2)</w:t>
                </w:r>
              </w:p>
              <w:p w:rsidRPr="00000000" w:rsidR="00000000" w:rsidDel="00000000" w:rsidP="00000000" w:rsidRDefault="00000000" w14:paraId="00000028">
                <w:pPr>
                  <w:numPr>
                    <w:ilvl w:val="0"/>
                    <w:numId w:val="4"/>
                  </w:numPr>
                  <w:ind w:left="270" w:right="-15"/>
                  <w:jc w:val="both"/>
                  <w:rPr>
                    <w:sz w:val="18"/>
                    <w:szCs w:val="18"/>
                  </w:rPr>
                </w:pPr>
                <w:r w:rsidRPr="00000000" w:rsidDel="00000000" w:rsidR="00000000">
                  <w:rPr>
                    <w:sz w:val="18"/>
                    <w:szCs w:val="18"/>
                    <w:rtl w:val="0"/>
                  </w:rPr>
                  <w:t xml:space="preserve">Update Red Flags with Third-party payments risk (7.6.2)</w:t>
                </w:r>
              </w:p>
              <w:p w:rsidRPr="00000000" w:rsidR="00000000" w:rsidDel="00000000" w:rsidP="00000000" w:rsidRDefault="00000000" w14:paraId="00000029">
                <w:pPr>
                  <w:numPr>
                    <w:ilvl w:val="0"/>
                    <w:numId w:val="4"/>
                  </w:numPr>
                  <w:ind w:left="270" w:right="-15"/>
                  <w:jc w:val="both"/>
                  <w:rPr>
                    <w:sz w:val="18"/>
                    <w:szCs w:val="18"/>
                  </w:rPr>
                </w:pPr>
                <w:r w:rsidRPr="00000000" w:rsidDel="00000000" w:rsidR="00000000">
                  <w:rPr>
                    <w:sz w:val="18"/>
                    <w:szCs w:val="18"/>
                    <w:rtl w:val="0"/>
                  </w:rPr>
                  <w:t xml:space="preserve">Added official permission for L1 to perform an analysis of intermediary addresses for indirect exposure, including guidance on when it may be appropriate to do so as part of a holistic approach (7.6.3)</w:t>
                </w:r>
              </w:p>
              <w:p w:rsidRPr="00000000" w:rsidR="00000000" w:rsidDel="00000000" w:rsidP="00000000" w:rsidRDefault="00000000" w14:paraId="0000002A">
                <w:pPr>
                  <w:numPr>
                    <w:ilvl w:val="0"/>
                    <w:numId w:val="4"/>
                  </w:numPr>
                  <w:ind w:left="270" w:right="-15"/>
                  <w:jc w:val="both"/>
                  <w:rPr>
                    <w:sz w:val="18"/>
                    <w:szCs w:val="18"/>
                  </w:rPr>
                </w:pPr>
                <w:r w:rsidRPr="00000000" w:rsidDel="00000000" w:rsidR="00000000">
                  <w:rPr>
                    <w:sz w:val="18"/>
                    <w:szCs w:val="18"/>
                    <w:rtl w:val="0"/>
                  </w:rPr>
                  <w:t xml:space="preserve">Removed Name Screening Results step for Onchain TM (12)</w:t>
                </w:r>
              </w:p>
              <w:p w:rsidRPr="00000000" w:rsidR="00000000" w:rsidDel="00000000" w:rsidP="00000000" w:rsidRDefault="00000000" w14:paraId="0000002B">
                <w:pPr>
                  <w:numPr>
                    <w:ilvl w:val="0"/>
                    <w:numId w:val="4"/>
                  </w:numPr>
                  <w:ind w:left="270" w:right="-15"/>
                  <w:jc w:val="both"/>
                  <w:rPr>
                    <w:sz w:val="18"/>
                    <w:szCs w:val="18"/>
                  </w:rPr>
                </w:pPr>
                <w:r w:rsidRPr="00000000" w:rsidDel="00000000" w:rsidR="00000000">
                  <w:rPr>
                    <w:sz w:val="18"/>
                    <w:szCs w:val="18"/>
                    <w:rtl w:val="0"/>
                  </w:rPr>
                  <w:t xml:space="preserve">Added explanation on how On-chain TM priorities score and risk results across several Tools (12.5; 12.1.3)</w:t>
                </w:r>
              </w:p>
              <w:p w:rsidRPr="00000000" w:rsidR="00000000" w:rsidDel="00000000" w:rsidP="00000000" w:rsidRDefault="00000000" w14:paraId="0000002C">
                <w:pPr>
                  <w:numPr>
                    <w:ilvl w:val="0"/>
                    <w:numId w:val="4"/>
                  </w:numPr>
                  <w:ind w:left="270" w:right="-15"/>
                  <w:jc w:val="both"/>
                  <w:rPr>
                    <w:sz w:val="18"/>
                    <w:szCs w:val="18"/>
                  </w:rPr>
                </w:pPr>
                <w:r w:rsidRPr="00000000" w:rsidDel="00000000" w:rsidR="00000000">
                  <w:rPr>
                    <w:sz w:val="18"/>
                    <w:szCs w:val="18"/>
                    <w:rtl w:val="0"/>
                  </w:rPr>
                  <w:t xml:space="preserve">Added Onchain QC validation of Autoclose/AutoRFI (12.7.24)</w:t>
                </w:r>
              </w:p>
              <w:p w:rsidRPr="00000000" w:rsidR="00000000" w:rsidDel="00000000" w:rsidP="00000000" w:rsidRDefault="00000000" w14:paraId="0000002D">
                <w:pPr>
                  <w:numPr>
                    <w:ilvl w:val="0"/>
                    <w:numId w:val="4"/>
                  </w:numPr>
                  <w:ind w:left="270" w:right="-15"/>
                  <w:jc w:val="both"/>
                  <w:rPr>
                    <w:sz w:val="18"/>
                    <w:szCs w:val="18"/>
                  </w:rPr>
                </w:pPr>
                <w:r w:rsidRPr="00000000" w:rsidDel="00000000" w:rsidR="00000000">
                  <w:rPr>
                    <w:sz w:val="18"/>
                    <w:szCs w:val="18"/>
                    <w:rtl w:val="0"/>
                  </w:rPr>
                  <w:t xml:space="preserve">Included more guidance on when to conduct an extended transactional lookback (13.3.1)</w:t>
                </w:r>
              </w:p>
              <w:p w:rsidRPr="00000000" w:rsidR="00000000" w:rsidDel="00000000" w:rsidP="00000000" w:rsidRDefault="00000000" w14:paraId="0000002E">
                <w:pPr>
                  <w:numPr>
                    <w:ilvl w:val="0"/>
                    <w:numId w:val="4"/>
                  </w:numPr>
                  <w:ind w:left="270" w:right="-15"/>
                  <w:jc w:val="both"/>
                  <w:rPr>
                    <w:sz w:val="18"/>
                    <w:szCs w:val="18"/>
                  </w:rPr>
                </w:pPr>
                <w:r w:rsidRPr="00000000" w:rsidDel="00000000" w:rsidR="00000000">
                  <w:rPr>
                    <w:sz w:val="18"/>
                    <w:szCs w:val="18"/>
                    <w:rtl w:val="0"/>
                  </w:rPr>
                  <w:t xml:space="preserve">Update of Onchain QC related information (13.22)</w:t>
                </w:r>
              </w:p>
              <w:p w:rsidRPr="00000000" w:rsidR="00000000" w:rsidDel="00000000" w:rsidP="00000000" w:rsidRDefault="00000000" w14:paraId="0000002F">
                <w:pPr>
                  <w:numPr>
                    <w:ilvl w:val="0"/>
                    <w:numId w:val="4"/>
                  </w:numPr>
                  <w:ind w:left="270" w:right="-15"/>
                  <w:jc w:val="both"/>
                  <w:rPr>
                    <w:sz w:val="18"/>
                    <w:szCs w:val="18"/>
                  </w:rPr>
                </w:pPr>
                <w:r w:rsidRPr="00000000" w:rsidDel="00000000" w:rsidR="00000000">
                  <w:rPr>
                    <w:sz w:val="18"/>
                    <w:szCs w:val="18"/>
                    <w:rtl w:val="0"/>
                  </w:rPr>
                  <w:t xml:space="preserve">Added On-Chain and Off-Chain ML Model Overview (14)</w:t>
                </w:r>
              </w:p>
              <w:p w:rsidRPr="00000000" w:rsidR="00000000" w:rsidDel="00000000" w:rsidP="00000000" w:rsidRDefault="00000000" w14:paraId="00000030">
                <w:pPr>
                  <w:numPr>
                    <w:ilvl w:val="0"/>
                    <w:numId w:val="4"/>
                  </w:numPr>
                  <w:ind w:left="270" w:right="-15"/>
                  <w:jc w:val="both"/>
                  <w:rPr>
                    <w:sz w:val="18"/>
                    <w:szCs w:val="18"/>
                  </w:rPr>
                </w:pPr>
                <w:r w:rsidRPr="00000000" w:rsidDel="00000000" w:rsidR="00000000">
                  <w:rPr>
                    <w:sz w:val="18"/>
                    <w:szCs w:val="18"/>
                    <w:rtl w:val="0"/>
                  </w:rPr>
                  <w:t xml:space="preserve">Updated Supervised Machine Learning process overview (17.2)</w:t>
                </w:r>
              </w:p>
              <w:p w:rsidRPr="00000000" w:rsidR="00000000" w:rsidDel="00000000" w:rsidP="00000000" w:rsidRDefault="00000000" w14:paraId="00000031">
                <w:pPr>
                  <w:numPr>
                    <w:ilvl w:val="0"/>
                    <w:numId w:val="4"/>
                  </w:numPr>
                  <w:ind w:left="270" w:right="-15"/>
                  <w:jc w:val="both"/>
                  <w:rPr>
                    <w:sz w:val="18"/>
                    <w:szCs w:val="18"/>
                  </w:rPr>
                </w:pPr>
                <w:r w:rsidRPr="00000000" w:rsidDel="00000000" w:rsidR="00000000">
                  <w:rPr>
                    <w:sz w:val="18"/>
                    <w:szCs w:val="18"/>
                    <w:rtl w:val="0"/>
                  </w:rPr>
                  <w:t xml:space="preserve">Added Compliance Monitoring (21)</w:t>
                </w:r>
              </w:p>
              <w:p w:rsidRPr="00000000" w:rsidR="00000000" w:rsidDel="00000000" w:rsidP="00000000" w:rsidRDefault="00000000" w14:paraId="00000032">
                <w:pPr>
                  <w:numPr>
                    <w:ilvl w:val="0"/>
                    <w:numId w:val="4"/>
                  </w:numPr>
                  <w:ind w:left="270" w:right="-15"/>
                  <w:jc w:val="both"/>
                  <w:rPr>
                    <w:sz w:val="18"/>
                    <w:szCs w:val="18"/>
                  </w:rPr>
                </w:pPr>
                <w:r w:rsidRPr="00000000" w:rsidDel="00000000" w:rsidR="00000000">
                  <w:rPr>
                    <w:sz w:val="18"/>
                    <w:szCs w:val="18"/>
                    <w:rtl w:val="0"/>
                  </w:rPr>
                  <w:t xml:space="preserve">Added Feedback Mechanism (22)</w:t>
                </w:r>
              </w:p>
            </w:tc>
            <w:tc>
              <w:tcPr>
                <w:vMerge w:val="restart"/>
                <w:vAlign w:val="center"/>
              </w:tcPr>
              <w:p w:rsidRPr="00000000" w:rsidR="00000000" w:rsidDel="00000000" w:rsidP="00000000" w:rsidRDefault="00000000" w14:paraId="00000033">
                <w:pPr>
                  <w:widowControl w:val="0"/>
                  <w:pBdr>
                    <w:top w:val="none" w:color="000000" w:sz="0" w:space="0"/>
                    <w:left w:val="none" w:color="000000" w:sz="0" w:space="0"/>
                    <w:bottom w:val="none" w:color="000000" w:sz="0" w:space="0"/>
                    <w:right w:val="none" w:color="000000" w:sz="0" w:space="0"/>
                    <w:between w:val="none" w:color="000000" w:sz="0" w:space="0"/>
                  </w:pBdr>
                  <w:rPr>
                    <w:sz w:val="18"/>
                    <w:szCs w:val="18"/>
                  </w:rPr>
                </w:pPr>
                <w:r w:rsidRPr="00000000" w:rsidDel="00000000" w:rsidR="00000000">
                  <w:rPr>
                    <w:b w:val="1"/>
                    <w:bCs w:val="1"/>
                    <w:sz w:val="18"/>
                    <w:szCs w:val="18"/>
                    <w:rtl w:val="0"/>
                  </w:rPr>
                  <w:t xml:space="preserve">Inna Finchenko</w:t>
                </w:r>
                <w:r w:rsidRPr="00000000" w:rsidDel="00000000" w:rsidR="00000000">
                  <w:rPr>
                    <w:sz w:val="18"/>
                    <w:szCs w:val="18"/>
                    <w:rtl w:val="0"/>
                  </w:rPr>
                  <w:t xml:space="preserve"> Transaction Monitoring Team Lead</w:t>
                </w:r>
              </w:p>
              <w:p w:rsidRPr="00000000" w:rsidR="00000000" w:rsidDel="00000000" w:rsidP="00000000" w:rsidRDefault="00000000" w14:paraId="00000034">
                <w:pPr>
                  <w:widowControl w:val="0"/>
                  <w:pBdr>
                    <w:top w:val="none" w:color="000000" w:sz="0" w:space="0"/>
                    <w:left w:val="none" w:color="000000" w:sz="0" w:space="0"/>
                    <w:bottom w:val="none" w:color="000000" w:sz="0" w:space="0"/>
                    <w:right w:val="none" w:color="000000" w:sz="0" w:space="0"/>
                    <w:between w:val="none" w:color="000000" w:sz="0" w:space="0"/>
                  </w:pBdr>
                  <w:rPr>
                    <w:sz w:val="18"/>
                    <w:szCs w:val="18"/>
                  </w:rPr>
                </w:pPr>
                <w:r w:rsidRPr="00000000" w:rsidDel="00000000" w:rsidR="00000000">
                  <w:rPr>
                    <w:rtl w:val="0"/>
                  </w:rPr>
                </w:r>
              </w:p>
              <w:p w:rsidRPr="00000000" w:rsidR="00000000" w:rsidDel="00000000" w:rsidP="00000000" w:rsidRDefault="00000000" w14:paraId="00000035">
                <w:pPr>
                  <w:widowControl w:val="0"/>
                  <w:pBdr>
                    <w:top w:val="none" w:color="000000" w:sz="0" w:space="0"/>
                    <w:left w:val="none" w:color="000000" w:sz="0" w:space="0"/>
                    <w:bottom w:val="none" w:color="000000" w:sz="0" w:space="0"/>
                    <w:right w:val="none" w:color="000000" w:sz="0" w:space="0"/>
                    <w:between w:val="none" w:color="000000" w:sz="0" w:space="0"/>
                  </w:pBdr>
                  <w:rPr>
                    <w:b w:val="1"/>
                    <w:bCs w:val="1"/>
                    <w:sz w:val="18"/>
                    <w:szCs w:val="18"/>
                  </w:rPr>
                </w:pPr>
                <w:r w:rsidRPr="00000000" w:rsidDel="00000000" w:rsidR="00000000">
                  <w:rPr>
                    <w:b w:val="1"/>
                    <w:bCs w:val="1"/>
                    <w:sz w:val="18"/>
                    <w:szCs w:val="18"/>
                    <w:rtl w:val="0"/>
                  </w:rPr>
                  <w:t xml:space="preserve">Przemyslaw Karon</w:t>
                </w:r>
              </w:p>
              <w:p w:rsidRPr="00000000" w:rsidR="00000000" w:rsidDel="00000000" w:rsidP="00000000" w:rsidRDefault="00000000" w14:paraId="00000036">
                <w:pPr>
                  <w:widowControl w:val="0"/>
                  <w:pBdr>
                    <w:top w:val="none" w:color="000000" w:sz="0" w:space="0"/>
                    <w:left w:val="none" w:color="000000" w:sz="0" w:space="0"/>
                    <w:bottom w:val="none" w:color="000000" w:sz="0" w:space="0"/>
                    <w:right w:val="none" w:color="000000" w:sz="0" w:space="0"/>
                    <w:between w:val="none" w:color="000000" w:sz="0" w:space="0"/>
                  </w:pBdr>
                  <w:rPr>
                    <w:sz w:val="18"/>
                    <w:szCs w:val="18"/>
                  </w:rPr>
                </w:pPr>
                <w:r w:rsidRPr="00000000" w:rsidDel="00000000" w:rsidR="00000000">
                  <w:rPr>
                    <w:sz w:val="18"/>
                    <w:szCs w:val="18"/>
                    <w:rtl w:val="0"/>
                  </w:rPr>
                  <w:t xml:space="preserve">TM Reg Coordinator</w:t>
                </w:r>
              </w:p>
              <w:p w:rsidRPr="00000000" w:rsidR="00000000" w:rsidDel="00000000" w:rsidP="00000000" w:rsidRDefault="00000000" w14:paraId="00000037">
                <w:pPr>
                  <w:widowControl w:val="0"/>
                  <w:pBdr>
                    <w:top w:val="none" w:color="000000" w:sz="0" w:space="0"/>
                    <w:left w:val="none" w:color="000000" w:sz="0" w:space="0"/>
                    <w:bottom w:val="none" w:color="000000" w:sz="0" w:space="0"/>
                    <w:right w:val="none" w:color="000000" w:sz="0" w:space="0"/>
                    <w:between w:val="none" w:color="000000" w:sz="0" w:space="0"/>
                  </w:pBdr>
                  <w:rPr>
                    <w:sz w:val="18"/>
                    <w:szCs w:val="18"/>
                  </w:rPr>
                </w:pPr>
                <w:r w:rsidRPr="00000000" w:rsidDel="00000000" w:rsidR="00000000">
                  <w:rPr>
                    <w:rtl w:val="0"/>
                  </w:rPr>
                </w:r>
              </w:p>
            </w:tc>
            <w:tc>
              <w:tcPr>
                <w:vAlign w:val="center"/>
              </w:tcPr>
              <w:p w:rsidRPr="00000000" w:rsidR="00000000" w:rsidDel="00000000" w:rsidP="00000000" w:rsidRDefault="00000000" w14:paraId="00000038">
                <w:pPr>
                  <w:widowControl w:val="0"/>
                  <w:shd w:val="clear" w:fill="auto"/>
                  <w:jc w:val="center"/>
                  <w:rPr>
                    <w:sz w:val="20"/>
                    <w:szCs w:val="20"/>
                  </w:rPr>
                </w:pPr>
                <w:r w:rsidRPr="00000000" w:rsidDel="00000000" w:rsidR="00000000">
                  <w:rPr>
                    <w:sz w:val="20"/>
                    <w:szCs w:val="20"/>
                    <w:rtl w:val="0"/>
                  </w:rPr>
                  <w:t xml:space="preserve">ADGM Board </w:t>
                </w:r>
              </w:p>
              <w:p w:rsidRPr="00000000" w:rsidR="00000000" w:rsidDel="00000000" w:rsidP="00000000" w:rsidRDefault="00000000" w14:paraId="00000039">
                <w:pPr>
                  <w:widowControl w:val="0"/>
                  <w:shd w:val="clear" w:fill="auto"/>
                  <w:jc w:val="center"/>
                  <w:rPr>
                    <w:b w:val="1"/>
                    <w:bCs w:val="1"/>
                    <w:sz w:val="20"/>
                    <w:szCs w:val="20"/>
                  </w:rPr>
                </w:pPr>
                <w:r w:rsidRPr="00000000" w:rsidDel="00000000" w:rsidR="00000000">
                  <w:rPr>
                    <w:sz w:val="20"/>
                    <w:szCs w:val="20"/>
                    <w:rtl w:val="0"/>
                  </w:rPr>
                  <w:t xml:space="preserve">of Directors</w:t>
                </w:r>
                <w:r w:rsidRPr="00000000" w:rsidDel="00000000" w:rsidR="00000000">
                  <w:rPr>
                    <w:rtl w:val="0"/>
                  </w:rPr>
                </w:r>
              </w:p>
            </w:tc>
            <w:tc>
              <w:tcPr>
                <w:shd w:val="clear" w:fill="ffff00"/>
                <w:vAlign w:val="center"/>
              </w:tcPr>
              <w:p w:rsidRPr="00000000" w:rsidR="00000000" w:rsidDel="00000000" w:rsidP="00000000" w:rsidRDefault="00000000" w14:paraId="0000003A">
                <w:pPr>
                  <w:jc w:val="center"/>
                  <w:rPr>
                    <w:sz w:val="20"/>
                    <w:szCs w:val="20"/>
                  </w:rPr>
                </w:pPr>
                <w:r w:rsidRPr="00000000" w:rsidDel="00000000" w:rsidR="00000000">
                  <w:rPr>
                    <w:sz w:val="20"/>
                    <w:szCs w:val="20"/>
                    <w:rtl w:val="0"/>
                  </w:rPr>
                  <w:t xml:space="preserve">DD Month YYYY</w:t>
                </w:r>
              </w:p>
            </w:tc>
          </w:tr>
          <w:tr>
            <w:trPr>
              <w:cantSplit w:val="0"/>
              <w:trHeight w:val="2925" w:hRule="atLeast"/>
              <w:tblHeader w:val="0"/>
            </w:trPr>
            <w:tc>
              <w:tcPr>
                <w:vMerge w:val="continue"/>
                <w:vAlign w:val="center"/>
              </w:tcPr>
              <w:p w:rsidRPr="00000000" w:rsidR="00000000" w:rsidDel="00000000" w:rsidP="00000000" w:rsidRDefault="00000000" w14:paraId="0000003B">
                <w:pPr>
                  <w:jc w:val="center"/>
                  <w:rPr>
                    <w:b w:val="1"/>
                    <w:bCs w:val="1"/>
                  </w:rPr>
                </w:pPr>
                <w:r w:rsidRPr="00000000" w:rsidDel="00000000" w:rsidR="00000000">
                  <w:rPr>
                    <w:rtl w:val="0"/>
                  </w:rPr>
                </w:r>
              </w:p>
            </w:tc>
            <w:tc>
              <w:tcPr>
                <w:vMerge w:val="continue"/>
                <w:vAlign w:val="center"/>
              </w:tcPr>
              <w:p w:rsidRPr="00000000" w:rsidR="00000000" w:rsidDel="00000000" w:rsidP="00000000" w:rsidRDefault="00000000" w14:paraId="0000003C">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270" w:right="-15" w:hanging="270"/>
                  <w:jc w:val="both"/>
                  <w:rPr>
                    <w:sz w:val="18"/>
                    <w:szCs w:val="18"/>
                  </w:rPr>
                </w:pPr>
                <w:r w:rsidRPr="00000000" w:rsidDel="00000000" w:rsidR="00000000">
                  <w:rPr>
                    <w:rtl w:val="0"/>
                  </w:rPr>
                </w:r>
              </w:p>
            </w:tc>
            <w:tc>
              <w:tcPr>
                <w:vMerge w:val="continue"/>
                <w:vAlign w:val="center"/>
              </w:tcPr>
              <w:p w:rsidRPr="00000000" w:rsidR="00000000" w:rsidDel="00000000" w:rsidP="00000000" w:rsidRDefault="00000000" w14:paraId="0000003D">
                <w:pPr>
                  <w:widowControl w:val="0"/>
                  <w:pBdr>
                    <w:top w:val="none" w:color="000000" w:sz="0" w:space="0"/>
                    <w:left w:val="none" w:color="000000" w:sz="0" w:space="0"/>
                    <w:bottom w:val="none" w:color="000000" w:sz="0" w:space="0"/>
                    <w:right w:val="none" w:color="000000" w:sz="0" w:space="0"/>
                    <w:between w:val="none" w:color="000000" w:sz="0" w:space="0"/>
                  </w:pBdr>
                  <w:rPr>
                    <w:b w:val="1"/>
                    <w:bCs w:val="1"/>
                    <w:sz w:val="18"/>
                    <w:szCs w:val="18"/>
                  </w:rPr>
                </w:pPr>
                <w:r w:rsidRPr="00000000" w:rsidDel="00000000" w:rsidR="00000000">
                  <w:rPr>
                    <w:rtl w:val="0"/>
                  </w:rPr>
                </w:r>
              </w:p>
            </w:tc>
            <w:tc>
              <w:tcPr>
                <w:vAlign w:val="center"/>
              </w:tcPr>
              <w:p w:rsidRPr="00000000" w:rsidR="00000000" w:rsidDel="00000000" w:rsidP="00000000" w:rsidRDefault="00000000" w14:paraId="0000003E">
                <w:pPr>
                  <w:spacing w:before="40" w:line="276" w:lineRule="auto"/>
                  <w:jc w:val="center"/>
                  <w:rPr>
                    <w:b w:val="1"/>
                    <w:bCs w:val="1"/>
                    <w:sz w:val="20"/>
                    <w:szCs w:val="20"/>
                  </w:rPr>
                </w:pPr>
                <w:r w:rsidRPr="00000000" w:rsidDel="00000000" w:rsidR="00000000">
                  <w:rPr>
                    <w:b w:val="1"/>
                    <w:bCs w:val="1"/>
                    <w:sz w:val="20"/>
                    <w:szCs w:val="20"/>
                    <w:rtl w:val="0"/>
                  </w:rPr>
                  <w:t xml:space="preserve">David Harrington</w:t>
                </w:r>
                <w:r w:rsidRPr="00000000" w:rsidDel="00000000" w:rsidR="00000000">
                  <w:rPr>
                    <w:sz w:val="20"/>
                    <w:szCs w:val="20"/>
                    <w:rtl w:val="0"/>
                  </w:rPr>
                  <w:t xml:space="preserve">, MLRO/CO ADGM</w:t>
                </w:r>
                <w:r w:rsidRPr="00000000" w:rsidDel="00000000" w:rsidR="00000000">
                  <w:rPr>
                    <w:rtl w:val="0"/>
                  </w:rPr>
                </w:r>
              </w:p>
            </w:tc>
            <w:tc>
              <w:tcPr>
                <w:vAlign w:val="center"/>
              </w:tcPr>
              <w:p w:rsidRPr="00000000" w:rsidR="00000000" w:rsidDel="00000000" w:rsidP="00000000" w:rsidRDefault="00000000" w14:paraId="0000003F">
                <w:pPr>
                  <w:jc w:val="center"/>
                  <w:rPr>
                    <w:sz w:val="20"/>
                    <w:szCs w:val="20"/>
                  </w:rPr>
                </w:pPr>
                <w:r w:rsidRPr="00000000" w:rsidDel="00000000" w:rsidR="00000000">
                  <w:rPr>
                    <w:sz w:val="20"/>
                    <w:szCs w:val="20"/>
                    <w:rtl w:val="0"/>
                  </w:rPr>
                  <w:t xml:space="preserve">0</w:t>
                </w:r>
                <w:r w:rsidRPr="00000000" w:rsidDel="00000000" w:rsidR="00000000">
                  <w:rPr>
                    <w:sz w:val="20"/>
                    <w:szCs w:val="20"/>
                    <w:rtl w:val="0"/>
                  </w:rPr>
                  <w:t xml:space="preserve">5 January 2026</w:t>
                </w:r>
                <w:r w:rsidRPr="00000000" w:rsidDel="00000000" w:rsidR="00000000">
                  <w:rPr>
                    <w:rtl w:val="0"/>
                  </w:rPr>
                </w:r>
              </w:p>
            </w:tc>
          </w:tr>
          <w:tr>
            <w:trPr>
              <w:cantSplit w:val="0"/>
              <w:trHeight w:val="2925" w:hRule="atLeast"/>
              <w:tblHeader w:val="0"/>
            </w:trPr>
            <w:tc>
              <w:tcPr>
                <w:vMerge w:val="continue"/>
                <w:vAlign w:val="center"/>
              </w:tcPr>
              <w:p w:rsidRPr="00000000" w:rsidR="00000000" w:rsidDel="00000000" w:rsidP="00000000" w:rsidRDefault="00000000" w14:paraId="00000040">
                <w:pPr>
                  <w:jc w:val="center"/>
                  <w:rPr>
                    <w:b w:val="1"/>
                    <w:bCs w:val="1"/>
                  </w:rPr>
                </w:pPr>
                <w:r w:rsidRPr="00000000" w:rsidDel="00000000" w:rsidR="00000000">
                  <w:rPr>
                    <w:rtl w:val="0"/>
                  </w:rPr>
                </w:r>
              </w:p>
            </w:tc>
            <w:tc>
              <w:tcPr>
                <w:vMerge w:val="continue"/>
                <w:vAlign w:val="center"/>
              </w:tcPr>
              <w:p w:rsidRPr="00000000" w:rsidR="00000000" w:rsidDel="00000000" w:rsidP="00000000" w:rsidRDefault="00000000" w14:paraId="00000041">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270" w:right="-15" w:hanging="270"/>
                  <w:jc w:val="both"/>
                  <w:rPr>
                    <w:sz w:val="18"/>
                    <w:szCs w:val="18"/>
                  </w:rPr>
                </w:pPr>
                <w:r w:rsidRPr="00000000" w:rsidDel="00000000" w:rsidR="00000000">
                  <w:rPr>
                    <w:rtl w:val="0"/>
                  </w:rPr>
                </w:r>
              </w:p>
            </w:tc>
            <w:tc>
              <w:tcPr>
                <w:vMerge w:val="continue"/>
                <w:vAlign w:val="center"/>
              </w:tcPr>
              <w:p w:rsidRPr="00000000" w:rsidR="00000000" w:rsidDel="00000000" w:rsidP="00000000" w:rsidRDefault="00000000" w14:paraId="00000042">
                <w:pPr>
                  <w:widowControl w:val="0"/>
                  <w:pBdr>
                    <w:top w:val="none" w:color="000000" w:sz="0" w:space="0"/>
                    <w:left w:val="none" w:color="000000" w:sz="0" w:space="0"/>
                    <w:bottom w:val="none" w:color="000000" w:sz="0" w:space="0"/>
                    <w:right w:val="none" w:color="000000" w:sz="0" w:space="0"/>
                    <w:between w:val="none" w:color="000000" w:sz="0" w:space="0"/>
                  </w:pBdr>
                  <w:rPr>
                    <w:b w:val="1"/>
                    <w:bCs w:val="1"/>
                    <w:sz w:val="18"/>
                    <w:szCs w:val="18"/>
                  </w:rPr>
                </w:pPr>
                <w:r w:rsidRPr="00000000" w:rsidDel="00000000" w:rsidR="00000000">
                  <w:rPr>
                    <w:rtl w:val="0"/>
                  </w:rPr>
                </w:r>
              </w:p>
            </w:tc>
            <w:tc>
              <w:tcPr>
                <w:vAlign w:val="center"/>
              </w:tcPr>
              <w:p w:rsidRPr="00000000" w:rsidR="00000000" w:rsidDel="00000000" w:rsidP="00000000" w:rsidRDefault="00000000" w14:paraId="00000043">
                <w:pPr>
                  <w:ind w:left="-75" w:right="-75" w:firstLine="0"/>
                  <w:jc w:val="center"/>
                  <w:rPr>
                    <w:sz w:val="20"/>
                    <w:szCs w:val="20"/>
                  </w:rPr>
                </w:pPr>
                <w:r w:rsidRPr="00000000" w:rsidDel="00000000" w:rsidR="00000000">
                  <w:rPr>
                    <w:b w:val="1"/>
                    <w:bCs w:val="1"/>
                    <w:sz w:val="20"/>
                    <w:szCs w:val="20"/>
                    <w:rtl w:val="0"/>
                  </w:rPr>
                  <w:t xml:space="preserve">Wilson Cheung,</w:t>
                </w:r>
                <w:r w:rsidRPr="00000000" w:rsidDel="00000000" w:rsidR="00000000">
                  <w:rPr>
                    <w:sz w:val="20"/>
                    <w:szCs w:val="20"/>
                    <w:rtl w:val="0"/>
                  </w:rPr>
                  <w:t xml:space="preserve"> MLRO/CO ADGM</w:t>
                </w:r>
              </w:p>
            </w:tc>
            <w:tc>
              <w:tcPr>
                <w:vAlign w:val="center"/>
              </w:tcPr>
              <w:p w:rsidRPr="00000000" w:rsidR="00000000" w:rsidDel="00000000" w:rsidP="00000000" w:rsidRDefault="00000000" w14:paraId="00000044">
                <w:pPr>
                  <w:jc w:val="center"/>
                  <w:rPr>
                    <w:sz w:val="20"/>
                    <w:szCs w:val="20"/>
                  </w:rPr>
                </w:pPr>
                <w:r w:rsidRPr="00000000" w:rsidDel="00000000" w:rsidR="00000000">
                  <w:rPr>
                    <w:sz w:val="20"/>
                    <w:szCs w:val="20"/>
                    <w:rtl w:val="0"/>
                  </w:rPr>
                  <w:t xml:space="preserve">05 January 2026</w:t>
                </w:r>
              </w:p>
            </w:tc>
          </w:tr>
          <w:tr>
            <w:trPr>
              <w:cantSplit w:val="0"/>
              <w:trHeight w:val="420" w:hRule="atLeast"/>
              <w:tblHeader w:val="0"/>
            </w:trPr>
            <w:tc>
              <w:tcPr>
                <w:vMerge w:val="continue"/>
                <w:vAlign w:val="center"/>
              </w:tcPr>
              <w:p w:rsidRPr="00000000" w:rsidR="00000000" w:rsidDel="00000000" w:rsidP="00000000" w:rsidRDefault="00000000" w14:paraId="00000045">
                <w:pPr>
                  <w:spacing w:before="0" w:after="0" w:line="240" w:lineRule="auto"/>
                  <w:ind w:left="0" w:firstLine="0"/>
                  <w:jc w:val="center"/>
                  <w:rPr>
                    <w:b w:val="1"/>
                    <w:bCs w:val="1"/>
                  </w:rPr>
                </w:pPr>
                <w:r w:rsidRPr="00000000" w:rsidDel="00000000" w:rsidR="00000000">
                  <w:rPr>
                    <w:rtl w:val="0"/>
                  </w:rPr>
                </w:r>
              </w:p>
            </w:tc>
            <w:tc>
              <w:tcPr>
                <w:vMerge w:val="continue"/>
                <w:vAlign w:val="center"/>
              </w:tcPr>
              <w:p w:rsidRPr="00000000" w:rsidR="00000000" w:rsidDel="00000000" w:rsidP="00000000" w:rsidRDefault="00000000" w14:paraId="00000046">
                <w:pPr>
                  <w:spacing w:before="0" w:after="0" w:line="240" w:lineRule="auto"/>
                  <w:ind w:left="0" w:right="-15" w:firstLine="0"/>
                  <w:jc w:val="both"/>
                  <w:rPr>
                    <w:sz w:val="20"/>
                    <w:szCs w:val="20"/>
                  </w:rPr>
                </w:pPr>
                <w:r w:rsidRPr="00000000" w:rsidDel="00000000" w:rsidR="00000000">
                  <w:rPr>
                    <w:rtl w:val="0"/>
                  </w:rPr>
                </w:r>
              </w:p>
            </w:tc>
            <w:tc>
              <w:tcPr>
                <w:vMerge w:val="continue"/>
                <w:vAlign w:val="center"/>
              </w:tcPr>
              <w:p w:rsidRPr="00000000" w:rsidR="00000000" w:rsidDel="00000000" w:rsidP="00000000" w:rsidRDefault="00000000" w14:paraId="00000047">
                <w:pPr>
                  <w:widowControl w:val="0"/>
                  <w:pBdr>
                    <w:top w:val="none" w:color="000000" w:sz="0" w:space="0"/>
                    <w:left w:val="none" w:color="000000" w:sz="0" w:space="0"/>
                    <w:bottom w:val="none" w:color="000000" w:sz="0" w:space="0"/>
                    <w:right w:val="none" w:color="000000" w:sz="0" w:space="0"/>
                    <w:between w:val="none" w:color="000000" w:sz="0" w:space="0"/>
                  </w:pBdr>
                  <w:spacing w:before="0" w:after="0" w:line="240" w:lineRule="auto"/>
                  <w:ind w:left="0" w:firstLine="0"/>
                  <w:rPr>
                    <w:sz w:val="18"/>
                    <w:szCs w:val="18"/>
                  </w:rPr>
                </w:pPr>
                <w:r w:rsidRPr="00000000" w:rsidDel="00000000" w:rsidR="00000000">
                  <w:rPr>
                    <w:rtl w:val="0"/>
                  </w:rPr>
                </w:r>
              </w:p>
            </w:tc>
            <w:tc>
              <w:tcPr>
                <w:vAlign w:val="center"/>
              </w:tcPr>
              <w:p w:rsidRPr="00000000" w:rsidR="00000000" w:rsidDel="00000000" w:rsidP="00000000" w:rsidRDefault="00000000" w14:paraId="00000048">
                <w:pPr>
                  <w:ind w:left="-75" w:right="-75" w:firstLine="0"/>
                  <w:jc w:val="center"/>
                  <w:rPr>
                    <w:b w:val="1"/>
                    <w:bCs w:val="1"/>
                    <w:sz w:val="20"/>
                    <w:szCs w:val="20"/>
                  </w:rPr>
                </w:pPr>
                <w:r w:rsidRPr="00000000" w:rsidDel="00000000" w:rsidR="00000000">
                  <w:rPr>
                    <w:b w:val="1"/>
                    <w:bCs w:val="1"/>
                    <w:sz w:val="20"/>
                    <w:szCs w:val="20"/>
                    <w:rtl w:val="0"/>
                  </w:rPr>
                  <w:t xml:space="preserve">Albert Volcek,</w:t>
                </w:r>
              </w:p>
              <w:p w:rsidRPr="00000000" w:rsidR="00000000" w:rsidDel="00000000" w:rsidP="00000000" w:rsidRDefault="00000000" w14:paraId="00000049">
                <w:pPr>
                  <w:widowControl w:val="0"/>
                  <w:pBdr>
                    <w:top w:val="none" w:color="000000" w:sz="0" w:space="0"/>
                    <w:left w:val="none" w:color="000000" w:sz="0" w:space="0"/>
                    <w:bottom w:val="none" w:color="000000" w:sz="0" w:space="0"/>
                    <w:right w:val="none" w:color="000000" w:sz="0" w:space="0"/>
                    <w:between w:val="none" w:color="000000" w:sz="0" w:space="0"/>
                  </w:pBdr>
                  <w:jc w:val="center"/>
                  <w:rPr>
                    <w:sz w:val="18"/>
                    <w:szCs w:val="18"/>
                  </w:rPr>
                </w:pPr>
                <w:r w:rsidRPr="00000000" w:rsidDel="00000000" w:rsidR="00000000">
                  <w:rPr>
                    <w:sz w:val="20"/>
                    <w:szCs w:val="20"/>
                    <w:rtl w:val="0"/>
                  </w:rPr>
                  <w:t xml:space="preserve">TM Investigations Ops Lead</w:t>
                </w:r>
                <w:r w:rsidRPr="00000000" w:rsidDel="00000000" w:rsidR="00000000">
                  <w:rPr>
                    <w:rtl w:val="0"/>
                  </w:rPr>
                </w:r>
              </w:p>
            </w:tc>
            <w:tc>
              <w:tcPr>
                <w:vAlign w:val="center"/>
              </w:tcPr>
              <w:p w:rsidRPr="00000000" w:rsidR="00000000" w:rsidDel="00000000" w:rsidP="00000000" w:rsidRDefault="00000000" w14:paraId="0000004A">
                <w:pPr>
                  <w:shd w:val="clear" w:fill="ffffff"/>
                  <w:spacing w:after="20" w:line="276" w:lineRule="auto"/>
                  <w:ind w:left="-20" w:firstLine="0"/>
                  <w:jc w:val="center"/>
                  <w:rPr>
                    <w:sz w:val="20"/>
                    <w:szCs w:val="20"/>
                  </w:rPr>
                </w:pPr>
                <w:r w:rsidRPr="00000000" w:rsidDel="00000000" w:rsidR="00000000">
                  <w:rPr>
                    <w:sz w:val="20"/>
                    <w:szCs w:val="20"/>
                    <w:rtl w:val="0"/>
                  </w:rPr>
                  <w:t xml:space="preserve">24 September 2025</w:t>
                </w:r>
              </w:p>
            </w:tc>
          </w:tr>
          <w:tr>
            <w:trPr>
              <w:cantSplit w:val="0"/>
              <w:trHeight w:val="270" w:hRule="atLeast"/>
              <w:tblHeader w:val="0"/>
            </w:trPr>
            <w:tc>
              <w:tcPr>
                <w:vAlign w:val="center"/>
              </w:tcPr>
              <w:p w:rsidRPr="00000000" w:rsidR="00000000" w:rsidDel="00000000" w:rsidP="00000000" w:rsidRDefault="00000000" w14:paraId="0000004B">
                <w:pPr>
                  <w:jc w:val="center"/>
                  <w:rPr>
                    <w:b w:val="1"/>
                    <w:bCs w:val="1"/>
                  </w:rPr>
                </w:pPr>
                <w:r w:rsidRPr="00000000" w:rsidDel="00000000" w:rsidR="00000000">
                  <w:rPr>
                    <w:b w:val="1"/>
                    <w:bCs w:val="1"/>
                    <w:rtl w:val="0"/>
                  </w:rPr>
                  <w:t xml:space="preserve">1.0</w:t>
                </w:r>
              </w:p>
            </w:tc>
            <w:tc>
              <w:tcPr>
                <w:vAlign w:val="center"/>
              </w:tcPr>
              <w:p w:rsidRPr="00000000" w:rsidR="00000000" w:rsidDel="00000000" w:rsidP="00000000" w:rsidRDefault="00000000" w14:paraId="0000004C">
                <w:pPr>
                  <w:ind w:right="-15"/>
                  <w:rPr>
                    <w:sz w:val="18"/>
                    <w:szCs w:val="18"/>
                  </w:rPr>
                </w:pPr>
                <w:r w:rsidRPr="00000000" w:rsidDel="00000000" w:rsidR="00000000">
                  <w:rPr>
                    <w:sz w:val="18"/>
                    <w:szCs w:val="18"/>
                    <w:rtl w:val="0"/>
                  </w:rPr>
                  <w:t xml:space="preserve">Combined information from all the retired documents mentioned in the section below (Retired Documents)</w:t>
                </w:r>
              </w:p>
              <w:p w:rsidRPr="00000000" w:rsidR="00000000" w:rsidDel="00000000" w:rsidP="00000000" w:rsidRDefault="00000000" w14:paraId="0000004D">
                <w:pPr>
                  <w:ind w:right="-15"/>
                  <w:rPr>
                    <w:sz w:val="18"/>
                    <w:szCs w:val="18"/>
                  </w:rPr>
                </w:pPr>
                <w:r w:rsidRPr="00000000" w:rsidDel="00000000" w:rsidR="00000000">
                  <w:rPr>
                    <w:rtl w:val="0"/>
                  </w:rPr>
                </w:r>
              </w:p>
              <w:p w:rsidRPr="00000000" w:rsidR="00000000" w:rsidDel="00000000" w:rsidP="00000000" w:rsidRDefault="00000000" w14:paraId="0000004E">
                <w:pPr>
                  <w:ind w:right="-15"/>
                  <w:jc w:val="both"/>
                  <w:rPr>
                    <w:sz w:val="18"/>
                    <w:szCs w:val="18"/>
                  </w:rPr>
                </w:pPr>
                <w:r w:rsidRPr="00000000" w:rsidDel="00000000" w:rsidR="00000000">
                  <w:rPr>
                    <w:sz w:val="18"/>
                    <w:szCs w:val="18"/>
                    <w:rtl w:val="0"/>
                  </w:rPr>
                  <w:t xml:space="preserve">Summary of changes:</w:t>
                </w:r>
              </w:p>
              <w:p w:rsidRPr="00000000" w:rsidR="00000000" w:rsidDel="00000000" w:rsidP="00000000" w:rsidRDefault="00000000" w14:paraId="0000004F">
                <w:pPr>
                  <w:numPr>
                    <w:ilvl w:val="0"/>
                    <w:numId w:val="37"/>
                  </w:numPr>
                  <w:ind w:left="270" w:right="-15"/>
                  <w:rPr>
                    <w:sz w:val="18"/>
                    <w:szCs w:val="18"/>
                  </w:rPr>
                </w:pPr>
                <w:r w:rsidRPr="00000000" w:rsidDel="00000000" w:rsidR="00000000">
                  <w:rPr>
                    <w:sz w:val="18"/>
                    <w:szCs w:val="18"/>
                    <w:rtl w:val="0"/>
                  </w:rPr>
                  <w:t xml:space="preserve">Added L1 - L3 global workflow </w:t>
                </w:r>
              </w:p>
              <w:p w:rsidRPr="00000000" w:rsidR="00000000" w:rsidDel="00000000" w:rsidP="00000000" w:rsidRDefault="00000000" w14:paraId="00000050">
                <w:pPr>
                  <w:numPr>
                    <w:ilvl w:val="0"/>
                    <w:numId w:val="37"/>
                  </w:numPr>
                  <w:ind w:left="270" w:right="-15"/>
                  <w:rPr>
                    <w:sz w:val="18"/>
                    <w:szCs w:val="18"/>
                  </w:rPr>
                </w:pPr>
                <w:r w:rsidRPr="00000000" w:rsidDel="00000000" w:rsidR="00000000">
                  <w:rPr>
                    <w:sz w:val="18"/>
                    <w:szCs w:val="18"/>
                    <w:rtl w:val="0"/>
                  </w:rPr>
                  <w:t xml:space="preserve">Added Whitelisting approach and governance process </w:t>
                </w:r>
              </w:p>
              <w:p w:rsidRPr="00000000" w:rsidR="00000000" w:rsidDel="00000000" w:rsidP="00000000" w:rsidRDefault="00000000" w14:paraId="00000051">
                <w:pPr>
                  <w:numPr>
                    <w:ilvl w:val="0"/>
                    <w:numId w:val="37"/>
                  </w:numPr>
                  <w:ind w:left="270" w:right="-15"/>
                  <w:rPr>
                    <w:sz w:val="18"/>
                    <w:szCs w:val="18"/>
                  </w:rPr>
                </w:pPr>
                <w:r w:rsidRPr="00000000" w:rsidDel="00000000" w:rsidR="00000000">
                  <w:rPr>
                    <w:sz w:val="18"/>
                    <w:szCs w:val="18"/>
                    <w:rtl w:val="0"/>
                  </w:rPr>
                  <w:t xml:space="preserve">Added Prior Cases, Warnings and ICRs review process</w:t>
                </w:r>
              </w:p>
              <w:p w:rsidRPr="00000000" w:rsidR="00000000" w:rsidDel="00000000" w:rsidP="00000000" w:rsidRDefault="00000000" w14:paraId="00000052">
                <w:pPr>
                  <w:numPr>
                    <w:ilvl w:val="0"/>
                    <w:numId w:val="37"/>
                  </w:numPr>
                  <w:ind w:left="270" w:right="-15"/>
                  <w:rPr>
                    <w:sz w:val="18"/>
                    <w:szCs w:val="18"/>
                  </w:rPr>
                </w:pPr>
                <w:r w:rsidRPr="00000000" w:rsidDel="00000000" w:rsidR="00000000">
                  <w:rPr>
                    <w:sz w:val="18"/>
                    <w:szCs w:val="18"/>
                    <w:rtl w:val="0"/>
                  </w:rPr>
                  <w:t xml:space="preserve">Added Specificities regarding Corporate / Broker / Retail reviews </w:t>
                </w:r>
              </w:p>
              <w:p w:rsidRPr="00000000" w:rsidR="00000000" w:rsidDel="00000000" w:rsidP="00000000" w:rsidRDefault="00000000" w14:paraId="00000053">
                <w:pPr>
                  <w:numPr>
                    <w:ilvl w:val="0"/>
                    <w:numId w:val="37"/>
                  </w:numPr>
                  <w:ind w:left="270" w:right="-15"/>
                  <w:rPr>
                    <w:sz w:val="18"/>
                    <w:szCs w:val="18"/>
                  </w:rPr>
                </w:pPr>
                <w:r w:rsidRPr="00000000" w:rsidDel="00000000" w:rsidR="00000000">
                  <w:rPr>
                    <w:sz w:val="18"/>
                    <w:szCs w:val="18"/>
                    <w:rtl w:val="0"/>
                  </w:rPr>
                  <w:t xml:space="preserve">Amended Red Flag Indicators section </w:t>
                </w:r>
              </w:p>
              <w:p w:rsidRPr="00000000" w:rsidR="00000000" w:rsidDel="00000000" w:rsidP="00000000" w:rsidRDefault="00000000" w14:paraId="00000054">
                <w:pPr>
                  <w:numPr>
                    <w:ilvl w:val="0"/>
                    <w:numId w:val="37"/>
                  </w:numPr>
                  <w:ind w:left="270" w:right="-15"/>
                  <w:rPr>
                    <w:sz w:val="18"/>
                    <w:szCs w:val="18"/>
                  </w:rPr>
                </w:pPr>
                <w:r w:rsidRPr="00000000" w:rsidDel="00000000" w:rsidR="00000000">
                  <w:rPr>
                    <w:sz w:val="18"/>
                    <w:szCs w:val="18"/>
                    <w:rtl w:val="0"/>
                  </w:rPr>
                  <w:t xml:space="preserve">Added discrepancies in a user’s profile escalation flow</w:t>
                </w:r>
              </w:p>
              <w:p w:rsidRPr="00000000" w:rsidR="00000000" w:rsidDel="00000000" w:rsidP="00000000" w:rsidRDefault="00000000" w14:paraId="00000055">
                <w:pPr>
                  <w:numPr>
                    <w:ilvl w:val="0"/>
                    <w:numId w:val="37"/>
                  </w:numPr>
                  <w:ind w:left="270" w:right="-15"/>
                  <w:rPr>
                    <w:sz w:val="18"/>
                    <w:szCs w:val="18"/>
                  </w:rPr>
                </w:pPr>
                <w:r w:rsidRPr="00000000" w:rsidDel="00000000" w:rsidR="00000000">
                  <w:rPr>
                    <w:sz w:val="18"/>
                    <w:szCs w:val="18"/>
                    <w:rtl w:val="0"/>
                  </w:rPr>
                  <w:t xml:space="preserve">Removed Risk Team escalation flow changed - device sharing escalation requirement </w:t>
                </w:r>
              </w:p>
              <w:p w:rsidRPr="00000000" w:rsidR="00000000" w:rsidDel="00000000" w:rsidP="00000000" w:rsidRDefault="00000000" w14:paraId="00000056">
                <w:pPr>
                  <w:numPr>
                    <w:ilvl w:val="0"/>
                    <w:numId w:val="37"/>
                  </w:numPr>
                  <w:ind w:left="270" w:right="-15"/>
                  <w:rPr>
                    <w:sz w:val="18"/>
                    <w:szCs w:val="18"/>
                  </w:rPr>
                </w:pPr>
                <w:r w:rsidRPr="00000000" w:rsidDel="00000000" w:rsidR="00000000">
                  <w:rPr>
                    <w:sz w:val="18"/>
                    <w:szCs w:val="18"/>
                    <w:rtl w:val="0"/>
                  </w:rPr>
                  <w:t xml:space="preserve">Added Offboarding appeals governance </w:t>
                </w:r>
              </w:p>
              <w:p w:rsidRPr="00000000" w:rsidR="00000000" w:rsidDel="00000000" w:rsidP="00000000" w:rsidRDefault="00000000" w14:paraId="00000057">
                <w:pPr>
                  <w:numPr>
                    <w:ilvl w:val="0"/>
                    <w:numId w:val="37"/>
                  </w:numPr>
                  <w:ind w:left="270" w:right="-15"/>
                  <w:rPr>
                    <w:sz w:val="18"/>
                    <w:szCs w:val="18"/>
                  </w:rPr>
                </w:pPr>
                <w:r w:rsidRPr="00000000" w:rsidDel="00000000" w:rsidR="00000000">
                  <w:rPr>
                    <w:sz w:val="18"/>
                    <w:szCs w:val="18"/>
                    <w:rtl w:val="0"/>
                  </w:rPr>
                  <w:t xml:space="preserve">Added Onchain and Offchain RFI process short overview </w:t>
                </w:r>
              </w:p>
            </w:tc>
            <w:tc>
              <w:tcPr>
                <w:vAlign w:val="center"/>
              </w:tcPr>
              <w:p w:rsidRPr="00000000" w:rsidR="00000000" w:rsidDel="00000000" w:rsidP="00000000" w:rsidRDefault="00000000" w14:paraId="00000058">
                <w:pPr>
                  <w:widowControl w:val="0"/>
                  <w:pBdr>
                    <w:top w:val="none" w:color="000000" w:sz="0" w:space="0"/>
                    <w:left w:val="none" w:color="000000" w:sz="0" w:space="0"/>
                    <w:bottom w:val="none" w:color="000000" w:sz="0" w:space="0"/>
                    <w:right w:val="none" w:color="000000" w:sz="0" w:space="0"/>
                    <w:between w:val="none" w:color="000000" w:sz="0" w:space="0"/>
                  </w:pBdr>
                  <w:rPr>
                    <w:b w:val="1"/>
                    <w:bCs w:val="1"/>
                    <w:sz w:val="18"/>
                    <w:szCs w:val="18"/>
                  </w:rPr>
                </w:pPr>
                <w:r w:rsidRPr="00000000" w:rsidDel="00000000" w:rsidR="00000000">
                  <w:rPr>
                    <w:rtl w:val="0"/>
                  </w:rPr>
                </w:r>
              </w:p>
              <w:p w:rsidRPr="00000000" w:rsidR="00000000" w:rsidDel="00000000" w:rsidP="00000000" w:rsidRDefault="00000000" w14:paraId="00000059">
                <w:pPr>
                  <w:widowControl w:val="0"/>
                  <w:pBdr>
                    <w:top w:val="none" w:color="000000" w:sz="0" w:space="0"/>
                    <w:left w:val="none" w:color="000000" w:sz="0" w:space="0"/>
                    <w:bottom w:val="none" w:color="000000" w:sz="0" w:space="0"/>
                    <w:right w:val="none" w:color="000000" w:sz="0" w:space="0"/>
                    <w:between w:val="none" w:color="000000" w:sz="0" w:space="0"/>
                  </w:pBdr>
                  <w:rPr>
                    <w:b w:val="1"/>
                    <w:bCs w:val="1"/>
                    <w:sz w:val="18"/>
                    <w:szCs w:val="18"/>
                  </w:rPr>
                </w:pPr>
                <w:r w:rsidRPr="00000000" w:rsidDel="00000000" w:rsidR="00000000">
                  <w:rPr>
                    <w:rtl w:val="0"/>
                  </w:rPr>
                </w:r>
              </w:p>
              <w:p w:rsidRPr="00000000" w:rsidR="00000000" w:rsidDel="00000000" w:rsidP="00000000" w:rsidRDefault="00000000" w14:paraId="0000005A">
                <w:pPr>
                  <w:widowControl w:val="0"/>
                  <w:pBdr>
                    <w:top w:val="none" w:color="000000" w:sz="0" w:space="0"/>
                    <w:left w:val="none" w:color="000000" w:sz="0" w:space="0"/>
                    <w:bottom w:val="none" w:color="000000" w:sz="0" w:space="0"/>
                    <w:right w:val="none" w:color="000000" w:sz="0" w:space="0"/>
                    <w:between w:val="none" w:color="000000" w:sz="0" w:space="0"/>
                  </w:pBdr>
                  <w:rPr>
                    <w:sz w:val="18"/>
                    <w:szCs w:val="18"/>
                  </w:rPr>
                </w:pPr>
                <w:r w:rsidRPr="00000000" w:rsidDel="00000000" w:rsidR="00000000">
                  <w:rPr>
                    <w:b w:val="1"/>
                    <w:bCs w:val="1"/>
                    <w:sz w:val="18"/>
                    <w:szCs w:val="18"/>
                    <w:rtl w:val="0"/>
                  </w:rPr>
                  <w:t xml:space="preserve">Inna Finchenko</w:t>
                </w:r>
                <w:r w:rsidRPr="00000000" w:rsidDel="00000000" w:rsidR="00000000">
                  <w:rPr>
                    <w:sz w:val="18"/>
                    <w:szCs w:val="18"/>
                    <w:rtl w:val="0"/>
                  </w:rPr>
                  <w:t xml:space="preserve"> Transaction Monitoring Team Lead</w:t>
                </w:r>
              </w:p>
              <w:p w:rsidRPr="00000000" w:rsidR="00000000" w:rsidDel="00000000" w:rsidP="00000000" w:rsidRDefault="00000000" w14:paraId="0000005B">
                <w:pPr>
                  <w:widowControl w:val="0"/>
                  <w:pBdr>
                    <w:top w:val="none" w:color="000000" w:sz="0" w:space="0"/>
                    <w:left w:val="none" w:color="000000" w:sz="0" w:space="0"/>
                    <w:bottom w:val="none" w:color="000000" w:sz="0" w:space="0"/>
                    <w:right w:val="none" w:color="000000" w:sz="0" w:space="0"/>
                    <w:between w:val="none" w:color="000000" w:sz="0" w:space="0"/>
                  </w:pBdr>
                  <w:rPr>
                    <w:sz w:val="18"/>
                    <w:szCs w:val="18"/>
                  </w:rPr>
                </w:pPr>
                <w:r w:rsidRPr="00000000" w:rsidDel="00000000" w:rsidR="00000000">
                  <w:rPr>
                    <w:rtl w:val="0"/>
                  </w:rPr>
                </w:r>
              </w:p>
              <w:p w:rsidRPr="00000000" w:rsidR="00000000" w:rsidDel="00000000" w:rsidP="00000000" w:rsidRDefault="00000000" w14:paraId="0000005C">
                <w:pPr>
                  <w:widowControl w:val="0"/>
                  <w:pBdr>
                    <w:top w:val="none" w:color="000000" w:sz="0" w:space="0"/>
                    <w:left w:val="none" w:color="000000" w:sz="0" w:space="0"/>
                    <w:bottom w:val="none" w:color="000000" w:sz="0" w:space="0"/>
                    <w:right w:val="none" w:color="000000" w:sz="0" w:space="0"/>
                    <w:between w:val="none" w:color="000000" w:sz="0" w:space="0"/>
                  </w:pBdr>
                  <w:rPr>
                    <w:sz w:val="14"/>
                    <w:szCs w:val="14"/>
                  </w:rPr>
                </w:pPr>
                <w:r w:rsidRPr="00000000" w:rsidDel="00000000" w:rsidR="00000000">
                  <w:rPr>
                    <w:rtl w:val="0"/>
                  </w:rPr>
                </w:r>
              </w:p>
            </w:tc>
            <w:tc>
              <w:tcPr>
                <w:vAlign w:val="center"/>
              </w:tcPr>
              <w:p w:rsidRPr="00000000" w:rsidR="00000000" w:rsidDel="00000000" w:rsidP="00000000" w:rsidRDefault="00000000" w14:paraId="0000005D">
                <w:pPr>
                  <w:ind w:left="-75" w:right="-75" w:firstLine="0"/>
                  <w:jc w:val="center"/>
                  <w:rPr>
                    <w:sz w:val="20"/>
                    <w:szCs w:val="20"/>
                  </w:rPr>
                </w:pPr>
                <w:r w:rsidRPr="00000000" w:rsidDel="00000000" w:rsidR="00000000">
                  <w:rPr>
                    <w:rtl w:val="0"/>
                  </w:rPr>
                </w:r>
              </w:p>
              <w:p w:rsidRPr="00000000" w:rsidR="00000000" w:rsidDel="00000000" w:rsidP="00000000" w:rsidRDefault="00000000" w14:paraId="0000005E">
                <w:pPr>
                  <w:ind w:left="-75" w:right="-75" w:firstLine="0"/>
                  <w:jc w:val="center"/>
                  <w:rPr>
                    <w:b w:val="1"/>
                    <w:bCs w:val="1"/>
                    <w:sz w:val="20"/>
                    <w:szCs w:val="20"/>
                  </w:rPr>
                </w:pPr>
                <w:hyperlink r:id="rId9">
                  <w:r w:rsidRPr="00000000" w:rsidDel="00000000" w:rsidR="00000000">
                    <w:rPr>
                      <w:b w:val="1"/>
                      <w:bCs w:val="1"/>
                      <w:sz w:val="20"/>
                      <w:szCs w:val="20"/>
                      <w:rtl w:val="0"/>
                    </w:rPr>
                    <w:t xml:space="preserve">Alex Côté</w:t>
                  </w:r>
                </w:hyperlink>
                <w:r w:rsidRPr="00000000" w:rsidDel="00000000" w:rsidR="00000000">
                  <w:rPr>
                    <w:b w:val="1"/>
                    <w:bCs w:val="1"/>
                    <w:sz w:val="20"/>
                    <w:szCs w:val="20"/>
                    <w:rtl w:val="0"/>
                  </w:rPr>
                  <w:t xml:space="preserve">, </w:t>
                </w:r>
              </w:p>
              <w:p w:rsidRPr="00000000" w:rsidR="00000000" w:rsidDel="00000000" w:rsidP="00000000" w:rsidRDefault="00000000" w14:paraId="0000005F">
                <w:pPr>
                  <w:widowControl w:val="0"/>
                  <w:pBdr>
                    <w:top w:val="none" w:color="000000" w:sz="0" w:space="0"/>
                    <w:left w:val="none" w:color="000000" w:sz="0" w:space="0"/>
                    <w:bottom w:val="none" w:color="000000" w:sz="0" w:space="0"/>
                    <w:right w:val="none" w:color="000000" w:sz="0" w:space="0"/>
                    <w:between w:val="none" w:color="000000" w:sz="0" w:space="0"/>
                  </w:pBdr>
                  <w:jc w:val="center"/>
                  <w:rPr>
                    <w:sz w:val="20"/>
                    <w:szCs w:val="20"/>
                  </w:rPr>
                </w:pPr>
                <w:r w:rsidRPr="00000000" w:rsidDel="00000000" w:rsidR="00000000">
                  <w:rPr>
                    <w:sz w:val="20"/>
                    <w:szCs w:val="20"/>
                    <w:rtl w:val="0"/>
                  </w:rPr>
                  <w:t xml:space="preserve">TM Ops &amp; Intel Manager</w:t>
                </w:r>
              </w:p>
            </w:tc>
            <w:tc>
              <w:tcPr>
                <w:vAlign w:val="center"/>
              </w:tcPr>
              <w:p w:rsidRPr="00000000" w:rsidR="00000000" w:rsidDel="00000000" w:rsidP="00000000" w:rsidRDefault="00000000" w14:paraId="00000060">
                <w:pPr>
                  <w:shd w:val="clear" w:fill="ffffff"/>
                  <w:spacing w:after="20" w:line="276" w:lineRule="auto"/>
                  <w:ind w:left="-20" w:firstLine="0"/>
                  <w:jc w:val="center"/>
                  <w:rPr>
                    <w:sz w:val="20"/>
                    <w:szCs w:val="20"/>
                  </w:rPr>
                </w:pPr>
                <w:r w:rsidRPr="00000000" w:rsidDel="00000000" w:rsidR="00000000">
                  <w:rPr>
                    <w:sz w:val="20"/>
                    <w:szCs w:val="20"/>
                    <w:rtl w:val="0"/>
                  </w:rPr>
                  <w:t xml:space="preserve"> 17 April 2025</w:t>
                </w:r>
              </w:p>
            </w:tc>
          </w:tr>
        </w:tbl>
      </w:sdtContent>
    </w:sdt>
    <w:p w:rsidRPr="00000000" w:rsidR="00000000" w:rsidDel="00000000" w:rsidP="00000000" w:rsidRDefault="00000000" w14:paraId="00000061">
      <w:pPr>
        <w:spacing w:line="240" w:lineRule="auto"/>
        <w:rPr/>
      </w:pPr>
      <w:r w:rsidRPr="00000000" w:rsidDel="00000000" w:rsidR="00000000">
        <w:rPr>
          <w:rtl w:val="0"/>
        </w:rPr>
      </w:r>
    </w:p>
    <w:p w:rsidRPr="00000000" w:rsidR="00000000" w:rsidDel="00000000" w:rsidP="00000000" w:rsidRDefault="00000000" w14:paraId="00000062">
      <w:pPr>
        <w:spacing w:line="259" w:lineRule="auto"/>
        <w:ind w:left="-450" w:firstLine="0"/>
        <w:jc w:val="both"/>
        <w:rPr>
          <w:b w:val="1"/>
          <w:bCs w:val="1"/>
          <w:sz w:val="24"/>
          <w:szCs w:val="24"/>
        </w:rPr>
      </w:pPr>
      <w:r w:rsidRPr="00000000" w:rsidDel="00000000" w:rsidR="00000000">
        <w:br w:type="page"/>
      </w:r>
      <w:r w:rsidRPr="00000000" w:rsidDel="00000000" w:rsidR="00000000">
        <w:rPr>
          <w:b w:val="1"/>
          <w:bCs w:val="1"/>
          <w:sz w:val="24"/>
          <w:szCs w:val="24"/>
          <w:rtl w:val="0"/>
        </w:rPr>
        <w:t xml:space="preserve">Retired Documents</w:t>
      </w:r>
    </w:p>
    <w:sdt>
      <w:sdtPr>
        <w:lock w:val="contentLocked"/>
        <w:id w:val="2141473488"/>
        <w:tag w:val="goog_rdk_1"/>
      </w:sdtPr>
      <w:sdtContent>
        <w:tbl>
          <w:tblPr>
            <w:tblStyle w:val="Table4"/>
            <w:tblW w:w="10560.0" w:type="dxa"/>
            <w:jc w:val="left"/>
            <w:tblInd w:w="-72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915"/>
            <w:gridCol w:w="8160"/>
            <w:gridCol w:w="1485"/>
            <w:tblGridChange w:id="0">
              <w:tblGrid>
                <w:gridCol w:w="915"/>
                <w:gridCol w:w="8160"/>
                <w:gridCol w:w="1485"/>
              </w:tblGrid>
            </w:tblGridChange>
          </w:tblGrid>
          <w:tr>
            <w:trPr>
              <w:cantSplit w:val="0"/>
              <w:tblHeader w:val="0"/>
            </w:trPr>
            <w:tc>
              <w:tcPr>
                <w:shd w:val="clear" w:fill="d9d9d9"/>
                <w:vAlign w:val="center"/>
              </w:tcPr>
              <w:p w:rsidRPr="00000000" w:rsidR="00000000" w:rsidDel="00000000" w:rsidP="00000000" w:rsidRDefault="00000000" w14:paraId="00000063">
                <w:pPr>
                  <w:jc w:val="center"/>
                  <w:rPr>
                    <w:b w:val="1"/>
                    <w:bCs w:val="1"/>
                    <w:sz w:val="18"/>
                    <w:szCs w:val="18"/>
                  </w:rPr>
                </w:pPr>
                <w:r w:rsidRPr="00000000" w:rsidDel="00000000" w:rsidR="00000000">
                  <w:rPr>
                    <w:b w:val="1"/>
                    <w:bCs w:val="1"/>
                    <w:sz w:val="18"/>
                    <w:szCs w:val="18"/>
                    <w:rtl w:val="0"/>
                  </w:rPr>
                  <w:t xml:space="preserve">Version No:</w:t>
                </w:r>
              </w:p>
            </w:tc>
            <w:tc>
              <w:tcPr>
                <w:shd w:val="clear" w:fill="d9d9d9"/>
                <w:tcMar>
                  <w:top w:w="100.0" w:type="dxa"/>
                  <w:left w:w="100.0" w:type="dxa"/>
                  <w:bottom w:w="100.0" w:type="dxa"/>
                  <w:right w:w="100.0" w:type="dxa"/>
                </w:tcMar>
                <w:vAlign w:val="center"/>
              </w:tcPr>
              <w:p w:rsidRPr="00000000" w:rsidR="00000000" w:rsidDel="00000000" w:rsidP="00000000" w:rsidRDefault="00000000" w14:paraId="00000064">
                <w:pPr>
                  <w:rPr>
                    <w:b w:val="1"/>
                    <w:bCs w:val="1"/>
                    <w:sz w:val="18"/>
                    <w:szCs w:val="18"/>
                  </w:rPr>
                </w:pPr>
                <w:r w:rsidRPr="00000000" w:rsidDel="00000000" w:rsidR="00000000">
                  <w:rPr>
                    <w:b w:val="1"/>
                    <w:bCs w:val="1"/>
                    <w:sz w:val="18"/>
                    <w:szCs w:val="18"/>
                    <w:rtl w:val="0"/>
                  </w:rPr>
                  <w:t xml:space="preserve">Name of the Document</w:t>
                </w:r>
              </w:p>
            </w:tc>
            <w:tc>
              <w:tcPr>
                <w:shd w:val="clear" w:fill="d9d9d9"/>
                <w:vAlign w:val="center"/>
              </w:tcPr>
              <w:p w:rsidRPr="00000000" w:rsidR="00000000" w:rsidDel="00000000" w:rsidP="00000000" w:rsidRDefault="00000000" w14:paraId="00000065">
                <w:pPr>
                  <w:jc w:val="center"/>
                  <w:rPr>
                    <w:b w:val="1"/>
                    <w:bCs w:val="1"/>
                    <w:sz w:val="18"/>
                    <w:szCs w:val="18"/>
                  </w:rPr>
                </w:pPr>
                <w:r w:rsidRPr="00000000" w:rsidDel="00000000" w:rsidR="00000000">
                  <w:rPr>
                    <w:b w:val="1"/>
                    <w:bCs w:val="1"/>
                    <w:sz w:val="18"/>
                    <w:szCs w:val="18"/>
                    <w:rtl w:val="0"/>
                  </w:rPr>
                  <w:t xml:space="preserve">Date Issued:</w:t>
                </w:r>
              </w:p>
            </w:tc>
          </w:tr>
          <w:tr>
            <w:trPr>
              <w:cantSplit w:val="0"/>
              <w:trHeight w:val="270" w:hRule="atLeast"/>
              <w:tblHeader w:val="0"/>
            </w:trPr>
            <w:tc>
              <w:tcPr>
                <w:vAlign w:val="center"/>
              </w:tcPr>
              <w:p w:rsidRPr="00000000" w:rsidR="00000000" w:rsidDel="00000000" w:rsidP="00000000" w:rsidRDefault="00000000" w14:paraId="00000066">
                <w:pPr>
                  <w:jc w:val="center"/>
                  <w:rPr>
                    <w:b w:val="1"/>
                    <w:bCs w:val="1"/>
                    <w:sz w:val="20"/>
                    <w:szCs w:val="20"/>
                  </w:rPr>
                </w:pPr>
                <w:r w:rsidRPr="00000000" w:rsidDel="00000000" w:rsidR="00000000">
                  <w:rPr>
                    <w:b w:val="1"/>
                    <w:bCs w:val="1"/>
                    <w:sz w:val="20"/>
                    <w:szCs w:val="20"/>
                    <w:rtl w:val="0"/>
                  </w:rPr>
                  <w:t xml:space="preserve">1.0</w:t>
                </w:r>
              </w:p>
            </w:tc>
            <w:tc>
              <w:tcPr>
                <w:vAlign w:val="center"/>
              </w:tcPr>
              <w:p w:rsidRPr="00000000" w:rsidR="00000000" w:rsidDel="00000000" w:rsidP="00000000" w:rsidRDefault="00000000" w14:paraId="00000067">
                <w:pPr>
                  <w:rPr>
                    <w:sz w:val="20"/>
                    <w:szCs w:val="20"/>
                  </w:rPr>
                </w:pPr>
                <w:r w:rsidRPr="00000000" w:rsidDel="00000000" w:rsidR="00000000">
                  <w:rPr>
                    <w:sz w:val="20"/>
                    <w:szCs w:val="20"/>
                    <w:rtl w:val="0"/>
                  </w:rPr>
                  <w:t xml:space="preserve">Global Transaction Monitoring Operating Procedure</w:t>
                </w:r>
              </w:p>
            </w:tc>
            <w:tc>
              <w:tcPr>
                <w:vAlign w:val="center"/>
              </w:tcPr>
              <w:p w:rsidRPr="00000000" w:rsidR="00000000" w:rsidDel="00000000" w:rsidP="00000000" w:rsidRDefault="00000000" w14:paraId="00000068">
                <w:pPr>
                  <w:shd w:val="clear" w:fill="ffffff"/>
                  <w:spacing w:after="20" w:line="276" w:lineRule="auto"/>
                  <w:ind w:left="-20" w:firstLine="0"/>
                  <w:jc w:val="center"/>
                  <w:rPr>
                    <w:sz w:val="20"/>
                    <w:szCs w:val="20"/>
                  </w:rPr>
                </w:pPr>
                <w:r w:rsidRPr="00000000" w:rsidDel="00000000" w:rsidR="00000000">
                  <w:rPr>
                    <w:sz w:val="20"/>
                    <w:szCs w:val="20"/>
                    <w:rtl w:val="0"/>
                  </w:rPr>
                  <w:t xml:space="preserve">17/04/2025</w:t>
                </w:r>
              </w:p>
            </w:tc>
          </w:tr>
          <w:tr>
            <w:trPr>
              <w:cantSplit w:val="0"/>
              <w:trHeight w:val="270" w:hRule="atLeast"/>
              <w:tblHeader w:val="0"/>
            </w:trPr>
            <w:tc>
              <w:tcPr>
                <w:vAlign w:val="center"/>
              </w:tcPr>
              <w:p w:rsidRPr="00000000" w:rsidR="00000000" w:rsidDel="00000000" w:rsidP="00000000" w:rsidRDefault="00000000" w14:paraId="00000069">
                <w:pPr>
                  <w:jc w:val="center"/>
                  <w:rPr>
                    <w:b w:val="1"/>
                    <w:bCs w:val="1"/>
                    <w:sz w:val="20"/>
                    <w:szCs w:val="20"/>
                  </w:rPr>
                </w:pPr>
                <w:r w:rsidRPr="00000000" w:rsidDel="00000000" w:rsidR="00000000">
                  <w:rPr>
                    <w:b w:val="1"/>
                    <w:bCs w:val="1"/>
                    <w:sz w:val="20"/>
                    <w:szCs w:val="20"/>
                    <w:rtl w:val="0"/>
                  </w:rPr>
                  <w:t xml:space="preserve">1.1</w:t>
                </w:r>
              </w:p>
            </w:tc>
            <w:tc>
              <w:tcPr>
                <w:vAlign w:val="center"/>
              </w:tcPr>
              <w:p w:rsidRPr="00000000" w:rsidR="00000000" w:rsidDel="00000000" w:rsidP="00000000" w:rsidRDefault="00000000" w14:paraId="0000006A">
                <w:pPr>
                  <w:rPr>
                    <w:sz w:val="20"/>
                    <w:szCs w:val="20"/>
                  </w:rPr>
                </w:pPr>
                <w:r w:rsidRPr="00000000" w:rsidDel="00000000" w:rsidR="00000000">
                  <w:rPr>
                    <w:sz w:val="20"/>
                    <w:szCs w:val="20"/>
                    <w:rtl w:val="0"/>
                  </w:rPr>
                  <w:t xml:space="preserve">Compliance Intelligence Fusion Centre (CIFC) Operating Standard Operating Procedures</w:t>
                </w:r>
              </w:p>
            </w:tc>
            <w:tc>
              <w:tcPr>
                <w:vAlign w:val="center"/>
              </w:tcPr>
              <w:p w:rsidRPr="00000000" w:rsidR="00000000" w:rsidDel="00000000" w:rsidP="00000000" w:rsidRDefault="00000000" w14:paraId="0000006B">
                <w:pPr>
                  <w:ind w:left="-75" w:right="-75" w:firstLine="0"/>
                  <w:jc w:val="center"/>
                  <w:rPr>
                    <w:sz w:val="20"/>
                    <w:szCs w:val="20"/>
                  </w:rPr>
                </w:pPr>
                <w:r w:rsidRPr="00000000" w:rsidDel="00000000" w:rsidR="00000000">
                  <w:rPr>
                    <w:sz w:val="20"/>
                    <w:szCs w:val="20"/>
                    <w:rtl w:val="0"/>
                  </w:rPr>
                  <w:t xml:space="preserve">16</w:t>
                </w:r>
                <w:r w:rsidRPr="00000000" w:rsidDel="00000000" w:rsidR="00000000">
                  <w:rPr>
                    <w:b w:val="1"/>
                    <w:bCs w:val="1"/>
                    <w:sz w:val="20"/>
                    <w:szCs w:val="20"/>
                    <w:rtl w:val="0"/>
                  </w:rPr>
                  <w:t xml:space="preserve">/</w:t>
                </w:r>
                <w:r w:rsidRPr="00000000" w:rsidDel="00000000" w:rsidR="00000000">
                  <w:rPr>
                    <w:sz w:val="20"/>
                    <w:szCs w:val="20"/>
                    <w:rtl w:val="0"/>
                  </w:rPr>
                  <w:t xml:space="preserve">01</w:t>
                </w:r>
                <w:r w:rsidRPr="00000000" w:rsidDel="00000000" w:rsidR="00000000">
                  <w:rPr>
                    <w:b w:val="1"/>
                    <w:bCs w:val="1"/>
                    <w:sz w:val="20"/>
                    <w:szCs w:val="20"/>
                    <w:rtl w:val="0"/>
                  </w:rPr>
                  <w:t xml:space="preserve">/</w:t>
                </w:r>
                <w:r w:rsidRPr="00000000" w:rsidDel="00000000" w:rsidR="00000000">
                  <w:rPr>
                    <w:sz w:val="20"/>
                    <w:szCs w:val="20"/>
                    <w:rtl w:val="0"/>
                  </w:rPr>
                  <w:t xml:space="preserve">2025</w:t>
                </w:r>
              </w:p>
            </w:tc>
          </w:tr>
          <w:tr>
            <w:trPr>
              <w:cantSplit w:val="0"/>
              <w:trHeight w:val="270" w:hRule="atLeast"/>
              <w:tblHeader w:val="0"/>
            </w:trPr>
            <w:tc>
              <w:tcPr>
                <w:vAlign w:val="center"/>
              </w:tcPr>
              <w:p w:rsidRPr="00000000" w:rsidR="00000000" w:rsidDel="00000000" w:rsidP="00000000" w:rsidRDefault="00000000" w14:paraId="0000006C">
                <w:pPr>
                  <w:jc w:val="center"/>
                  <w:rPr>
                    <w:b w:val="1"/>
                    <w:bCs w:val="1"/>
                    <w:sz w:val="20"/>
                    <w:szCs w:val="20"/>
                  </w:rPr>
                </w:pPr>
                <w:r w:rsidRPr="00000000" w:rsidDel="00000000" w:rsidR="00000000">
                  <w:rPr>
                    <w:b w:val="1"/>
                    <w:bCs w:val="1"/>
                    <w:sz w:val="20"/>
                    <w:szCs w:val="20"/>
                    <w:rtl w:val="0"/>
                  </w:rPr>
                  <w:t xml:space="preserve">5.1</w:t>
                </w:r>
              </w:p>
            </w:tc>
            <w:tc>
              <w:tcPr>
                <w:vAlign w:val="center"/>
              </w:tcPr>
              <w:p w:rsidRPr="00000000" w:rsidR="00000000" w:rsidDel="00000000" w:rsidP="00000000" w:rsidRDefault="00000000" w14:paraId="0000006D">
                <w:pPr>
                  <w:rPr>
                    <w:sz w:val="20"/>
                    <w:szCs w:val="20"/>
                  </w:rPr>
                </w:pPr>
                <w:r w:rsidRPr="00000000" w:rsidDel="00000000" w:rsidR="00000000">
                  <w:rPr>
                    <w:sz w:val="20"/>
                    <w:szCs w:val="20"/>
                    <w:rtl w:val="0"/>
                  </w:rPr>
                  <w:t xml:space="preserve">Global Onchain QA and Approval Procedure</w:t>
                </w:r>
              </w:p>
            </w:tc>
            <w:tc>
              <w:tcPr>
                <w:vAlign w:val="center"/>
              </w:tcPr>
              <w:p w:rsidRPr="00000000" w:rsidR="00000000" w:rsidDel="00000000" w:rsidP="00000000" w:rsidRDefault="00000000" w14:paraId="0000006E">
                <w:pPr>
                  <w:ind w:left="-75" w:right="-75" w:firstLine="0"/>
                  <w:jc w:val="center"/>
                  <w:rPr>
                    <w:sz w:val="20"/>
                    <w:szCs w:val="20"/>
                  </w:rPr>
                </w:pPr>
                <w:r w:rsidRPr="00000000" w:rsidDel="00000000" w:rsidR="00000000">
                  <w:rPr>
                    <w:sz w:val="20"/>
                    <w:szCs w:val="20"/>
                    <w:rtl w:val="0"/>
                  </w:rPr>
                  <w:t xml:space="preserve">23</w:t>
                </w:r>
                <w:r w:rsidRPr="00000000" w:rsidDel="00000000" w:rsidR="00000000">
                  <w:rPr>
                    <w:b w:val="1"/>
                    <w:bCs w:val="1"/>
                    <w:sz w:val="20"/>
                    <w:szCs w:val="20"/>
                    <w:rtl w:val="0"/>
                  </w:rPr>
                  <w:t xml:space="preserve">/</w:t>
                </w:r>
                <w:r w:rsidRPr="00000000" w:rsidDel="00000000" w:rsidR="00000000">
                  <w:rPr>
                    <w:sz w:val="20"/>
                    <w:szCs w:val="20"/>
                    <w:rtl w:val="0"/>
                  </w:rPr>
                  <w:t xml:space="preserve">09</w:t>
                </w:r>
                <w:r w:rsidRPr="00000000" w:rsidDel="00000000" w:rsidR="00000000">
                  <w:rPr>
                    <w:b w:val="1"/>
                    <w:bCs w:val="1"/>
                    <w:sz w:val="20"/>
                    <w:szCs w:val="20"/>
                    <w:rtl w:val="0"/>
                  </w:rPr>
                  <w:t xml:space="preserve">/</w:t>
                </w:r>
                <w:r w:rsidRPr="00000000" w:rsidDel="00000000" w:rsidR="00000000">
                  <w:rPr>
                    <w:sz w:val="20"/>
                    <w:szCs w:val="20"/>
                    <w:rtl w:val="0"/>
                  </w:rPr>
                  <w:t xml:space="preserve">2024</w:t>
                </w:r>
              </w:p>
            </w:tc>
          </w:tr>
          <w:tr>
            <w:trPr>
              <w:cantSplit w:val="0"/>
              <w:trHeight w:val="270" w:hRule="atLeast"/>
              <w:tblHeader w:val="0"/>
            </w:trPr>
            <w:tc>
              <w:tcPr>
                <w:vAlign w:val="center"/>
              </w:tcPr>
              <w:p w:rsidRPr="00000000" w:rsidR="00000000" w:rsidDel="00000000" w:rsidP="00000000" w:rsidRDefault="00000000" w14:paraId="0000006F">
                <w:pPr>
                  <w:jc w:val="center"/>
                  <w:rPr>
                    <w:b w:val="1"/>
                    <w:bCs w:val="1"/>
                    <w:sz w:val="20"/>
                    <w:szCs w:val="20"/>
                  </w:rPr>
                </w:pPr>
                <w:r w:rsidRPr="00000000" w:rsidDel="00000000" w:rsidR="00000000">
                  <w:rPr>
                    <w:b w:val="1"/>
                    <w:bCs w:val="1"/>
                    <w:sz w:val="20"/>
                    <w:szCs w:val="20"/>
                    <w:rtl w:val="0"/>
                  </w:rPr>
                  <w:t xml:space="preserve">1.2</w:t>
                </w:r>
              </w:p>
            </w:tc>
            <w:tc>
              <w:tcPr>
                <w:vAlign w:val="center"/>
              </w:tcPr>
              <w:p w:rsidRPr="00000000" w:rsidR="00000000" w:rsidDel="00000000" w:rsidP="00000000" w:rsidRDefault="00000000" w14:paraId="00000070">
                <w:pPr>
                  <w:rPr>
                    <w:sz w:val="20"/>
                    <w:szCs w:val="20"/>
                  </w:rPr>
                </w:pPr>
                <w:r w:rsidRPr="00000000" w:rsidDel="00000000" w:rsidR="00000000">
                  <w:rPr>
                    <w:sz w:val="20"/>
                    <w:szCs w:val="20"/>
                    <w:rtl w:val="0"/>
                  </w:rPr>
                  <w:t xml:space="preserve">Global Onchain TM - Standard Operating Procedure (SOP)</w:t>
                </w:r>
              </w:p>
            </w:tc>
            <w:tc>
              <w:tcPr>
                <w:vAlign w:val="center"/>
              </w:tcPr>
              <w:p w:rsidRPr="00000000" w:rsidR="00000000" w:rsidDel="00000000" w:rsidP="00000000" w:rsidRDefault="00000000" w14:paraId="00000071">
                <w:pPr>
                  <w:ind w:left="-75" w:right="-75" w:firstLine="0"/>
                  <w:jc w:val="center"/>
                  <w:rPr>
                    <w:sz w:val="20"/>
                    <w:szCs w:val="20"/>
                  </w:rPr>
                </w:pPr>
                <w:r w:rsidRPr="00000000" w:rsidDel="00000000" w:rsidR="00000000">
                  <w:rPr>
                    <w:sz w:val="20"/>
                    <w:szCs w:val="20"/>
                    <w:rtl w:val="0"/>
                  </w:rPr>
                  <w:t xml:space="preserve">16</w:t>
                </w:r>
                <w:r w:rsidRPr="00000000" w:rsidDel="00000000" w:rsidR="00000000">
                  <w:rPr>
                    <w:b w:val="1"/>
                    <w:bCs w:val="1"/>
                    <w:sz w:val="20"/>
                    <w:szCs w:val="20"/>
                    <w:rtl w:val="0"/>
                  </w:rPr>
                  <w:t xml:space="preserve">/</w:t>
                </w:r>
                <w:r w:rsidRPr="00000000" w:rsidDel="00000000" w:rsidR="00000000">
                  <w:rPr>
                    <w:sz w:val="20"/>
                    <w:szCs w:val="20"/>
                    <w:rtl w:val="0"/>
                  </w:rPr>
                  <w:t xml:space="preserve">09</w:t>
                </w:r>
                <w:r w:rsidRPr="00000000" w:rsidDel="00000000" w:rsidR="00000000">
                  <w:rPr>
                    <w:b w:val="1"/>
                    <w:bCs w:val="1"/>
                    <w:sz w:val="20"/>
                    <w:szCs w:val="20"/>
                    <w:rtl w:val="0"/>
                  </w:rPr>
                  <w:t xml:space="preserve">/</w:t>
                </w:r>
                <w:r w:rsidRPr="00000000" w:rsidDel="00000000" w:rsidR="00000000">
                  <w:rPr>
                    <w:sz w:val="20"/>
                    <w:szCs w:val="20"/>
                    <w:rtl w:val="0"/>
                  </w:rPr>
                  <w:t xml:space="preserve">2024</w:t>
                </w:r>
              </w:p>
            </w:tc>
          </w:tr>
          <w:tr>
            <w:trPr>
              <w:cantSplit w:val="0"/>
              <w:trHeight w:val="270" w:hRule="atLeast"/>
              <w:tblHeader w:val="0"/>
            </w:trPr>
            <w:tc>
              <w:tcPr>
                <w:vAlign w:val="center"/>
              </w:tcPr>
              <w:p w:rsidRPr="00000000" w:rsidR="00000000" w:rsidDel="00000000" w:rsidP="00000000" w:rsidRDefault="00000000" w14:paraId="00000072">
                <w:pPr>
                  <w:jc w:val="center"/>
                  <w:rPr>
                    <w:b w:val="1"/>
                    <w:bCs w:val="1"/>
                    <w:sz w:val="20"/>
                    <w:szCs w:val="20"/>
                  </w:rPr>
                </w:pPr>
                <w:r w:rsidRPr="00000000" w:rsidDel="00000000" w:rsidR="00000000">
                  <w:rPr>
                    <w:b w:val="1"/>
                    <w:bCs w:val="1"/>
                    <w:sz w:val="20"/>
                    <w:szCs w:val="20"/>
                    <w:rtl w:val="0"/>
                  </w:rPr>
                  <w:t xml:space="preserve">2.1.1</w:t>
                </w:r>
              </w:p>
            </w:tc>
            <w:tc>
              <w:tcPr>
                <w:vAlign w:val="center"/>
              </w:tcPr>
              <w:p w:rsidRPr="00000000" w:rsidR="00000000" w:rsidDel="00000000" w:rsidP="00000000" w:rsidRDefault="00000000" w14:paraId="00000073">
                <w:pPr>
                  <w:rPr>
                    <w:sz w:val="20"/>
                    <w:szCs w:val="20"/>
                  </w:rPr>
                </w:pPr>
                <w:r w:rsidRPr="00000000" w:rsidDel="00000000" w:rsidR="00000000">
                  <w:rPr>
                    <w:sz w:val="20"/>
                    <w:szCs w:val="20"/>
                    <w:rtl w:val="0"/>
                  </w:rPr>
                  <w:t xml:space="preserve">Global Offchain Transaction Monitoring Operating Procedures (Level One)</w:t>
                </w:r>
              </w:p>
            </w:tc>
            <w:tc>
              <w:tcPr>
                <w:vAlign w:val="center"/>
              </w:tcPr>
              <w:p w:rsidRPr="00000000" w:rsidR="00000000" w:rsidDel="00000000" w:rsidP="00000000" w:rsidRDefault="00000000" w14:paraId="00000074">
                <w:pPr>
                  <w:ind w:left="-75" w:right="-75" w:firstLine="0"/>
                  <w:jc w:val="center"/>
                  <w:rPr>
                    <w:sz w:val="20"/>
                    <w:szCs w:val="20"/>
                  </w:rPr>
                </w:pPr>
                <w:r w:rsidRPr="00000000" w:rsidDel="00000000" w:rsidR="00000000">
                  <w:rPr>
                    <w:sz w:val="20"/>
                    <w:szCs w:val="20"/>
                    <w:rtl w:val="0"/>
                  </w:rPr>
                  <w:t xml:space="preserve">16/09/2024</w:t>
                </w:r>
              </w:p>
            </w:tc>
          </w:tr>
          <w:tr>
            <w:trPr>
              <w:cantSplit w:val="0"/>
              <w:trHeight w:val="270" w:hRule="atLeast"/>
              <w:tblHeader w:val="0"/>
            </w:trPr>
            <w:tc>
              <w:tcPr>
                <w:vAlign w:val="center"/>
              </w:tcPr>
              <w:p w:rsidRPr="00000000" w:rsidR="00000000" w:rsidDel="00000000" w:rsidP="00000000" w:rsidRDefault="00000000" w14:paraId="00000075">
                <w:pPr>
                  <w:jc w:val="center"/>
                  <w:rPr>
                    <w:b w:val="1"/>
                    <w:bCs w:val="1"/>
                  </w:rPr>
                </w:pPr>
                <w:r w:rsidRPr="00000000" w:rsidDel="00000000" w:rsidR="00000000">
                  <w:rPr>
                    <w:b w:val="1"/>
                    <w:bCs w:val="1"/>
                    <w:sz w:val="20"/>
                    <w:szCs w:val="20"/>
                    <w:rtl w:val="0"/>
                  </w:rPr>
                  <w:t xml:space="preserve">1.0</w:t>
                </w:r>
                <w:r w:rsidRPr="00000000" w:rsidDel="00000000" w:rsidR="00000000">
                  <w:rPr>
                    <w:rtl w:val="0"/>
                  </w:rPr>
                </w:r>
              </w:p>
            </w:tc>
            <w:tc>
              <w:tcPr>
                <w:vAlign w:val="center"/>
              </w:tcPr>
              <w:p w:rsidRPr="00000000" w:rsidR="00000000" w:rsidDel="00000000" w:rsidP="00000000" w:rsidRDefault="00000000" w14:paraId="00000076">
                <w:pPr>
                  <w:rPr>
                    <w:sz w:val="20"/>
                    <w:szCs w:val="20"/>
                  </w:rPr>
                </w:pPr>
                <w:r w:rsidRPr="00000000" w:rsidDel="00000000" w:rsidR="00000000">
                  <w:rPr>
                    <w:sz w:val="20"/>
                    <w:szCs w:val="20"/>
                    <w:rtl w:val="0"/>
                  </w:rPr>
                  <w:t xml:space="preserve">Supervisory Review Guide (Off-chain Transaction Monitoring)</w:t>
                </w:r>
              </w:p>
            </w:tc>
            <w:tc>
              <w:tcPr>
                <w:vAlign w:val="center"/>
              </w:tcPr>
              <w:p w:rsidRPr="00000000" w:rsidR="00000000" w:rsidDel="00000000" w:rsidP="00000000" w:rsidRDefault="00000000" w14:paraId="00000077">
                <w:pPr>
                  <w:ind w:left="-75" w:right="-75" w:firstLine="0"/>
                  <w:jc w:val="center"/>
                  <w:rPr>
                    <w:sz w:val="20"/>
                    <w:szCs w:val="20"/>
                  </w:rPr>
                </w:pPr>
                <w:r w:rsidRPr="00000000" w:rsidDel="00000000" w:rsidR="00000000">
                  <w:rPr>
                    <w:sz w:val="20"/>
                    <w:szCs w:val="20"/>
                    <w:rtl w:val="0"/>
                  </w:rPr>
                  <w:t xml:space="preserve">29/08/2024</w:t>
                </w:r>
              </w:p>
            </w:tc>
          </w:tr>
          <w:tr>
            <w:trPr>
              <w:cantSplit w:val="0"/>
              <w:trHeight w:val="270" w:hRule="atLeast"/>
              <w:tblHeader w:val="0"/>
            </w:trPr>
            <w:tc>
              <w:tcPr>
                <w:vAlign w:val="center"/>
              </w:tcPr>
              <w:p w:rsidRPr="00000000" w:rsidR="00000000" w:rsidDel="00000000" w:rsidP="00000000" w:rsidRDefault="00000000" w14:paraId="00000078">
                <w:pPr>
                  <w:jc w:val="center"/>
                  <w:rPr>
                    <w:b w:val="1"/>
                    <w:bCs w:val="1"/>
                    <w:sz w:val="20"/>
                    <w:szCs w:val="20"/>
                  </w:rPr>
                </w:pPr>
                <w:r w:rsidRPr="00000000" w:rsidDel="00000000" w:rsidR="00000000">
                  <w:rPr>
                    <w:b w:val="1"/>
                    <w:bCs w:val="1"/>
                    <w:sz w:val="20"/>
                    <w:szCs w:val="20"/>
                    <w:rtl w:val="0"/>
                  </w:rPr>
                  <w:t xml:space="preserve">1.2.2</w:t>
                </w:r>
              </w:p>
            </w:tc>
            <w:tc>
              <w:tcPr>
                <w:vAlign w:val="center"/>
              </w:tcPr>
              <w:p w:rsidRPr="00000000" w:rsidR="00000000" w:rsidDel="00000000" w:rsidP="00000000" w:rsidRDefault="00000000" w14:paraId="00000079">
                <w:pPr>
                  <w:rPr>
                    <w:sz w:val="20"/>
                    <w:szCs w:val="20"/>
                  </w:rPr>
                </w:pPr>
                <w:r w:rsidRPr="00000000" w:rsidDel="00000000" w:rsidR="00000000">
                  <w:rPr>
                    <w:sz w:val="20"/>
                    <w:szCs w:val="20"/>
                    <w:rtl w:val="0"/>
                  </w:rPr>
                  <w:t xml:space="preserve">Global Onchain Transaction Monitoring Procedure</w:t>
                </w:r>
              </w:p>
            </w:tc>
            <w:tc>
              <w:tcPr>
                <w:vAlign w:val="center"/>
              </w:tcPr>
              <w:p w:rsidRPr="00000000" w:rsidR="00000000" w:rsidDel="00000000" w:rsidP="00000000" w:rsidRDefault="00000000" w14:paraId="0000007A">
                <w:pPr>
                  <w:ind w:left="-75" w:right="-75" w:firstLine="0"/>
                  <w:jc w:val="center"/>
                  <w:rPr>
                    <w:sz w:val="20"/>
                    <w:szCs w:val="20"/>
                  </w:rPr>
                </w:pPr>
                <w:r w:rsidRPr="00000000" w:rsidDel="00000000" w:rsidR="00000000">
                  <w:rPr>
                    <w:sz w:val="20"/>
                    <w:szCs w:val="20"/>
                    <w:rtl w:val="0"/>
                  </w:rPr>
                  <w:t xml:space="preserve">27</w:t>
                </w:r>
                <w:r w:rsidRPr="00000000" w:rsidDel="00000000" w:rsidR="00000000">
                  <w:rPr>
                    <w:b w:val="1"/>
                    <w:bCs w:val="1"/>
                    <w:sz w:val="20"/>
                    <w:szCs w:val="20"/>
                    <w:rtl w:val="0"/>
                  </w:rPr>
                  <w:t xml:space="preserve">/</w:t>
                </w:r>
                <w:r w:rsidRPr="00000000" w:rsidDel="00000000" w:rsidR="00000000">
                  <w:rPr>
                    <w:sz w:val="20"/>
                    <w:szCs w:val="20"/>
                    <w:rtl w:val="0"/>
                  </w:rPr>
                  <w:t xml:space="preserve">08</w:t>
                </w:r>
                <w:r w:rsidRPr="00000000" w:rsidDel="00000000" w:rsidR="00000000">
                  <w:rPr>
                    <w:b w:val="1"/>
                    <w:bCs w:val="1"/>
                    <w:sz w:val="20"/>
                    <w:szCs w:val="20"/>
                    <w:rtl w:val="0"/>
                  </w:rPr>
                  <w:t xml:space="preserve">/</w:t>
                </w:r>
                <w:r w:rsidRPr="00000000" w:rsidDel="00000000" w:rsidR="00000000">
                  <w:rPr>
                    <w:sz w:val="20"/>
                    <w:szCs w:val="20"/>
                    <w:rtl w:val="0"/>
                  </w:rPr>
                  <w:t xml:space="preserve">2024</w:t>
                </w:r>
              </w:p>
            </w:tc>
          </w:tr>
          <w:tr>
            <w:trPr>
              <w:cantSplit w:val="0"/>
              <w:trHeight w:val="270" w:hRule="atLeast"/>
              <w:tblHeader w:val="0"/>
            </w:trPr>
            <w:tc>
              <w:tcPr>
                <w:vAlign w:val="center"/>
              </w:tcPr>
              <w:p w:rsidRPr="00000000" w:rsidR="00000000" w:rsidDel="00000000" w:rsidP="00000000" w:rsidRDefault="00000000" w14:paraId="0000007B">
                <w:pPr>
                  <w:jc w:val="center"/>
                  <w:rPr>
                    <w:b w:val="1"/>
                    <w:bCs w:val="1"/>
                    <w:sz w:val="20"/>
                    <w:szCs w:val="20"/>
                  </w:rPr>
                </w:pPr>
                <w:r w:rsidRPr="00000000" w:rsidDel="00000000" w:rsidR="00000000">
                  <w:rPr>
                    <w:b w:val="1"/>
                    <w:bCs w:val="1"/>
                    <w:sz w:val="20"/>
                    <w:szCs w:val="20"/>
                    <w:rtl w:val="0"/>
                  </w:rPr>
                  <w:t xml:space="preserve">2.0</w:t>
                </w:r>
              </w:p>
            </w:tc>
            <w:tc>
              <w:tcPr>
                <w:vAlign w:val="center"/>
              </w:tcPr>
              <w:p w:rsidRPr="00000000" w:rsidR="00000000" w:rsidDel="00000000" w:rsidP="00000000" w:rsidRDefault="00000000" w14:paraId="0000007C">
                <w:pPr>
                  <w:rPr>
                    <w:sz w:val="20"/>
                    <w:szCs w:val="20"/>
                  </w:rPr>
                </w:pPr>
                <w:r w:rsidRPr="00000000" w:rsidDel="00000000" w:rsidR="00000000">
                  <w:rPr>
                    <w:sz w:val="20"/>
                    <w:szCs w:val="20"/>
                    <w:rtl w:val="0"/>
                  </w:rPr>
                  <w:t xml:space="preserve">Global Offchain TM Alert Analysis SOP</w:t>
                </w:r>
              </w:p>
            </w:tc>
            <w:tc>
              <w:tcPr>
                <w:vAlign w:val="center"/>
              </w:tcPr>
              <w:p w:rsidRPr="00000000" w:rsidR="00000000" w:rsidDel="00000000" w:rsidP="00000000" w:rsidRDefault="00000000" w14:paraId="0000007D">
                <w:pPr>
                  <w:ind w:left="-75" w:right="-75" w:firstLine="0"/>
                  <w:jc w:val="center"/>
                  <w:rPr>
                    <w:sz w:val="20"/>
                    <w:szCs w:val="20"/>
                  </w:rPr>
                </w:pPr>
                <w:r w:rsidRPr="00000000" w:rsidDel="00000000" w:rsidR="00000000">
                  <w:rPr>
                    <w:sz w:val="20"/>
                    <w:szCs w:val="20"/>
                    <w:rtl w:val="0"/>
                  </w:rPr>
                  <w:t xml:space="preserve">29/04/2024</w:t>
                </w:r>
              </w:p>
            </w:tc>
          </w:tr>
        </w:tbl>
      </w:sdtContent>
    </w:sdt>
    <w:p w:rsidRPr="00000000" w:rsidR="00000000" w:rsidDel="00000000" w:rsidP="00000000" w:rsidRDefault="00000000" w14:paraId="0000007E">
      <w:pPr>
        <w:spacing w:after="160" w:line="259" w:lineRule="auto"/>
        <w:rPr>
          <w:b w:val="1"/>
          <w:bCs w:val="1"/>
          <w:color w:val="010000"/>
        </w:rPr>
      </w:pPr>
      <w:r w:rsidRPr="00000000" w:rsidDel="00000000" w:rsidR="00000000">
        <w:rPr>
          <w:rtl w:val="0"/>
        </w:rPr>
      </w:r>
    </w:p>
    <w:p w:rsidRPr="00000000" w:rsidR="00000000" w:rsidDel="00000000" w:rsidP="00000000" w:rsidRDefault="00000000" w14:paraId="0000007F">
      <w:pPr>
        <w:spacing w:after="0" w:line="259" w:lineRule="auto"/>
        <w:jc w:val="both"/>
        <w:rPr>
          <w:b w:val="1"/>
          <w:bCs w:val="1"/>
          <w:color w:val="010000"/>
          <w:sz w:val="28"/>
          <w:szCs w:val="28"/>
          <w:u w:val="single"/>
        </w:rPr>
      </w:pPr>
      <w:r w:rsidRPr="00000000" w:rsidDel="00000000" w:rsidR="00000000">
        <w:br w:type="page"/>
      </w:r>
      <w:r w:rsidRPr="00000000" w:rsidDel="00000000" w:rsidR="00000000">
        <w:rPr>
          <w:rtl w:val="0"/>
        </w:rPr>
      </w:r>
    </w:p>
    <w:p w:rsidRPr="00000000" w:rsidR="00000000" w:rsidDel="00000000" w:rsidP="00000000" w:rsidRDefault="00000000" w14:paraId="00000080">
      <w:pPr>
        <w:spacing w:after="80" w:line="259.20000000000005" w:lineRule="auto"/>
        <w:jc w:val="both"/>
        <w:rPr>
          <w:b w:val="1"/>
          <w:bCs w:val="1"/>
          <w:color w:val="010000"/>
          <w:sz w:val="28"/>
          <w:szCs w:val="28"/>
          <w:u w:val="single"/>
        </w:rPr>
      </w:pPr>
      <w:r w:rsidRPr="00000000" w:rsidDel="00000000" w:rsidR="00000000">
        <w:rPr>
          <w:b w:val="1"/>
          <w:bCs w:val="1"/>
          <w:color w:val="010000"/>
          <w:sz w:val="28"/>
          <w:szCs w:val="28"/>
          <w:u w:val="single"/>
          <w:rtl w:val="0"/>
        </w:rPr>
        <w:t xml:space="preserve">Table of Contents</w:t>
      </w:r>
    </w:p>
    <w:sdt>
      <w:sdtPr>
        <w:id w:val="-1227682021"/>
        <w:docPartObj>
          <w:docPartGallery w:val="Table of Contents"/>
          <w:docPartUnique w:val="1"/>
        </w:docPartObj>
      </w:sdtPr>
      <w:sdtContent>
        <w:p w:rsidRPr="00000000" w:rsidR="00000000" w:rsidDel="00000000" w:rsidP="00000000" w:rsidRDefault="00000000" w14:paraId="00000081">
          <w:pPr>
            <w:widowControl w:val="0"/>
            <w:tabs>
              <w:tab w:val="right" w:leader="none" w:pos="12000"/>
            </w:tabs>
            <w:spacing w:before="60" w:after="0" w:line="240" w:lineRule="auto"/>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fldChar w:fldCharType="begin"/>
            <w:instrText xml:space="preserve"> TOC \h \u \z \t "Heading 1,1,Heading 2,2,"</w:instrText>
            <w:fldChar w:fldCharType="separate"/>
          </w:r>
          <w:hyperlink w:anchor="_heading=h.dwc7u4viefe5">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 PURPOSE</w:t>
              <w:tab/>
              <w:t xml:space="preserve">6</w:t>
            </w:r>
          </w:hyperlink>
          <w:r w:rsidRPr="00000000" w:rsidDel="00000000" w:rsidR="00000000">
            <w:rPr>
              <w:rtl w:val="0"/>
            </w:rPr>
          </w:r>
        </w:p>
        <w:p w:rsidRPr="00000000" w:rsidR="00000000" w:rsidDel="00000000" w:rsidP="00000000" w:rsidRDefault="00000000" w14:paraId="00000082">
          <w:pPr>
            <w:widowControl w:val="0"/>
            <w:tabs>
              <w:tab w:val="right" w:leader="none" w:pos="12000"/>
            </w:tabs>
            <w:spacing w:before="60" w:after="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4haq3wnq07lo">
            <w:r w:rsidRPr="00000000" w:rsidDel="00000000" w:rsidR="00000000">
              <w:rPr>
                <w:rFonts w:ascii="Arial" w:hAnsi="Arial" w:eastAsia="Arial" w:cs="Arial"/>
                <w:b w:val="1"/>
                <w:bCs w:val="1"/>
                <w:i w:val="0"/>
                <w:iCs w:val="0"/>
                <w:smallCaps w:val="1"/>
                <w:strike w:val="0"/>
                <w:color w:val="000000"/>
                <w:sz w:val="22"/>
                <w:szCs w:val="22"/>
                <w:u w:val="none"/>
                <w:shd w:val="clear" w:fill="auto"/>
                <w:vertAlign w:val="baseline"/>
                <w:rtl w:val="0"/>
              </w:rPr>
              <w:t xml:space="preserve">2. APPLICATION AND SCOPE</w:t>
              <w:tab/>
              <w:t xml:space="preserve">6</w:t>
            </w:r>
          </w:hyperlink>
          <w:r w:rsidRPr="00000000" w:rsidDel="00000000" w:rsidR="00000000">
            <w:rPr>
              <w:rtl w:val="0"/>
            </w:rPr>
          </w:r>
        </w:p>
        <w:p w:rsidRPr="00000000" w:rsidR="00000000" w:rsidDel="00000000" w:rsidP="00000000" w:rsidRDefault="00000000" w14:paraId="00000083">
          <w:pPr>
            <w:widowControl w:val="0"/>
            <w:tabs>
              <w:tab w:val="right" w:leader="none" w:pos="12000"/>
            </w:tabs>
            <w:spacing w:before="60" w:after="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skibr843ugm">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3. APPROVAL AND ANNUAL REVIEW</w:t>
              <w:tab/>
              <w:t xml:space="preserve">7</w:t>
            </w:r>
          </w:hyperlink>
          <w:r w:rsidRPr="00000000" w:rsidDel="00000000" w:rsidR="00000000">
            <w:rPr>
              <w:rtl w:val="0"/>
            </w:rPr>
          </w:r>
        </w:p>
        <w:p w:rsidRPr="00000000" w:rsidR="00000000" w:rsidDel="00000000" w:rsidP="00000000" w:rsidRDefault="00000000" w14:paraId="00000084">
          <w:pPr>
            <w:widowControl w:val="0"/>
            <w:tabs>
              <w:tab w:val="right" w:leader="none" w:pos="12000"/>
            </w:tabs>
            <w:spacing w:before="60" w:after="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k9zrekkv926m">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4. DEFINITIONS</w:t>
              <w:tab/>
              <w:t xml:space="preserve">7</w:t>
            </w:r>
          </w:hyperlink>
          <w:r w:rsidRPr="00000000" w:rsidDel="00000000" w:rsidR="00000000">
            <w:rPr>
              <w:rtl w:val="0"/>
            </w:rPr>
          </w:r>
        </w:p>
        <w:p w:rsidRPr="00000000" w:rsidR="00000000" w:rsidDel="00000000" w:rsidP="00000000" w:rsidRDefault="00000000" w14:paraId="00000085">
          <w:pPr>
            <w:widowControl w:val="0"/>
            <w:tabs>
              <w:tab w:val="right" w:leader="none" w:pos="12000"/>
            </w:tabs>
            <w:spacing w:before="60" w:after="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al2t24n2jo66">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5. RECORD KEEPING</w:t>
              <w:tab/>
              <w:t xml:space="preserve">9</w:t>
            </w:r>
          </w:hyperlink>
          <w:r w:rsidRPr="00000000" w:rsidDel="00000000" w:rsidR="00000000">
            <w:rPr>
              <w:rtl w:val="0"/>
            </w:rPr>
          </w:r>
        </w:p>
        <w:p w:rsidRPr="00000000" w:rsidR="00000000" w:rsidDel="00000000" w:rsidP="00000000" w:rsidRDefault="00000000" w14:paraId="00000086">
          <w:pPr>
            <w:widowControl w:val="0"/>
            <w:tabs>
              <w:tab w:val="right" w:leader="none" w:pos="12000"/>
            </w:tabs>
            <w:spacing w:before="60" w:after="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d2wumex97o7w">
            <w:r w:rsidRPr="00000000" w:rsidDel="00000000" w:rsidR="00000000">
              <w:rPr>
                <w:rFonts w:ascii="Arial" w:hAnsi="Arial" w:eastAsia="Arial" w:cs="Arial"/>
                <w:b w:val="1"/>
                <w:bCs w:val="1"/>
                <w:i w:val="0"/>
                <w:iCs w:val="0"/>
                <w:smallCaps w:val="1"/>
                <w:strike w:val="0"/>
                <w:color w:val="000000"/>
                <w:sz w:val="22"/>
                <w:szCs w:val="22"/>
                <w:u w:val="none"/>
                <w:shd w:val="clear" w:fill="auto"/>
                <w:vertAlign w:val="baseline"/>
                <w:rtl w:val="0"/>
              </w:rPr>
              <w:t xml:space="preserve">6. AN OVERVIEW OF TRANSACTION MONITORING AND SCREENING</w:t>
              <w:tab/>
              <w:t xml:space="preserve">10</w:t>
            </w:r>
          </w:hyperlink>
          <w:r w:rsidRPr="00000000" w:rsidDel="00000000" w:rsidR="00000000">
            <w:rPr>
              <w:rtl w:val="0"/>
            </w:rPr>
          </w:r>
        </w:p>
        <w:p w:rsidRPr="00000000" w:rsidR="00000000" w:rsidDel="00000000" w:rsidP="00000000" w:rsidRDefault="00000000" w14:paraId="00000087">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6c2213xjxmsg">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6.1 Overview</w:t>
              <w:tab/>
              <w:t xml:space="preserve">10</w:t>
            </w:r>
          </w:hyperlink>
          <w:r w:rsidRPr="00000000" w:rsidDel="00000000" w:rsidR="00000000">
            <w:rPr>
              <w:rtl w:val="0"/>
            </w:rPr>
          </w:r>
        </w:p>
        <w:p w:rsidRPr="00000000" w:rsidR="00000000" w:rsidDel="00000000" w:rsidP="00000000" w:rsidRDefault="00000000" w14:paraId="00000088">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a5cjhlmqrsjk">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6.2 Off-Chain Transaction Monitoring</w:t>
              <w:tab/>
              <w:t xml:space="preserve">10</w:t>
            </w:r>
          </w:hyperlink>
          <w:r w:rsidRPr="00000000" w:rsidDel="00000000" w:rsidR="00000000">
            <w:rPr>
              <w:rtl w:val="0"/>
            </w:rPr>
          </w:r>
        </w:p>
        <w:p w:rsidRPr="00000000" w:rsidR="00000000" w:rsidDel="00000000" w:rsidP="00000000" w:rsidRDefault="00000000" w14:paraId="00000089">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rfb1fh5lh4fq">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6.3 On-Chain Transaction Screening</w:t>
              <w:tab/>
              <w:t xml:space="preserve">11</w:t>
            </w:r>
          </w:hyperlink>
          <w:r w:rsidRPr="00000000" w:rsidDel="00000000" w:rsidR="00000000">
            <w:rPr>
              <w:rtl w:val="0"/>
            </w:rPr>
          </w:r>
        </w:p>
        <w:p w:rsidRPr="00000000" w:rsidR="00000000" w:rsidDel="00000000" w:rsidP="00000000" w:rsidRDefault="00000000" w14:paraId="0000008A">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1o0cup3mbohx">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6.4 L1 to L3 Transaction Monitoring, Screening and Investigations Workflow</w:t>
              <w:tab/>
              <w:t xml:space="preserve">12</w:t>
            </w:r>
          </w:hyperlink>
          <w:r w:rsidRPr="00000000" w:rsidDel="00000000" w:rsidR="00000000">
            <w:rPr>
              <w:rtl w:val="0"/>
            </w:rPr>
          </w:r>
        </w:p>
        <w:p w:rsidRPr="00000000" w:rsidR="00000000" w:rsidDel="00000000" w:rsidP="00000000" w:rsidRDefault="00000000" w14:paraId="0000008B">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qo0flxb5keze">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6.5 Timeframe for Transaction Monitoring Investigations</w:t>
              <w:tab/>
              <w:t xml:space="preserve">14</w:t>
            </w:r>
          </w:hyperlink>
          <w:r w:rsidRPr="00000000" w:rsidDel="00000000" w:rsidR="00000000">
            <w:rPr>
              <w:rtl w:val="0"/>
            </w:rPr>
          </w:r>
        </w:p>
        <w:p w:rsidRPr="00000000" w:rsidR="00000000" w:rsidDel="00000000" w:rsidP="00000000" w:rsidRDefault="00000000" w14:paraId="0000008C">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42ywd6gxyth4">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6.6 Roles and Responsibilities</w:t>
              <w:tab/>
              <w:t xml:space="preserve">15</w:t>
            </w:r>
          </w:hyperlink>
          <w:r w:rsidRPr="00000000" w:rsidDel="00000000" w:rsidR="00000000">
            <w:rPr>
              <w:rtl w:val="0"/>
            </w:rPr>
          </w:r>
        </w:p>
        <w:p w:rsidRPr="00000000" w:rsidR="00000000" w:rsidDel="00000000" w:rsidP="00000000" w:rsidRDefault="00000000" w14:paraId="0000008D">
          <w:pPr>
            <w:widowControl w:val="0"/>
            <w:tabs>
              <w:tab w:val="right" w:leader="none" w:pos="12000"/>
            </w:tabs>
            <w:spacing w:before="60" w:after="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26in1rg">
            <w:r w:rsidRPr="00000000" w:rsidDel="00000000" w:rsidR="00000000">
              <w:rPr>
                <w:rFonts w:ascii="Arial" w:hAnsi="Arial" w:eastAsia="Arial" w:cs="Arial"/>
                <w:b w:val="1"/>
                <w:bCs w:val="1"/>
                <w:i w:val="0"/>
                <w:iCs w:val="0"/>
                <w:smallCaps w:val="1"/>
                <w:strike w:val="0"/>
                <w:color w:val="000000"/>
                <w:sz w:val="22"/>
                <w:szCs w:val="22"/>
                <w:u w:val="none"/>
                <w:shd w:val="clear" w:fill="auto"/>
                <w:vertAlign w:val="baseline"/>
                <w:rtl w:val="0"/>
              </w:rPr>
              <w:t xml:space="preserve">7. APPROACH TO OFF-CHAIN TRANSACTION MONITORING AND ON-CHAIN TRANSACTION SCREENING INVESTIGATION</w:t>
              <w:tab/>
              <w:t xml:space="preserve">16</w:t>
            </w:r>
          </w:hyperlink>
          <w:r w:rsidRPr="00000000" w:rsidDel="00000000" w:rsidR="00000000">
            <w:rPr>
              <w:rtl w:val="0"/>
            </w:rPr>
          </w:r>
        </w:p>
        <w:p w:rsidRPr="00000000" w:rsidR="00000000" w:rsidDel="00000000" w:rsidP="00000000" w:rsidRDefault="00000000" w14:paraId="0000008E">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nasdqugdl6zl">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7.1 Review of customer profile</w:t>
              <w:tab/>
              <w:t xml:space="preserve">16</w:t>
            </w:r>
          </w:hyperlink>
          <w:r w:rsidRPr="00000000" w:rsidDel="00000000" w:rsidR="00000000">
            <w:rPr>
              <w:rtl w:val="0"/>
            </w:rPr>
          </w:r>
        </w:p>
        <w:p w:rsidRPr="00000000" w:rsidR="00000000" w:rsidDel="00000000" w:rsidP="00000000" w:rsidRDefault="00000000" w14:paraId="0000008F">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umpvkexpnbdo">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7.2 Expected Customer Behavior Model</w:t>
              <w:tab/>
              <w:t xml:space="preserve">18</w:t>
            </w:r>
          </w:hyperlink>
          <w:r w:rsidRPr="00000000" w:rsidDel="00000000" w:rsidR="00000000">
            <w:rPr>
              <w:rtl w:val="0"/>
            </w:rPr>
          </w:r>
        </w:p>
        <w:p w:rsidRPr="00000000" w:rsidR="00000000" w:rsidDel="00000000" w:rsidP="00000000" w:rsidRDefault="00000000" w14:paraId="00000090">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xt0qxgh344bj">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7.3 External Searches and Adverse Media Screening</w:t>
              <w:tab/>
              <w:t xml:space="preserve">24</w:t>
            </w:r>
          </w:hyperlink>
          <w:r w:rsidRPr="00000000" w:rsidDel="00000000" w:rsidR="00000000">
            <w:rPr>
              <w:rtl w:val="0"/>
            </w:rPr>
          </w:r>
        </w:p>
        <w:p w:rsidRPr="00000000" w:rsidR="00000000" w:rsidDel="00000000" w:rsidP="00000000" w:rsidRDefault="00000000" w14:paraId="00000091">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goft8i9rsbw6">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7.4 User IP Log Review</w:t>
              <w:tab/>
              <w:t xml:space="preserve">26</w:t>
            </w:r>
          </w:hyperlink>
          <w:r w:rsidRPr="00000000" w:rsidDel="00000000" w:rsidR="00000000">
            <w:rPr>
              <w:rtl w:val="0"/>
            </w:rPr>
          </w:r>
        </w:p>
        <w:p w:rsidRPr="00000000" w:rsidR="00000000" w:rsidDel="00000000" w:rsidP="00000000" w:rsidRDefault="00000000" w14:paraId="00000092">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ouf4jd3n5vyx">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7.5 Law Enforcement Requests</w:t>
              <w:tab/>
              <w:t xml:space="preserve">27</w:t>
            </w:r>
          </w:hyperlink>
          <w:r w:rsidRPr="00000000" w:rsidDel="00000000" w:rsidR="00000000">
            <w:rPr>
              <w:rtl w:val="0"/>
            </w:rPr>
          </w:r>
        </w:p>
        <w:p w:rsidRPr="00000000" w:rsidR="00000000" w:rsidDel="00000000" w:rsidP="00000000" w:rsidRDefault="00000000" w14:paraId="00000093">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qbccgy3xc3xn">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7.6 Overall Risk Assessment</w:t>
              <w:tab/>
              <w:t xml:space="preserve">27</w:t>
            </w:r>
          </w:hyperlink>
          <w:r w:rsidRPr="00000000" w:rsidDel="00000000" w:rsidR="00000000">
            <w:rPr>
              <w:rtl w:val="0"/>
            </w:rPr>
          </w:r>
        </w:p>
        <w:p w:rsidRPr="00000000" w:rsidR="00000000" w:rsidDel="00000000" w:rsidP="00000000" w:rsidRDefault="00000000" w14:paraId="00000094">
          <w:pPr>
            <w:widowControl w:val="0"/>
            <w:tabs>
              <w:tab w:val="right" w:leader="none" w:pos="12000"/>
            </w:tabs>
            <w:spacing w:before="60" w:after="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hspyptfhb7ib">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8. TRIGGER EVENT REFERRALS</w:t>
              <w:tab/>
              <w:t xml:space="preserve">31</w:t>
            </w:r>
          </w:hyperlink>
          <w:r w:rsidRPr="00000000" w:rsidDel="00000000" w:rsidR="00000000">
            <w:rPr>
              <w:rtl w:val="0"/>
            </w:rPr>
          </w:r>
        </w:p>
        <w:p w:rsidRPr="00000000" w:rsidR="00000000" w:rsidDel="00000000" w:rsidP="00000000" w:rsidRDefault="00000000" w14:paraId="00000095">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49q281e38i54">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8.1 Overview</w:t>
              <w:tab/>
              <w:t xml:space="preserve">31</w:t>
            </w:r>
          </w:hyperlink>
          <w:r w:rsidRPr="00000000" w:rsidDel="00000000" w:rsidR="00000000">
            <w:rPr>
              <w:rtl w:val="0"/>
            </w:rPr>
          </w:r>
        </w:p>
        <w:p w:rsidRPr="00000000" w:rsidR="00000000" w:rsidDel="00000000" w:rsidP="00000000" w:rsidRDefault="00000000" w14:paraId="00000096">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iiadryksv34b">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8.2 Identification of Politically Exposed Persons (PEPs) or High-Risk Individuals</w:t>
              <w:tab/>
              <w:t xml:space="preserve">31</w:t>
            </w:r>
          </w:hyperlink>
          <w:r w:rsidRPr="00000000" w:rsidDel="00000000" w:rsidR="00000000">
            <w:rPr>
              <w:rtl w:val="0"/>
            </w:rPr>
          </w:r>
        </w:p>
        <w:p w:rsidRPr="00000000" w:rsidR="00000000" w:rsidDel="00000000" w:rsidP="00000000" w:rsidRDefault="00000000" w14:paraId="00000097">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iyr0rkhmjar0">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8.3 Misuse of Account for Commercial Purposes</w:t>
              <w:tab/>
              <w:t xml:space="preserve">31</w:t>
            </w:r>
          </w:hyperlink>
          <w:r w:rsidRPr="00000000" w:rsidDel="00000000" w:rsidR="00000000">
            <w:rPr>
              <w:rtl w:val="0"/>
            </w:rPr>
          </w:r>
        </w:p>
        <w:p w:rsidRPr="00000000" w:rsidR="00000000" w:rsidDel="00000000" w:rsidP="00000000" w:rsidRDefault="00000000" w14:paraId="00000098">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ekzjpobbex1n">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8.4 Unusual KYC</w:t>
              <w:tab/>
              <w:t xml:space="preserve">32</w:t>
            </w:r>
          </w:hyperlink>
          <w:r w:rsidRPr="00000000" w:rsidDel="00000000" w:rsidR="00000000">
            <w:rPr>
              <w:rtl w:val="0"/>
            </w:rPr>
          </w:r>
        </w:p>
        <w:p w:rsidRPr="00000000" w:rsidR="00000000" w:rsidDel="00000000" w:rsidP="00000000" w:rsidRDefault="00000000" w14:paraId="00000099">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p7we8cplqq14">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8.5 Review of Employee Accounts</w:t>
              <w:tab/>
              <w:t xml:space="preserve">32</w:t>
            </w:r>
          </w:hyperlink>
          <w:r w:rsidRPr="00000000" w:rsidDel="00000000" w:rsidR="00000000">
            <w:rPr>
              <w:rtl w:val="0"/>
            </w:rPr>
          </w:r>
        </w:p>
        <w:p w:rsidRPr="00000000" w:rsidR="00000000" w:rsidDel="00000000" w:rsidP="00000000" w:rsidRDefault="00000000" w14:paraId="0000009A">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ev7ff0iryt49">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8.6 Sub-account Identification and Reviews</w:t>
              <w:tab/>
              <w:t xml:space="preserve">33</w:t>
            </w:r>
          </w:hyperlink>
          <w:r w:rsidRPr="00000000" w:rsidDel="00000000" w:rsidR="00000000">
            <w:rPr>
              <w:rtl w:val="0"/>
            </w:rPr>
          </w:r>
        </w:p>
        <w:p w:rsidRPr="00000000" w:rsidR="00000000" w:rsidDel="00000000" w:rsidP="00000000" w:rsidRDefault="00000000" w14:paraId="0000009B">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teqz5kwaz920">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8.7 Monitoring Controls for Cloud Broker/Link Model Program</w:t>
              <w:tab/>
              <w:t xml:space="preserve">34</w:t>
            </w:r>
          </w:hyperlink>
          <w:r w:rsidRPr="00000000" w:rsidDel="00000000" w:rsidR="00000000">
            <w:rPr>
              <w:rtl w:val="0"/>
            </w:rPr>
          </w:r>
        </w:p>
        <w:p w:rsidRPr="00000000" w:rsidR="00000000" w:rsidDel="00000000" w:rsidP="00000000" w:rsidRDefault="00000000" w14:paraId="0000009C">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b1cbhvazdba8">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8.8 Corporate Account Review</w:t>
              <w:tab/>
              <w:t xml:space="preserve">34</w:t>
            </w:r>
          </w:hyperlink>
          <w:r w:rsidRPr="00000000" w:rsidDel="00000000" w:rsidR="00000000">
            <w:rPr>
              <w:rtl w:val="0"/>
            </w:rPr>
          </w:r>
        </w:p>
        <w:p w:rsidRPr="00000000" w:rsidR="00000000" w:rsidDel="00000000" w:rsidP="00000000" w:rsidRDefault="00000000" w14:paraId="0000009D">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89c1t1tsb3vi">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8.9 Conflict of Interest</w:t>
              <w:tab/>
              <w:t xml:space="preserve">35</w:t>
            </w:r>
          </w:hyperlink>
          <w:r w:rsidRPr="00000000" w:rsidDel="00000000" w:rsidR="00000000">
            <w:rPr>
              <w:rtl w:val="0"/>
            </w:rPr>
          </w:r>
        </w:p>
        <w:p w:rsidRPr="00000000" w:rsidR="00000000" w:rsidDel="00000000" w:rsidP="00000000" w:rsidRDefault="00000000" w14:paraId="0000009E">
          <w:pPr>
            <w:widowControl w:val="0"/>
            <w:tabs>
              <w:tab w:val="right" w:leader="none" w:pos="12000"/>
            </w:tabs>
            <w:spacing w:before="60" w:after="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k5vyaa26itb0">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9. REQUEST FOR INFORMATION (RFI)</w:t>
              <w:tab/>
              <w:t xml:space="preserve">35</w:t>
            </w:r>
          </w:hyperlink>
          <w:r w:rsidRPr="00000000" w:rsidDel="00000000" w:rsidR="00000000">
            <w:rPr>
              <w:rtl w:val="0"/>
            </w:rPr>
          </w:r>
        </w:p>
        <w:p w:rsidRPr="00000000" w:rsidR="00000000" w:rsidDel="00000000" w:rsidP="00000000" w:rsidRDefault="00000000" w14:paraId="0000009F">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epiinotg3hwu">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9.1 Overview</w:t>
              <w:tab/>
              <w:t xml:space="preserve">35</w:t>
            </w:r>
          </w:hyperlink>
          <w:r w:rsidRPr="00000000" w:rsidDel="00000000" w:rsidR="00000000">
            <w:rPr>
              <w:rtl w:val="0"/>
            </w:rPr>
          </w:r>
        </w:p>
        <w:p w:rsidRPr="00000000" w:rsidR="00000000" w:rsidDel="00000000" w:rsidP="00000000" w:rsidRDefault="00000000" w14:paraId="000000A0">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5zffreutkhr8">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9.2 The RFI process applicable to the On-chain Transaction Screening Team</w:t>
              <w:tab/>
              <w:t xml:space="preserve">36</w:t>
            </w:r>
          </w:hyperlink>
          <w:r w:rsidRPr="00000000" w:rsidDel="00000000" w:rsidR="00000000">
            <w:rPr>
              <w:rtl w:val="0"/>
            </w:rPr>
          </w:r>
        </w:p>
        <w:p w:rsidRPr="00000000" w:rsidR="00000000" w:rsidDel="00000000" w:rsidP="00000000" w:rsidRDefault="00000000" w14:paraId="000000A1">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iz31p4c018kn">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9.3 The RFI process applicable to the Off-chain Transaction Monitoring and Bifinity Teams</w:t>
              <w:tab/>
              <w:t xml:space="preserve">37</w:t>
            </w:r>
          </w:hyperlink>
          <w:r w:rsidRPr="00000000" w:rsidDel="00000000" w:rsidR="00000000">
            <w:rPr>
              <w:rtl w:val="0"/>
            </w:rPr>
          </w:r>
        </w:p>
        <w:p w:rsidRPr="00000000" w:rsidR="00000000" w:rsidDel="00000000" w:rsidP="00000000" w:rsidRDefault="00000000" w14:paraId="000000A2">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yf32clei5kdx">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9.4 RFI Response</w:t>
              <w:tab/>
              <w:t xml:space="preserve">37</w:t>
            </w:r>
          </w:hyperlink>
          <w:r w:rsidRPr="00000000" w:rsidDel="00000000" w:rsidR="00000000">
            <w:rPr>
              <w:rtl w:val="0"/>
            </w:rPr>
          </w:r>
        </w:p>
        <w:p w:rsidRPr="00000000" w:rsidR="00000000" w:rsidDel="00000000" w:rsidP="00000000" w:rsidRDefault="00000000" w14:paraId="000000A3">
          <w:pPr>
            <w:widowControl w:val="0"/>
            <w:tabs>
              <w:tab w:val="right" w:leader="none" w:pos="12000"/>
            </w:tabs>
            <w:spacing w:before="60" w:after="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8wbhrzybcfkf">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10. WHITELISTING APPROACH AND GOVERNANCE PROCESS</w:t>
              <w:tab/>
              <w:t xml:space="preserve">38</w:t>
            </w:r>
          </w:hyperlink>
          <w:r w:rsidRPr="00000000" w:rsidDel="00000000" w:rsidR="00000000">
            <w:rPr>
              <w:rtl w:val="0"/>
            </w:rPr>
          </w:r>
        </w:p>
        <w:p w:rsidRPr="00000000" w:rsidR="00000000" w:rsidDel="00000000" w:rsidP="00000000" w:rsidRDefault="00000000" w14:paraId="000000A4">
          <w:pPr>
            <w:widowControl w:val="0"/>
            <w:tabs>
              <w:tab w:val="right" w:leader="none" w:pos="12000"/>
            </w:tabs>
            <w:spacing w:before="60" w:after="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mhsjo64vohun">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11. ESCALATIONS</w:t>
              <w:tab/>
              <w:t xml:space="preserve">39</w:t>
            </w:r>
          </w:hyperlink>
          <w:r w:rsidRPr="00000000" w:rsidDel="00000000" w:rsidR="00000000">
            <w:rPr>
              <w:rtl w:val="0"/>
            </w:rPr>
          </w:r>
        </w:p>
        <w:p w:rsidRPr="00000000" w:rsidR="00000000" w:rsidDel="00000000" w:rsidP="00000000" w:rsidRDefault="00000000" w14:paraId="000000A5">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2u9d1msfgye">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11.1 Escalation to High Risk Customer Team</w:t>
              <w:tab/>
              <w:t xml:space="preserve">39</w:t>
            </w:r>
          </w:hyperlink>
          <w:r w:rsidRPr="00000000" w:rsidDel="00000000" w:rsidR="00000000">
            <w:rPr>
              <w:rtl w:val="0"/>
            </w:rPr>
          </w:r>
        </w:p>
        <w:p w:rsidRPr="00000000" w:rsidR="00000000" w:rsidDel="00000000" w:rsidP="00000000" w:rsidRDefault="00000000" w14:paraId="000000A6">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kzw3qt313g6y">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11.2 Discrepancies in User Profile</w:t>
              <w:tab/>
              <w:t xml:space="preserve">40</w:t>
            </w:r>
          </w:hyperlink>
          <w:r w:rsidRPr="00000000" w:rsidDel="00000000" w:rsidR="00000000">
            <w:rPr>
              <w:rtl w:val="0"/>
            </w:rPr>
          </w:r>
        </w:p>
        <w:p w:rsidRPr="00000000" w:rsidR="00000000" w:rsidDel="00000000" w:rsidP="00000000" w:rsidRDefault="00000000" w14:paraId="000000A7">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u4g59bnhxmqs">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11.3 Escalation to Sanctions Investigations Team</w:t>
              <w:tab/>
              <w:t xml:space="preserve">40</w:t>
            </w:r>
          </w:hyperlink>
          <w:r w:rsidRPr="00000000" w:rsidDel="00000000" w:rsidR="00000000">
            <w:rPr>
              <w:rtl w:val="0"/>
            </w:rPr>
          </w:r>
        </w:p>
        <w:p w:rsidRPr="00000000" w:rsidR="00000000" w:rsidDel="00000000" w:rsidP="00000000" w:rsidRDefault="00000000" w14:paraId="000000A8">
          <w:pPr>
            <w:widowControl w:val="0"/>
            <w:tabs>
              <w:tab w:val="right" w:leader="none" w:pos="12000"/>
            </w:tabs>
            <w:spacing w:before="60" w:after="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fl47twaft2j3">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12. ON-CHAIN TRANSACTION SCREENING WORKFLOW</w:t>
              <w:tab/>
              <w:t xml:space="preserve">40</w:t>
            </w:r>
          </w:hyperlink>
          <w:r w:rsidRPr="00000000" w:rsidDel="00000000" w:rsidR="00000000">
            <w:rPr>
              <w:rtl w:val="0"/>
            </w:rPr>
          </w:r>
        </w:p>
        <w:p w:rsidRPr="00000000" w:rsidR="00000000" w:rsidDel="00000000" w:rsidP="00000000" w:rsidRDefault="00000000" w14:paraId="000000A9">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t8n81ukyfpsh">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12.1 Overview</w:t>
              <w:tab/>
              <w:t xml:space="preserve">40</w:t>
            </w:r>
          </w:hyperlink>
          <w:r w:rsidRPr="00000000" w:rsidDel="00000000" w:rsidR="00000000">
            <w:rPr>
              <w:rtl w:val="0"/>
            </w:rPr>
          </w:r>
        </w:p>
        <w:p w:rsidRPr="00000000" w:rsidR="00000000" w:rsidDel="00000000" w:rsidP="00000000" w:rsidRDefault="00000000" w14:paraId="000000AA">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doahsk2gbs8f">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12.2 Case Prioritization and Assignment</w:t>
              <w:tab/>
              <w:t xml:space="preserve">41</w:t>
            </w:r>
          </w:hyperlink>
          <w:r w:rsidRPr="00000000" w:rsidDel="00000000" w:rsidR="00000000">
            <w:rPr>
              <w:rtl w:val="0"/>
            </w:rPr>
          </w:r>
        </w:p>
        <w:p w:rsidRPr="00000000" w:rsidR="00000000" w:rsidDel="00000000" w:rsidP="00000000" w:rsidRDefault="00000000" w14:paraId="000000AB">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4gr112idyo9c">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12.3 Onchain Transaction Rejection and Asset Freezes</w:t>
              <w:tab/>
              <w:t xml:space="preserve">41</w:t>
            </w:r>
          </w:hyperlink>
          <w:r w:rsidRPr="00000000" w:rsidDel="00000000" w:rsidR="00000000">
            <w:rPr>
              <w:rtl w:val="0"/>
            </w:rPr>
          </w:r>
        </w:p>
        <w:p w:rsidRPr="00000000" w:rsidR="00000000" w:rsidDel="00000000" w:rsidP="00000000" w:rsidRDefault="00000000" w14:paraId="000000AC">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8m3dm5mc35bd">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12.4 Risk Assessment</w:t>
              <w:tab/>
              <w:t xml:space="preserve">41</w:t>
            </w:r>
          </w:hyperlink>
          <w:r w:rsidRPr="00000000" w:rsidDel="00000000" w:rsidR="00000000">
            <w:rPr>
              <w:rtl w:val="0"/>
            </w:rPr>
          </w:r>
        </w:p>
        <w:p w:rsidRPr="00000000" w:rsidR="00000000" w:rsidDel="00000000" w:rsidP="00000000" w:rsidRDefault="00000000" w14:paraId="000000AD">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twa6zxn7ec0l">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12.5 Transaction Screening Workflow</w:t>
              <w:tab/>
              <w:t xml:space="preserve">42</w:t>
            </w:r>
          </w:hyperlink>
          <w:r w:rsidRPr="00000000" w:rsidDel="00000000" w:rsidR="00000000">
            <w:rPr>
              <w:rtl w:val="0"/>
            </w:rPr>
          </w:r>
        </w:p>
        <w:p w:rsidRPr="00000000" w:rsidR="00000000" w:rsidDel="00000000" w:rsidP="00000000" w:rsidRDefault="00000000" w14:paraId="000000AE">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t1uab5gqm1pm">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12.6 On-Chain Supervisory Review and Quality Assurance Review</w:t>
              <w:tab/>
              <w:t xml:space="preserve">44</w:t>
            </w:r>
          </w:hyperlink>
          <w:r w:rsidRPr="00000000" w:rsidDel="00000000" w:rsidR="00000000">
            <w:rPr>
              <w:rtl w:val="0"/>
            </w:rPr>
          </w:r>
        </w:p>
        <w:p w:rsidRPr="00000000" w:rsidR="00000000" w:rsidDel="00000000" w:rsidP="00000000" w:rsidRDefault="00000000" w14:paraId="000000AF">
          <w:pPr>
            <w:widowControl w:val="0"/>
            <w:tabs>
              <w:tab w:val="right" w:leader="none" w:pos="12000"/>
            </w:tabs>
            <w:spacing w:before="60" w:after="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lif1z3bjjs8e">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13. OFF-CHAIN TRANSACTION MONITORING WORKFLOW</w:t>
              <w:tab/>
              <w:t xml:space="preserve">50</w:t>
            </w:r>
          </w:hyperlink>
          <w:r w:rsidRPr="00000000" w:rsidDel="00000000" w:rsidR="00000000">
            <w:rPr>
              <w:rtl w:val="0"/>
            </w:rPr>
          </w:r>
        </w:p>
        <w:p w:rsidRPr="00000000" w:rsidR="00000000" w:rsidDel="00000000" w:rsidP="00000000" w:rsidRDefault="00000000" w14:paraId="000000B0">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a37rzc1ykm4o">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13.1 Case prioritization and roles assignment</w:t>
              <w:tab/>
              <w:t xml:space="preserve">50</w:t>
            </w:r>
          </w:hyperlink>
          <w:r w:rsidRPr="00000000" w:rsidDel="00000000" w:rsidR="00000000">
            <w:rPr>
              <w:rtl w:val="0"/>
            </w:rPr>
          </w:r>
        </w:p>
        <w:p w:rsidRPr="00000000" w:rsidR="00000000" w:rsidDel="00000000" w:rsidP="00000000" w:rsidRDefault="00000000" w14:paraId="000000B1">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nymto3b6zwvi">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13.2 Why Case(s) Raised</w:t>
              <w:tab/>
              <w:t xml:space="preserve">52</w:t>
            </w:r>
          </w:hyperlink>
          <w:r w:rsidRPr="00000000" w:rsidDel="00000000" w:rsidR="00000000">
            <w:rPr>
              <w:rtl w:val="0"/>
            </w:rPr>
          </w:r>
        </w:p>
        <w:p w:rsidRPr="00000000" w:rsidR="00000000" w:rsidDel="00000000" w:rsidP="00000000" w:rsidRDefault="00000000" w14:paraId="000000B2">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xj1uqaxkwkf3">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13.3 Case Analysis</w:t>
              <w:tab/>
              <w:t xml:space="preserve">53</w:t>
            </w:r>
          </w:hyperlink>
          <w:r w:rsidRPr="00000000" w:rsidDel="00000000" w:rsidR="00000000">
            <w:rPr>
              <w:rtl w:val="0"/>
            </w:rPr>
          </w:r>
        </w:p>
        <w:p w:rsidRPr="00000000" w:rsidR="00000000" w:rsidDel="00000000" w:rsidP="00000000" w:rsidRDefault="00000000" w14:paraId="000000B3">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y0yxq5pqfhvf">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13.4 Prior Cases, Warnings and ICRs</w:t>
              <w:tab/>
              <w:t xml:space="preserve">54</w:t>
            </w:r>
          </w:hyperlink>
          <w:r w:rsidRPr="00000000" w:rsidDel="00000000" w:rsidR="00000000">
            <w:rPr>
              <w:rtl w:val="0"/>
            </w:rPr>
          </w:r>
        </w:p>
        <w:p w:rsidRPr="00000000" w:rsidR="00000000" w:rsidDel="00000000" w:rsidP="00000000" w:rsidRDefault="00000000" w14:paraId="000000B4">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wb7h6m81wzjc">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13.5 Relevant Transaction Activity</w:t>
              <w:tab/>
              <w:t xml:space="preserve">55</w:t>
            </w:r>
          </w:hyperlink>
          <w:r w:rsidRPr="00000000" w:rsidDel="00000000" w:rsidR="00000000">
            <w:rPr>
              <w:rtl w:val="0"/>
            </w:rPr>
          </w:r>
        </w:p>
        <w:p w:rsidRPr="00000000" w:rsidR="00000000" w:rsidDel="00000000" w:rsidP="00000000" w:rsidRDefault="00000000" w14:paraId="000000B5">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s2oovcsyyd61">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13.6 Prioritization of Alerted Transactions/Counterparties</w:t>
              <w:tab/>
              <w:t xml:space="preserve">55</w:t>
            </w:r>
          </w:hyperlink>
          <w:r w:rsidRPr="00000000" w:rsidDel="00000000" w:rsidR="00000000">
            <w:rPr>
              <w:rtl w:val="0"/>
            </w:rPr>
          </w:r>
        </w:p>
        <w:p w:rsidRPr="00000000" w:rsidR="00000000" w:rsidDel="00000000" w:rsidP="00000000" w:rsidRDefault="00000000" w14:paraId="000000B6">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la9fmg2jeggx">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13.7 Review Prior Activity</w:t>
              <w:tab/>
              <w:t xml:space="preserve">56</w:t>
            </w:r>
          </w:hyperlink>
          <w:r w:rsidRPr="00000000" w:rsidDel="00000000" w:rsidR="00000000">
            <w:rPr>
              <w:rtl w:val="0"/>
            </w:rPr>
          </w:r>
        </w:p>
        <w:p w:rsidRPr="00000000" w:rsidR="00000000" w:rsidDel="00000000" w:rsidP="00000000" w:rsidRDefault="00000000" w14:paraId="000000B7">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2e2hwq8c3z1u">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13.8 Case Decision</w:t>
              <w:tab/>
              <w:t xml:space="preserve">58</w:t>
            </w:r>
          </w:hyperlink>
          <w:r w:rsidRPr="00000000" w:rsidDel="00000000" w:rsidR="00000000">
            <w:rPr>
              <w:rtl w:val="0"/>
            </w:rPr>
          </w:r>
        </w:p>
        <w:p w:rsidRPr="00000000" w:rsidR="00000000" w:rsidDel="00000000" w:rsidP="00000000" w:rsidRDefault="00000000" w14:paraId="000000B8">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hdiysx3vyb2">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13.9 Case Decision Following Additional Case Analysis</w:t>
              <w:tab/>
              <w:t xml:space="preserve">58</w:t>
            </w:r>
          </w:hyperlink>
          <w:r w:rsidRPr="00000000" w:rsidDel="00000000" w:rsidR="00000000">
            <w:rPr>
              <w:rtl w:val="0"/>
            </w:rPr>
          </w:r>
        </w:p>
        <w:p w:rsidRPr="00000000" w:rsidR="00000000" w:rsidDel="00000000" w:rsidP="00000000" w:rsidRDefault="00000000" w14:paraId="000000B9">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a3dcf04zfhmt">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13.10 Closure of Case</w:t>
              <w:tab/>
              <w:t xml:space="preserve">59</w:t>
            </w:r>
          </w:hyperlink>
          <w:r w:rsidRPr="00000000" w:rsidDel="00000000" w:rsidR="00000000">
            <w:rPr>
              <w:rtl w:val="0"/>
            </w:rPr>
          </w:r>
        </w:p>
        <w:p w:rsidRPr="00000000" w:rsidR="00000000" w:rsidDel="00000000" w:rsidP="00000000" w:rsidRDefault="00000000" w14:paraId="000000BA">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9uc41dpd668e">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13.11 Escalation to Financial Crime Investigations Team (FCI)</w:t>
              <w:tab/>
              <w:t xml:space="preserve">59</w:t>
            </w:r>
          </w:hyperlink>
          <w:r w:rsidRPr="00000000" w:rsidDel="00000000" w:rsidR="00000000">
            <w:rPr>
              <w:rtl w:val="0"/>
            </w:rPr>
          </w:r>
        </w:p>
        <w:p w:rsidRPr="00000000" w:rsidR="00000000" w:rsidDel="00000000" w:rsidP="00000000" w:rsidRDefault="00000000" w14:paraId="000000BB">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thr3iy3gpdc7">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13.12 Off-Chain Supervisory Review and Quality Check</w:t>
              <w:tab/>
              <w:t xml:space="preserve">59</w:t>
            </w:r>
          </w:hyperlink>
          <w:r w:rsidRPr="00000000" w:rsidDel="00000000" w:rsidR="00000000">
            <w:rPr>
              <w:rtl w:val="0"/>
            </w:rPr>
          </w:r>
        </w:p>
        <w:p w:rsidRPr="00000000" w:rsidR="00000000" w:rsidDel="00000000" w:rsidP="00000000" w:rsidRDefault="00000000" w14:paraId="000000BC">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wk4z7ujypnjh">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13.13 Offboarding Appeals Governance</w:t>
              <w:tab/>
              <w:t xml:space="preserve">61</w:t>
            </w:r>
          </w:hyperlink>
          <w:r w:rsidRPr="00000000" w:rsidDel="00000000" w:rsidR="00000000">
            <w:rPr>
              <w:rtl w:val="0"/>
            </w:rPr>
          </w:r>
        </w:p>
        <w:p w:rsidRPr="00000000" w:rsidR="00000000" w:rsidDel="00000000" w:rsidP="00000000" w:rsidRDefault="00000000" w14:paraId="000000BD">
          <w:pPr>
            <w:widowControl w:val="0"/>
            <w:tabs>
              <w:tab w:val="right" w:leader="none" w:pos="12000"/>
            </w:tabs>
            <w:spacing w:before="60" w:after="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q1hktc2bt74w">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14. 360 MACHINE LEARNING MODEL</w:t>
              <w:tab/>
              <w:t xml:space="preserve">61</w:t>
            </w:r>
          </w:hyperlink>
          <w:r w:rsidRPr="00000000" w:rsidDel="00000000" w:rsidR="00000000">
            <w:rPr>
              <w:rtl w:val="0"/>
            </w:rPr>
          </w:r>
        </w:p>
        <w:p w:rsidRPr="00000000" w:rsidR="00000000" w:rsidDel="00000000" w:rsidP="00000000" w:rsidRDefault="00000000" w14:paraId="000000BE">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1i6271fphzmi">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14.1 Overview of the Fiat Transaction Monitoring (FTM) Machine Learning Process</w:t>
              <w:tab/>
              <w:t xml:space="preserve">62</w:t>
            </w:r>
          </w:hyperlink>
          <w:r w:rsidRPr="00000000" w:rsidDel="00000000" w:rsidR="00000000">
            <w:rPr>
              <w:rtl w:val="0"/>
            </w:rPr>
          </w:r>
        </w:p>
        <w:p w:rsidRPr="00000000" w:rsidR="00000000" w:rsidDel="00000000" w:rsidP="00000000" w:rsidRDefault="00000000" w14:paraId="000000BF">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8mettvajy91m">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14.2 Overview of the Crypto Transaction Monitoring (CTM) Machine Learning Process</w:t>
              <w:tab/>
              <w:t xml:space="preserve">62</w:t>
            </w:r>
          </w:hyperlink>
          <w:r w:rsidRPr="00000000" w:rsidDel="00000000" w:rsidR="00000000">
            <w:rPr>
              <w:rtl w:val="0"/>
            </w:rPr>
          </w:r>
        </w:p>
        <w:p w:rsidRPr="00000000" w:rsidR="00000000" w:rsidDel="00000000" w:rsidP="00000000" w:rsidRDefault="00000000" w14:paraId="000000C0">
          <w:pPr>
            <w:widowControl w:val="0"/>
            <w:tabs>
              <w:tab w:val="right" w:leader="none" w:pos="12000"/>
            </w:tabs>
            <w:spacing w:before="60" w:after="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rlhruxgdvhav">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15. ALERT DATA MANAGEMENT</w:t>
              <w:tab/>
              <w:t xml:space="preserve">63</w:t>
            </w:r>
          </w:hyperlink>
          <w:r w:rsidRPr="00000000" w:rsidDel="00000000" w:rsidR="00000000">
            <w:rPr>
              <w:rtl w:val="0"/>
            </w:rPr>
          </w:r>
        </w:p>
        <w:p w:rsidRPr="00000000" w:rsidR="00000000" w:rsidDel="00000000" w:rsidP="00000000" w:rsidRDefault="00000000" w14:paraId="000000C1">
          <w:pPr>
            <w:widowControl w:val="0"/>
            <w:tabs>
              <w:tab w:val="right" w:leader="none" w:pos="12000"/>
            </w:tabs>
            <w:spacing w:before="60" w:after="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plqlec1fltsw">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16. APPROVALS &amp; GOVERNANCE</w:t>
              <w:tab/>
              <w:t xml:space="preserve">63</w:t>
            </w:r>
          </w:hyperlink>
          <w:r w:rsidRPr="00000000" w:rsidDel="00000000" w:rsidR="00000000">
            <w:rPr>
              <w:rtl w:val="0"/>
            </w:rPr>
          </w:r>
        </w:p>
        <w:p w:rsidRPr="00000000" w:rsidR="00000000" w:rsidDel="00000000" w:rsidP="00000000" w:rsidRDefault="00000000" w14:paraId="000000C2">
          <w:pPr>
            <w:widowControl w:val="0"/>
            <w:tabs>
              <w:tab w:val="right" w:leader="none" w:pos="12000"/>
            </w:tabs>
            <w:spacing w:before="60" w:after="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tyn5eyyhrho6">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17. TRANSACTION MONITORING RULES MANAGEMENT</w:t>
              <w:tab/>
              <w:t xml:space="preserve">64</w:t>
            </w:r>
          </w:hyperlink>
          <w:r w:rsidRPr="00000000" w:rsidDel="00000000" w:rsidR="00000000">
            <w:rPr>
              <w:rtl w:val="0"/>
            </w:rPr>
          </w:r>
        </w:p>
        <w:p w:rsidRPr="00000000" w:rsidR="00000000" w:rsidDel="00000000" w:rsidP="00000000" w:rsidRDefault="00000000" w14:paraId="000000C3">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ohg0pwq0wqrx">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17.1 Rule Tuning</w:t>
              <w:tab/>
              <w:t xml:space="preserve">64</w:t>
            </w:r>
          </w:hyperlink>
          <w:r w:rsidRPr="00000000" w:rsidDel="00000000" w:rsidR="00000000">
            <w:rPr>
              <w:rtl w:val="0"/>
            </w:rPr>
          </w:r>
        </w:p>
        <w:p w:rsidRPr="00000000" w:rsidR="00000000" w:rsidDel="00000000" w:rsidP="00000000" w:rsidRDefault="00000000" w14:paraId="000000C4">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pqygrnur90h2">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17.2 Supervised Machine Learning QA process</w:t>
              <w:tab/>
              <w:t xml:space="preserve">65</w:t>
            </w:r>
          </w:hyperlink>
          <w:r w:rsidRPr="00000000" w:rsidDel="00000000" w:rsidR="00000000">
            <w:rPr>
              <w:rtl w:val="0"/>
            </w:rPr>
          </w:r>
        </w:p>
        <w:p w:rsidRPr="00000000" w:rsidR="00000000" w:rsidDel="00000000" w:rsidP="00000000" w:rsidRDefault="00000000" w14:paraId="000000C5">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mded4feufe5v">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17.3 Incident Escalation Procedure</w:t>
              <w:tab/>
              <w:t xml:space="preserve">65</w:t>
            </w:r>
          </w:hyperlink>
          <w:r w:rsidRPr="00000000" w:rsidDel="00000000" w:rsidR="00000000">
            <w:rPr>
              <w:rtl w:val="0"/>
            </w:rPr>
          </w:r>
        </w:p>
        <w:p w:rsidRPr="00000000" w:rsidR="00000000" w:rsidDel="00000000" w:rsidP="00000000" w:rsidRDefault="00000000" w14:paraId="000000C6">
          <w:pPr>
            <w:widowControl w:val="0"/>
            <w:tabs>
              <w:tab w:val="right" w:leader="none" w:pos="12000"/>
            </w:tabs>
            <w:spacing w:before="60" w:after="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jctwm1np0z12">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18. TRANSACTION MONITORING RULE CALIBRATION PROCEDURE</w:t>
              <w:tab/>
              <w:t xml:space="preserve">67</w:t>
            </w:r>
          </w:hyperlink>
          <w:r w:rsidRPr="00000000" w:rsidDel="00000000" w:rsidR="00000000">
            <w:rPr>
              <w:rtl w:val="0"/>
            </w:rPr>
          </w:r>
        </w:p>
        <w:p w:rsidRPr="00000000" w:rsidR="00000000" w:rsidDel="00000000" w:rsidP="00000000" w:rsidRDefault="00000000" w14:paraId="000000C7">
          <w:pPr>
            <w:widowControl w:val="0"/>
            <w:tabs>
              <w:tab w:val="right" w:leader="none" w:pos="12000"/>
            </w:tabs>
            <w:spacing w:before="60" w:after="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kgvud9flzjr2">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19. COMPLIANCE INTELLIGENCE FUSION CENTRE (CIFC)</w:t>
              <w:tab/>
              <w:t xml:space="preserve">67</w:t>
            </w:r>
          </w:hyperlink>
          <w:r w:rsidRPr="00000000" w:rsidDel="00000000" w:rsidR="00000000">
            <w:rPr>
              <w:rtl w:val="0"/>
            </w:rPr>
          </w:r>
        </w:p>
        <w:p w:rsidRPr="00000000" w:rsidR="00000000" w:rsidDel="00000000" w:rsidP="00000000" w:rsidRDefault="00000000" w14:paraId="000000C8">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4ie3nmc9sr1w">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19.1 Overview</w:t>
              <w:tab/>
              <w:t xml:space="preserve">67</w:t>
            </w:r>
          </w:hyperlink>
          <w:r w:rsidRPr="00000000" w:rsidDel="00000000" w:rsidR="00000000">
            <w:rPr>
              <w:rtl w:val="0"/>
            </w:rPr>
          </w:r>
        </w:p>
        <w:p w:rsidRPr="00000000" w:rsidR="00000000" w:rsidDel="00000000" w:rsidP="00000000" w:rsidRDefault="00000000" w14:paraId="000000C9">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yccm369f3uvq">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19.2 Sanctions List Name Screening</w:t>
              <w:tab/>
              <w:t xml:space="preserve">68</w:t>
            </w:r>
          </w:hyperlink>
          <w:r w:rsidRPr="00000000" w:rsidDel="00000000" w:rsidR="00000000">
            <w:rPr>
              <w:rtl w:val="0"/>
            </w:rPr>
          </w:r>
        </w:p>
        <w:p w:rsidRPr="00000000" w:rsidR="00000000" w:rsidDel="00000000" w:rsidP="00000000" w:rsidRDefault="00000000" w14:paraId="000000CA">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jhvvw0qna3hp">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19.3 Threat Intelligence Aggregation &amp; Proactive Response</w:t>
              <w:tab/>
              <w:t xml:space="preserve">68</w:t>
            </w:r>
          </w:hyperlink>
          <w:r w:rsidRPr="00000000" w:rsidDel="00000000" w:rsidR="00000000">
            <w:rPr>
              <w:rtl w:val="0"/>
            </w:rPr>
          </w:r>
        </w:p>
        <w:p w:rsidRPr="00000000" w:rsidR="00000000" w:rsidDel="00000000" w:rsidP="00000000" w:rsidRDefault="00000000" w14:paraId="000000CB">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5nhmswwq38j9">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19.4 Flashpoint</w:t>
              <w:tab/>
              <w:t xml:space="preserve">68</w:t>
            </w:r>
          </w:hyperlink>
          <w:r w:rsidRPr="00000000" w:rsidDel="00000000" w:rsidR="00000000">
            <w:rPr>
              <w:rtl w:val="0"/>
            </w:rPr>
          </w:r>
        </w:p>
        <w:p w:rsidRPr="00000000" w:rsidR="00000000" w:rsidDel="00000000" w:rsidP="00000000" w:rsidRDefault="00000000" w14:paraId="000000CC">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43mmyn1kjwv2">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19.5 SEAL-ISAC</w:t>
              <w:tab/>
              <w:t xml:space="preserve">69</w:t>
            </w:r>
          </w:hyperlink>
          <w:r w:rsidRPr="00000000" w:rsidDel="00000000" w:rsidR="00000000">
            <w:rPr>
              <w:rtl w:val="0"/>
            </w:rPr>
          </w:r>
        </w:p>
        <w:p w:rsidRPr="00000000" w:rsidR="00000000" w:rsidDel="00000000" w:rsidP="00000000" w:rsidRDefault="00000000" w14:paraId="000000CD">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9nv1ij8wdch7">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19.6 Internal Attributions in Blocktracer</w:t>
              <w:tab/>
              <w:t xml:space="preserve">69</w:t>
            </w:r>
          </w:hyperlink>
          <w:r w:rsidRPr="00000000" w:rsidDel="00000000" w:rsidR="00000000">
            <w:rPr>
              <w:rtl w:val="0"/>
            </w:rPr>
          </w:r>
        </w:p>
        <w:p w:rsidRPr="00000000" w:rsidR="00000000" w:rsidDel="00000000" w:rsidP="00000000" w:rsidRDefault="00000000" w14:paraId="000000CE">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jr1vf9n3nxf">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19.7 Intelligence Reports</w:t>
              <w:tab/>
              <w:t xml:space="preserve">69</w:t>
            </w:r>
          </w:hyperlink>
          <w:r w:rsidRPr="00000000" w:rsidDel="00000000" w:rsidR="00000000">
            <w:rPr>
              <w:rtl w:val="0"/>
            </w:rPr>
          </w:r>
        </w:p>
        <w:p w:rsidRPr="00000000" w:rsidR="00000000" w:rsidDel="00000000" w:rsidP="00000000" w:rsidRDefault="00000000" w14:paraId="000000CF">
          <w:pPr>
            <w:widowControl w:val="0"/>
            <w:tabs>
              <w:tab w:val="right" w:leader="none" w:pos="12000"/>
            </w:tabs>
            <w:spacing w:before="60" w:after="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89x406nnw13o">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20. TRAINING AND AWARENESS</w:t>
              <w:tab/>
              <w:t xml:space="preserve">70</w:t>
            </w:r>
          </w:hyperlink>
          <w:r w:rsidRPr="00000000" w:rsidDel="00000000" w:rsidR="00000000">
            <w:rPr>
              <w:rtl w:val="0"/>
            </w:rPr>
          </w:r>
        </w:p>
        <w:p w:rsidRPr="00000000" w:rsidR="00000000" w:rsidDel="00000000" w:rsidP="00000000" w:rsidRDefault="00000000" w14:paraId="000000D0">
          <w:pPr>
            <w:widowControl w:val="0"/>
            <w:tabs>
              <w:tab w:val="right" w:leader="none" w:pos="12000"/>
            </w:tabs>
            <w:spacing w:before="60" w:after="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4c5t2diw1rdi">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21. COMPLIANCE MONITORING</w:t>
              <w:tab/>
              <w:t xml:space="preserve">70</w:t>
            </w:r>
          </w:hyperlink>
          <w:r w:rsidRPr="00000000" w:rsidDel="00000000" w:rsidR="00000000">
            <w:rPr>
              <w:rtl w:val="0"/>
            </w:rPr>
          </w:r>
        </w:p>
        <w:p w:rsidRPr="00000000" w:rsidR="00000000" w:rsidDel="00000000" w:rsidP="00000000" w:rsidRDefault="00000000" w14:paraId="000000D1">
          <w:pPr>
            <w:widowControl w:val="0"/>
            <w:tabs>
              <w:tab w:val="right" w:leader="none" w:pos="12000"/>
            </w:tabs>
            <w:spacing w:before="60" w:after="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4alv24g60rqd">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22.  FEEDBACK MECHANISM</w:t>
              <w:tab/>
              <w:t xml:space="preserve">71</w:t>
            </w:r>
          </w:hyperlink>
          <w:r w:rsidRPr="00000000" w:rsidDel="00000000" w:rsidR="00000000">
            <w:rPr>
              <w:rtl w:val="0"/>
            </w:rPr>
          </w:r>
        </w:p>
        <w:p w:rsidRPr="00000000" w:rsidR="00000000" w:rsidDel="00000000" w:rsidP="00000000" w:rsidRDefault="00000000" w14:paraId="000000D2">
          <w:pPr>
            <w:widowControl w:val="0"/>
            <w:tabs>
              <w:tab w:val="right" w:leader="none" w:pos="12000"/>
            </w:tabs>
            <w:spacing w:before="60" w:after="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swk3glp1r725">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23. APPENDIX 1. RELATED DOCUMENTATION</w:t>
              <w:tab/>
              <w:t xml:space="preserve">72</w:t>
            </w:r>
          </w:hyperlink>
          <w:r w:rsidRPr="00000000" w:rsidDel="00000000" w:rsidR="00000000">
            <w:rPr>
              <w:rtl w:val="0"/>
            </w:rPr>
          </w:r>
          <w:r w:rsidRPr="00000000" w:rsidDel="00000000" w:rsidR="00000000">
            <w:fldChar w:fldCharType="end"/>
          </w:r>
        </w:p>
      </w:sdtContent>
    </w:sdt>
    <w:p w:rsidRPr="00000000" w:rsidR="00000000" w:rsidDel="00000000" w:rsidP="00000000" w:rsidRDefault="00000000" w14:paraId="000000D3">
      <w:pPr>
        <w:rPr>
          <w:b w:val="1"/>
          <w:bCs w:val="1"/>
          <w:sz w:val="24"/>
          <w:szCs w:val="24"/>
        </w:rPr>
      </w:pPr>
      <w:r w:rsidRPr="00000000" w:rsidDel="00000000" w:rsidR="00000000">
        <w:br w:type="page"/>
      </w:r>
      <w:r w:rsidRPr="00000000" w:rsidDel="00000000" w:rsidR="00000000">
        <w:rPr>
          <w:rtl w:val="0"/>
        </w:rPr>
      </w:r>
    </w:p>
    <w:p w:rsidRPr="00000000" w:rsidR="00000000" w:rsidDel="00000000" w:rsidP="00000000" w:rsidRDefault="00000000" w14:paraId="000000D4">
      <w:pPr>
        <w:pStyle w:val="Heading1"/>
        <w:keepLines w:val="0"/>
        <w:numPr>
          <w:ilvl w:val="0"/>
          <w:numId w:val="25"/>
        </w:numPr>
        <w:spacing w:before="400" w:after="200" w:line="240" w:lineRule="auto"/>
        <w:ind w:left="720"/>
        <w:jc w:val="both"/>
        <w:rPr>
          <w:smallCaps w:val="1"/>
        </w:rPr>
      </w:pPr>
      <w:bookmarkStart w:name="_heading=h.dwc7u4viefe5" w:colFirst="0" w:colLast="0" w:id="1"/>
      <w:bookmarkEnd w:id="1"/>
      <w:r w:rsidRPr="00000000" w:rsidDel="00000000" w:rsidR="00000000">
        <w:rPr>
          <w:rFonts w:ascii="Arial" w:hAnsi="Arial" w:eastAsia="Arial" w:cs="Arial"/>
          <w:smallCaps w:val="1"/>
          <w:sz w:val="28"/>
          <w:szCs w:val="28"/>
          <w:rtl w:val="0"/>
        </w:rPr>
        <w:t xml:space="preserve">PURPOSE</w:t>
      </w:r>
      <w:r w:rsidRPr="00000000" w:rsidDel="00000000" w:rsidR="00000000">
        <w:rPr>
          <w:rtl w:val="0"/>
        </w:rPr>
      </w:r>
    </w:p>
    <w:p w:rsidRPr="00000000" w:rsidR="00000000" w:rsidDel="00000000" w:rsidP="00000000" w:rsidRDefault="00000000" w14:paraId="000000D5">
      <w:pPr>
        <w:numPr>
          <w:ilvl w:val="2"/>
          <w:numId w:val="25"/>
        </w:numPr>
        <w:spacing w:after="240" w:lineRule="auto"/>
        <w:ind w:left="720" w:hanging="720"/>
        <w:jc w:val="both"/>
        <w:rPr>
          <w:color w:val="000000"/>
        </w:rPr>
      </w:pPr>
      <w:bookmarkStart w:name="_heading=h.ygkf6e9j7ebj" w:colFirst="0" w:colLast="0" w:id="2"/>
      <w:bookmarkEnd w:id="2"/>
      <w:r w:rsidRPr="00000000" w:rsidDel="00000000" w:rsidR="00000000">
        <w:rPr>
          <w:color w:val="000000"/>
          <w:rtl w:val="0"/>
        </w:rPr>
        <w:t xml:space="preserve">Binance Group is committed to complying with global regulatory requirements and maintaining high standards to prevent the exchange from being used as a vehicle for money laundering (“</w:t>
      </w:r>
      <w:r w:rsidRPr="00000000" w:rsidDel="00000000" w:rsidR="00000000">
        <w:rPr>
          <w:b w:val="1"/>
          <w:bCs w:val="1"/>
          <w:color w:val="000000"/>
          <w:rtl w:val="0"/>
        </w:rPr>
        <w:t xml:space="preserve">ML</w:t>
      </w:r>
      <w:r w:rsidRPr="00000000" w:rsidDel="00000000" w:rsidR="00000000">
        <w:rPr>
          <w:color w:val="000000"/>
          <w:rtl w:val="0"/>
        </w:rPr>
        <w:t xml:space="preserve">”) and terrorist financing (“</w:t>
      </w:r>
      <w:r w:rsidRPr="00000000" w:rsidDel="00000000" w:rsidR="00000000">
        <w:rPr>
          <w:b w:val="1"/>
          <w:bCs w:val="1"/>
          <w:color w:val="000000"/>
          <w:rtl w:val="0"/>
        </w:rPr>
        <w:t xml:space="preserve">TF</w:t>
      </w:r>
      <w:r w:rsidRPr="00000000" w:rsidDel="00000000" w:rsidR="00000000">
        <w:rPr>
          <w:color w:val="000000"/>
          <w:rtl w:val="0"/>
        </w:rPr>
        <w:t xml:space="preserve">”). In order to mitigate the risk of facilitating illicit activities, and illicit actors abusing its platform, Binance Group has adopted a risk-based approach to Anti Money Laundering / Countering the Financing of Terrorism (“</w:t>
      </w:r>
      <w:r w:rsidRPr="00000000" w:rsidDel="00000000" w:rsidR="00000000">
        <w:rPr>
          <w:b w:val="1"/>
          <w:bCs w:val="1"/>
          <w:color w:val="000000"/>
          <w:rtl w:val="0"/>
        </w:rPr>
        <w:t xml:space="preserve">AML/CFT</w:t>
      </w:r>
      <w:r w:rsidRPr="00000000" w:rsidDel="00000000" w:rsidR="00000000">
        <w:rPr>
          <w:color w:val="000000"/>
          <w:rtl w:val="0"/>
        </w:rPr>
        <w:t xml:space="preserve">”) where there are AML/CFT processes applied at various phases. </w:t>
      </w:r>
    </w:p>
    <w:p w:rsidRPr="00000000" w:rsidR="00000000" w:rsidDel="00000000" w:rsidP="00000000" w:rsidRDefault="00000000" w14:paraId="000000D6">
      <w:pPr>
        <w:numPr>
          <w:ilvl w:val="2"/>
          <w:numId w:val="25"/>
        </w:numPr>
        <w:spacing w:after="240" w:lineRule="auto"/>
        <w:ind w:left="720" w:hanging="720"/>
        <w:jc w:val="both"/>
        <w:rPr>
          <w:color w:val="000000"/>
        </w:rPr>
      </w:pPr>
      <w:bookmarkStart w:name="_heading=h.wmxn5ti1fx2x" w:colFirst="0" w:colLast="0" w:id="3"/>
      <w:bookmarkEnd w:id="3"/>
      <w:r w:rsidRPr="00000000" w:rsidDel="00000000" w:rsidR="00000000">
        <w:rPr>
          <w:color w:val="000000"/>
          <w:rtl w:val="0"/>
        </w:rPr>
        <w:t xml:space="preserve">Transaction Monitoring focuses on the ongoing risk evaluation of a customer’s transactions to ensure that these transactions are consistent with the Binance Group’s understanding of the Customer and their risk profile.  Transactions include deemed as transactions of all kinds, including but notwithstanding trading, crypto deposits/withdrawals, and Fiat Currency Transactions as well as any other activities relevant under AML/CFT regulations.</w:t>
      </w:r>
    </w:p>
    <w:p w:rsidRPr="00000000" w:rsidR="00000000" w:rsidDel="00000000" w:rsidP="00000000" w:rsidRDefault="00000000" w14:paraId="000000D7">
      <w:pPr>
        <w:numPr>
          <w:ilvl w:val="2"/>
          <w:numId w:val="25"/>
        </w:numPr>
        <w:spacing w:after="240" w:lineRule="auto"/>
        <w:ind w:left="720" w:hanging="720"/>
        <w:jc w:val="both"/>
        <w:rPr>
          <w:color w:val="000000"/>
        </w:rPr>
      </w:pPr>
      <w:bookmarkStart w:name="_heading=h.3ws9m4wntk6" w:colFirst="0" w:colLast="0" w:id="4"/>
      <w:bookmarkEnd w:id="4"/>
      <w:r w:rsidRPr="00000000" w:rsidDel="00000000" w:rsidR="00000000">
        <w:rPr>
          <w:color w:val="000000"/>
          <w:rtl w:val="0"/>
        </w:rPr>
        <w:t xml:space="preserve">This Global Transaction Monitoring Operating Procedures (“</w:t>
      </w:r>
      <w:r w:rsidRPr="00000000" w:rsidDel="00000000" w:rsidR="00000000">
        <w:rPr>
          <w:b w:val="1"/>
          <w:bCs w:val="1"/>
          <w:rtl w:val="0"/>
        </w:rPr>
        <w:t xml:space="preserve">Procedure</w:t>
      </w:r>
      <w:r w:rsidRPr="00000000" w:rsidDel="00000000" w:rsidR="00000000">
        <w:rPr>
          <w:color w:val="000000"/>
          <w:rtl w:val="0"/>
        </w:rPr>
        <w:t xml:space="preserve">”) establishes the transaction monitoring processes, rules, and scenarios in which Binance Group implements and applies to all Binance and Bifinity customers and accounts established and serviced by Binance. This </w:t>
      </w:r>
      <w:r w:rsidRPr="00000000" w:rsidDel="00000000" w:rsidR="00000000">
        <w:rPr>
          <w:rtl w:val="0"/>
        </w:rPr>
        <w:t xml:space="preserve">Procedure</w:t>
      </w:r>
      <w:r w:rsidRPr="00000000" w:rsidDel="00000000" w:rsidR="00000000">
        <w:rPr>
          <w:color w:val="000000"/>
          <w:rtl w:val="0"/>
        </w:rPr>
        <w:t xml:space="preserve"> also serves as a guide for the Analyst in actioning the transaction monitoring alerts within the designated Alert Management systems. </w:t>
      </w:r>
    </w:p>
    <w:p w:rsidRPr="00000000" w:rsidR="00000000" w:rsidDel="00000000" w:rsidP="00000000" w:rsidRDefault="00000000" w14:paraId="000000D8">
      <w:pPr>
        <w:numPr>
          <w:ilvl w:val="2"/>
          <w:numId w:val="25"/>
        </w:numPr>
        <w:spacing w:after="240" w:lineRule="auto"/>
        <w:ind w:left="720" w:hanging="720"/>
        <w:jc w:val="both"/>
        <w:rPr>
          <w:color w:val="000000"/>
        </w:rPr>
      </w:pPr>
      <w:bookmarkStart w:name="_heading=h.vuoyhvxqd1tm" w:colFirst="0" w:colLast="0" w:id="5"/>
      <w:bookmarkEnd w:id="5"/>
      <w:r w:rsidRPr="00000000" w:rsidDel="00000000" w:rsidR="00000000">
        <w:rPr>
          <w:color w:val="000000"/>
          <w:rtl w:val="0"/>
        </w:rPr>
        <w:t xml:space="preserve">This </w:t>
      </w:r>
      <w:r w:rsidRPr="00000000" w:rsidDel="00000000" w:rsidR="00000000">
        <w:rPr>
          <w:rtl w:val="0"/>
        </w:rPr>
        <w:t xml:space="preserve">Procedure</w:t>
      </w:r>
      <w:r w:rsidRPr="00000000" w:rsidDel="00000000" w:rsidR="00000000">
        <w:rPr>
          <w:color w:val="000000"/>
          <w:rtl w:val="0"/>
        </w:rPr>
        <w:t xml:space="preserve"> should be read in conjunction with the relevant guidance documents including any possible desktop operating instructions for the respective alert/case management systems, as well as Binance Group’s Global AML/CFT Policy.</w:t>
      </w:r>
    </w:p>
    <w:p w:rsidRPr="00000000" w:rsidR="00000000" w:rsidDel="00000000" w:rsidP="00000000" w:rsidRDefault="00000000" w14:paraId="000000D9">
      <w:pPr>
        <w:numPr>
          <w:ilvl w:val="2"/>
          <w:numId w:val="25"/>
        </w:numPr>
        <w:spacing w:after="240" w:lineRule="auto"/>
        <w:ind w:left="720" w:hanging="720"/>
        <w:jc w:val="both"/>
        <w:rPr>
          <w:color w:val="000000"/>
        </w:rPr>
      </w:pPr>
      <w:bookmarkStart w:name="_heading=h.jr6fwdomaz8z" w:colFirst="0" w:colLast="0" w:id="6"/>
      <w:bookmarkEnd w:id="6"/>
      <w:r w:rsidRPr="00000000" w:rsidDel="00000000" w:rsidR="00000000">
        <w:rPr>
          <w:color w:val="000000"/>
          <w:rtl w:val="0"/>
        </w:rPr>
        <w:t xml:space="preserve">Reference in this </w:t>
      </w:r>
      <w:r w:rsidRPr="00000000" w:rsidDel="00000000" w:rsidR="00000000">
        <w:rPr>
          <w:rtl w:val="0"/>
        </w:rPr>
        <w:t xml:space="preserve">Procedure</w:t>
      </w:r>
      <w:r w:rsidRPr="00000000" w:rsidDel="00000000" w:rsidR="00000000">
        <w:rPr>
          <w:color w:val="000000"/>
          <w:rtl w:val="0"/>
        </w:rPr>
        <w:t xml:space="preserve"> to the terms “Binance Group” or “Binance” or “the Group” means each group of undertakings consisting of the entities defined and listed in </w:t>
      </w:r>
      <w:r w:rsidRPr="00000000" w:rsidDel="00000000" w:rsidR="00000000">
        <w:rPr>
          <w:color w:val="000000"/>
          <w:rtl w:val="0"/>
        </w:rPr>
        <w:t xml:space="preserve">Appendix 3 (Binance Group Schedule) </w:t>
      </w:r>
      <w:r w:rsidRPr="00000000" w:rsidDel="00000000" w:rsidR="00000000">
        <w:rPr>
          <w:rtl w:val="0"/>
        </w:rPr>
        <w:t xml:space="preserve">of </w:t>
      </w:r>
      <w:r w:rsidRPr="00000000" w:rsidDel="00000000" w:rsidR="00000000">
        <w:rPr>
          <w:rtl w:val="0"/>
        </w:rPr>
        <w:t xml:space="preserve">Global Anti-Money Laundering and Countering Terrorism Financing Policy</w:t>
      </w:r>
      <w:r w:rsidRPr="00000000" w:rsidDel="00000000" w:rsidR="00000000">
        <w:rPr>
          <w:color w:val="000000"/>
          <w:rtl w:val="0"/>
        </w:rPr>
        <w:t xml:space="preserve">.  </w:t>
      </w:r>
      <w:r w:rsidRPr="00000000" w:rsidDel="00000000" w:rsidR="00000000">
        <w:rPr>
          <w:color w:val="000000"/>
          <w:rtl w:val="0"/>
        </w:rPr>
        <w:t xml:space="preserve">Each Group applies this Policy within that Group only. </w:t>
      </w:r>
    </w:p>
    <w:p w:rsidRPr="00000000" w:rsidR="00000000" w:rsidDel="00000000" w:rsidP="00000000" w:rsidRDefault="00000000" w14:paraId="000000DA">
      <w:pPr>
        <w:numPr>
          <w:ilvl w:val="2"/>
          <w:numId w:val="25"/>
        </w:numPr>
        <w:spacing w:after="0" w:lineRule="auto"/>
        <w:ind w:left="720" w:hanging="720"/>
        <w:jc w:val="both"/>
        <w:rPr>
          <w:color w:val="000000"/>
        </w:rPr>
      </w:pPr>
      <w:r w:rsidRPr="00000000" w:rsidDel="00000000" w:rsidR="00000000">
        <w:rPr>
          <w:color w:val="000000"/>
          <w:rtl w:val="0"/>
        </w:rPr>
        <w:t xml:space="preserve">The relevant forms and internal policies and procedures mentioned in this </w:t>
      </w:r>
      <w:r w:rsidRPr="00000000" w:rsidDel="00000000" w:rsidR="00000000">
        <w:rPr>
          <w:rtl w:val="0"/>
        </w:rPr>
        <w:t xml:space="preserve">Procedure</w:t>
      </w:r>
      <w:r w:rsidRPr="00000000" w:rsidDel="00000000" w:rsidR="00000000">
        <w:rPr>
          <w:color w:val="000000"/>
          <w:rtl w:val="0"/>
        </w:rPr>
        <w:t xml:space="preserve"> are linked under Appendix 1.</w:t>
      </w:r>
    </w:p>
    <w:p w:rsidRPr="00000000" w:rsidR="00000000" w:rsidDel="00000000" w:rsidP="00000000" w:rsidRDefault="00000000" w14:paraId="000000DB">
      <w:pPr>
        <w:pStyle w:val="Heading1"/>
        <w:numPr>
          <w:ilvl w:val="0"/>
          <w:numId w:val="25"/>
        </w:numPr>
        <w:spacing w:before="400" w:after="200" w:line="276" w:lineRule="auto"/>
        <w:ind w:left="720"/>
        <w:jc w:val="both"/>
        <w:rPr/>
      </w:pPr>
      <w:bookmarkStart w:name="_heading=h.4haq3wnq07lo" w:colFirst="0" w:colLast="0" w:id="7"/>
      <w:bookmarkEnd w:id="7"/>
      <w:r w:rsidRPr="00000000" w:rsidDel="00000000" w:rsidR="00000000">
        <w:rPr>
          <w:rFonts w:ascii="Arial" w:hAnsi="Arial" w:eastAsia="Arial" w:cs="Arial"/>
          <w:sz w:val="28"/>
          <w:szCs w:val="28"/>
          <w:rtl w:val="0"/>
        </w:rPr>
        <w:t xml:space="preserve">APPLICATION AND SCOPE</w:t>
      </w:r>
    </w:p>
    <w:p w:rsidRPr="00000000" w:rsidR="00000000" w:rsidDel="00000000" w:rsidP="00000000" w:rsidRDefault="00000000" w14:paraId="000000DC">
      <w:pPr>
        <w:numPr>
          <w:ilvl w:val="2"/>
          <w:numId w:val="25"/>
        </w:numPr>
        <w:spacing w:after="240" w:lineRule="auto"/>
        <w:ind w:left="720" w:hanging="720"/>
        <w:jc w:val="both"/>
        <w:rPr>
          <w:color w:val="000000"/>
        </w:rPr>
      </w:pPr>
      <w:bookmarkStart w:name="_heading=h.efiprpjsph95" w:colFirst="0" w:colLast="0" w:id="8"/>
      <w:bookmarkEnd w:id="8"/>
      <w:r w:rsidRPr="00000000" w:rsidDel="00000000" w:rsidR="00000000">
        <w:rPr>
          <w:color w:val="000000"/>
          <w:rtl w:val="0"/>
        </w:rPr>
        <w:t xml:space="preserve">This </w:t>
      </w:r>
      <w:r w:rsidRPr="00000000" w:rsidDel="00000000" w:rsidR="00000000">
        <w:rPr>
          <w:rtl w:val="0"/>
        </w:rPr>
        <w:t xml:space="preserve">Procedure</w:t>
      </w:r>
      <w:r w:rsidRPr="00000000" w:rsidDel="00000000" w:rsidR="00000000">
        <w:rPr>
          <w:color w:val="000000"/>
          <w:rtl w:val="0"/>
        </w:rPr>
        <w:t xml:space="preserve"> provides global standard policy for the management and analysis of transaction monitoring generated alerts for all Binance Group customers, outsourced local functions and accounts established and serviced by Binance. All Transaction Monitoring analysts (“</w:t>
      </w:r>
      <w:r w:rsidRPr="00000000" w:rsidDel="00000000" w:rsidR="00000000">
        <w:rPr>
          <w:b w:val="1"/>
          <w:bCs w:val="1"/>
          <w:color w:val="000000"/>
          <w:rtl w:val="0"/>
        </w:rPr>
        <w:t xml:space="preserve">Analysts</w:t>
      </w:r>
      <w:r w:rsidRPr="00000000" w:rsidDel="00000000" w:rsidR="00000000">
        <w:rPr>
          <w:color w:val="000000"/>
          <w:rtl w:val="0"/>
        </w:rPr>
        <w:t xml:space="preserve">”) have to adhere to this procedure when performing duties relating to transaction monitoring. </w:t>
      </w:r>
    </w:p>
    <w:p w:rsidRPr="00000000" w:rsidR="00000000" w:rsidDel="00000000" w:rsidP="00000000" w:rsidRDefault="00000000" w14:paraId="000000DD">
      <w:pPr>
        <w:numPr>
          <w:ilvl w:val="2"/>
          <w:numId w:val="25"/>
        </w:numPr>
        <w:spacing w:after="240" w:lineRule="auto"/>
        <w:ind w:left="720" w:hanging="720"/>
        <w:jc w:val="both"/>
        <w:rPr>
          <w:color w:val="000000"/>
        </w:rPr>
      </w:pPr>
      <w:bookmarkStart w:name="_heading=h.clxo1xtj967a" w:colFirst="0" w:colLast="0" w:id="9"/>
      <w:bookmarkEnd w:id="9"/>
      <w:r w:rsidRPr="00000000" w:rsidDel="00000000" w:rsidR="00000000">
        <w:rPr>
          <w:color w:val="000000"/>
          <w:rtl w:val="0"/>
        </w:rPr>
        <w:t xml:space="preserve">In addition, each Analyst is expected to exercise reasonable judgment and discretion when conducting the transaction monitoring risk assessment inline with these procedures. </w:t>
      </w:r>
    </w:p>
    <w:p w:rsidRPr="00000000" w:rsidR="00000000" w:rsidDel="00000000" w:rsidP="00000000" w:rsidRDefault="00000000" w14:paraId="000000DE">
      <w:pPr>
        <w:numPr>
          <w:ilvl w:val="2"/>
          <w:numId w:val="25"/>
        </w:numPr>
        <w:spacing w:after="0" w:lineRule="auto"/>
        <w:ind w:left="720" w:hanging="720"/>
        <w:jc w:val="both"/>
        <w:rPr>
          <w:color w:val="000000"/>
        </w:rPr>
      </w:pPr>
      <w:bookmarkStart w:name="_heading=h.5zw7ca46wt71" w:colFirst="0" w:colLast="0" w:id="10"/>
      <w:bookmarkEnd w:id="10"/>
      <w:r w:rsidRPr="00000000" w:rsidDel="00000000" w:rsidR="00000000">
        <w:rPr>
          <w:color w:val="000000"/>
          <w:rtl w:val="0"/>
        </w:rPr>
        <w:t xml:space="preserve">Each participating jurisdiction and country are required to comply with the published standards herein.  Where a local policy requirement, law or regulation prohibits, or requires application of a lower standard, that must be raised via the Global TM Steering Committee (“</w:t>
      </w:r>
      <w:r w:rsidRPr="00000000" w:rsidDel="00000000" w:rsidR="00000000">
        <w:rPr>
          <w:b w:val="1"/>
          <w:bCs w:val="1"/>
          <w:color w:val="000000"/>
          <w:rtl w:val="0"/>
        </w:rPr>
        <w:t xml:space="preserve">GTSC</w:t>
      </w:r>
      <w:r w:rsidRPr="00000000" w:rsidDel="00000000" w:rsidR="00000000">
        <w:rPr>
          <w:color w:val="000000"/>
          <w:rtl w:val="0"/>
        </w:rPr>
        <w:t xml:space="preserve">”), chaired by the Global Chief Compliance Officer, in accordance with the Request For Change (“</w:t>
      </w:r>
      <w:r w:rsidRPr="00000000" w:rsidDel="00000000" w:rsidR="00000000">
        <w:rPr>
          <w:b w:val="1"/>
          <w:bCs w:val="1"/>
          <w:color w:val="000000"/>
          <w:rtl w:val="0"/>
        </w:rPr>
        <w:t xml:space="preserve">RFC</w:t>
      </w:r>
      <w:r w:rsidRPr="00000000" w:rsidDel="00000000" w:rsidR="00000000">
        <w:rPr>
          <w:color w:val="000000"/>
          <w:rtl w:val="0"/>
        </w:rPr>
        <w:t xml:space="preserve">”) form and Terms of Reference (“</w:t>
      </w:r>
      <w:r w:rsidRPr="00000000" w:rsidDel="00000000" w:rsidR="00000000">
        <w:rPr>
          <w:b w:val="1"/>
          <w:bCs w:val="1"/>
          <w:color w:val="000000"/>
          <w:rtl w:val="0"/>
        </w:rPr>
        <w:t xml:space="preserve">ToR</w:t>
      </w:r>
      <w:r w:rsidRPr="00000000" w:rsidDel="00000000" w:rsidR="00000000">
        <w:rPr>
          <w:color w:val="000000"/>
          <w:rtl w:val="0"/>
        </w:rPr>
        <w:t xml:space="preserve">”).  Where a higher standard must be applied, it must be discussed, outlined and approved in line with the GTSC. The GTSC ToR sets out the requirements and global procedures of the GTSC. </w:t>
      </w:r>
    </w:p>
    <w:p w:rsidRPr="00000000" w:rsidR="00000000" w:rsidDel="00000000" w:rsidP="00000000" w:rsidRDefault="00000000" w14:paraId="000000DF">
      <w:pPr>
        <w:pStyle w:val="Heading1"/>
        <w:numPr>
          <w:ilvl w:val="0"/>
          <w:numId w:val="25"/>
        </w:numPr>
        <w:spacing w:before="400" w:after="200" w:line="276" w:lineRule="auto"/>
        <w:ind w:left="720"/>
        <w:jc w:val="both"/>
        <w:rPr/>
      </w:pPr>
      <w:bookmarkStart w:name="_heading=h.skibr843ugm" w:colFirst="0" w:colLast="0" w:id="11"/>
      <w:bookmarkEnd w:id="11"/>
      <w:r w:rsidRPr="00000000" w:rsidDel="00000000" w:rsidR="00000000">
        <w:rPr>
          <w:rFonts w:ascii="Arial" w:hAnsi="Arial" w:eastAsia="Arial" w:cs="Arial"/>
          <w:smallCaps w:val="1"/>
          <w:sz w:val="28"/>
          <w:szCs w:val="28"/>
          <w:rtl w:val="0"/>
        </w:rPr>
        <w:t xml:space="preserve">APPROVAL AND ANNUAL REVIEW </w:t>
      </w:r>
    </w:p>
    <w:p w:rsidRPr="00000000" w:rsidR="00000000" w:rsidDel="00000000" w:rsidP="00000000" w:rsidRDefault="00000000" w14:paraId="000000E0">
      <w:pPr>
        <w:numPr>
          <w:ilvl w:val="2"/>
          <w:numId w:val="25"/>
        </w:numPr>
        <w:spacing w:after="240" w:lineRule="auto"/>
        <w:ind w:left="720"/>
        <w:jc w:val="both"/>
        <w:rPr/>
      </w:pPr>
      <w:bookmarkStart w:name="_heading=h.r87rtddbti60" w:colFirst="0" w:colLast="0" w:id="12"/>
      <w:bookmarkEnd w:id="12"/>
      <w:r w:rsidRPr="00000000" w:rsidDel="00000000" w:rsidR="00000000">
        <w:rPr>
          <w:rtl w:val="0"/>
        </w:rPr>
        <w:t xml:space="preserve">This Procedure should be reviewed, at a minimum, on an annual basis to ensure that it remains current and up to date and in accordance with the relevant local regulatory obligations. Ad-hoc reviews may be triggered by Senior management and / or the Transaction monitoring leadership team where required. All reviews and any subsequent updates to the Procedure must be approved by the Head of Transaction Monitoring.</w:t>
      </w:r>
    </w:p>
    <w:p w:rsidRPr="00000000" w:rsidR="00000000" w:rsidDel="00000000" w:rsidP="00000000" w:rsidRDefault="00000000" w14:paraId="000000E1">
      <w:pPr>
        <w:pStyle w:val="Heading1"/>
        <w:keepNext w:val="1"/>
        <w:keepLines w:val="1"/>
        <w:pageBreakBefore w:val="0"/>
        <w:widowControl w:val="1"/>
        <w:numPr>
          <w:ilvl w:val="0"/>
          <w:numId w:val="25"/>
        </w:numPr>
        <w:pBdr>
          <w:top w:val="nil" w:sz="0" w:space="0"/>
          <w:left w:val="nil" w:sz="0" w:space="0"/>
          <w:bottom w:val="nil" w:sz="0" w:space="0"/>
          <w:right w:val="nil" w:sz="0" w:space="0"/>
          <w:between w:val="nil" w:sz="0" w:space="0"/>
        </w:pBdr>
        <w:shd w:val="clear" w:fill="auto"/>
        <w:spacing w:before="400" w:after="200" w:line="276" w:lineRule="auto"/>
        <w:ind w:left="720" w:right="0" w:hanging="720"/>
        <w:jc w:val="both"/>
        <w:rPr/>
      </w:pPr>
      <w:bookmarkStart w:name="_heading=h.k9zrekkv926m" w:colFirst="0" w:colLast="0" w:id="13"/>
      <w:bookmarkEnd w:id="13"/>
      <w:r w:rsidRPr="00000000" w:rsidDel="00000000" w:rsidR="00000000">
        <w:rPr>
          <w:rFonts w:ascii="Arial" w:hAnsi="Arial" w:eastAsia="Arial" w:cs="Arial"/>
          <w:smallCaps w:val="1"/>
          <w:sz w:val="28"/>
          <w:szCs w:val="28"/>
          <w:rtl w:val="0"/>
        </w:rPr>
        <w:t xml:space="preserve">DEFINITIONS</w:t>
      </w:r>
    </w:p>
    <w:p w:rsidRPr="00000000" w:rsidR="00000000" w:rsidDel="00000000" w:rsidP="00000000" w:rsidRDefault="00000000" w14:paraId="000000E2">
      <w:pPr>
        <w:spacing w:after="240" w:lineRule="auto"/>
        <w:jc w:val="both"/>
        <w:rPr/>
      </w:pPr>
      <w:bookmarkStart w:name="_heading=h.dxcyih3cdsv1" w:colFirst="0" w:colLast="0" w:id="14"/>
      <w:bookmarkEnd w:id="14"/>
      <w:r w:rsidRPr="00000000" w:rsidDel="00000000" w:rsidR="00000000">
        <w:rPr>
          <w:color w:val="000000"/>
          <w:rtl w:val="0"/>
        </w:rPr>
        <w:t xml:space="preserve">In this </w:t>
      </w:r>
      <w:r w:rsidRPr="00000000" w:rsidDel="00000000" w:rsidR="00000000">
        <w:rPr>
          <w:rtl w:val="0"/>
        </w:rPr>
        <w:t xml:space="preserve">Procedure</w:t>
      </w:r>
      <w:r w:rsidRPr="00000000" w:rsidDel="00000000" w:rsidR="00000000">
        <w:rPr>
          <w:color w:val="000000"/>
          <w:rtl w:val="0"/>
        </w:rPr>
        <w:t xml:space="preserve">, the following terms shall have meanings as follows:</w:t>
      </w:r>
      <w:r w:rsidRPr="00000000" w:rsidDel="00000000" w:rsidR="00000000">
        <w:rPr>
          <w:rtl w:val="0"/>
        </w:rPr>
      </w:r>
    </w:p>
    <w:sdt>
      <w:sdtPr>
        <w:lock w:val="contentLocked"/>
        <w:id w:val="730387177"/>
        <w:tag w:val="goog_rdk_2"/>
      </w:sdtPr>
      <w:sdtContent>
        <w:tbl>
          <w:tblPr>
            <w:tblStyle w:val="Table5"/>
            <w:tblW w:w="9420.0" w:type="dxa"/>
            <w:jc w:val="left"/>
            <w:tblInd w:w="4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1590"/>
            <w:gridCol w:w="7830"/>
            <w:tblGridChange w:id="0">
              <w:tblGrid>
                <w:gridCol w:w="1590"/>
                <w:gridCol w:w="7830"/>
              </w:tblGrid>
            </w:tblGridChange>
          </w:tblGrid>
          <w:tr>
            <w:trPr>
              <w:cantSplit w:val="0"/>
              <w:trHeight w:val="480.99999999999994" w:hRule="atLeast"/>
              <w:tblHeader w:val="0"/>
            </w:trPr>
            <w:tc>
              <w:tcPr>
                <w:shd w:val="clear" w:fill="f0b90b"/>
                <w:tcMar>
                  <w:top w:w="100.0" w:type="dxa"/>
                  <w:left w:w="100.0" w:type="dxa"/>
                  <w:bottom w:w="100.0" w:type="dxa"/>
                  <w:right w:w="100.0" w:type="dxa"/>
                </w:tcMar>
                <w:vAlign w:val="top"/>
              </w:tcPr>
              <w:p w:rsidRPr="00000000" w:rsidR="00000000" w:rsidDel="00000000" w:rsidP="00000000" w:rsidRDefault="00000000" w14:paraId="000000E3">
                <w:pPr>
                  <w:widowControl w:val="0"/>
                  <w:spacing w:after="0" w:line="240" w:lineRule="auto"/>
                  <w:ind w:hanging="30"/>
                  <w:jc w:val="both"/>
                  <w:rPr>
                    <w:b w:val="1"/>
                    <w:bCs w:val="1"/>
                  </w:rPr>
                </w:pPr>
                <w:r w:rsidRPr="00000000" w:rsidDel="00000000" w:rsidR="00000000">
                  <w:rPr>
                    <w:b w:val="1"/>
                    <w:bCs w:val="1"/>
                    <w:rtl w:val="0"/>
                  </w:rPr>
                  <w:t xml:space="preserve">Term</w:t>
                </w:r>
              </w:p>
            </w:tc>
            <w:tc>
              <w:tcPr>
                <w:shd w:val="clear" w:fill="f0b90b"/>
                <w:tcMar>
                  <w:top w:w="100.0" w:type="dxa"/>
                  <w:left w:w="100.0" w:type="dxa"/>
                  <w:bottom w:w="100.0" w:type="dxa"/>
                  <w:right w:w="100.0" w:type="dxa"/>
                </w:tcMar>
                <w:vAlign w:val="top"/>
              </w:tcPr>
              <w:p w:rsidRPr="00000000" w:rsidR="00000000" w:rsidDel="00000000" w:rsidP="00000000" w:rsidRDefault="00000000" w14:paraId="000000E4">
                <w:pPr>
                  <w:widowControl w:val="0"/>
                  <w:spacing w:after="0" w:line="240" w:lineRule="auto"/>
                  <w:jc w:val="both"/>
                  <w:rPr>
                    <w:b w:val="1"/>
                    <w:bCs w:val="1"/>
                  </w:rPr>
                </w:pPr>
                <w:r w:rsidRPr="00000000" w:rsidDel="00000000" w:rsidR="00000000">
                  <w:rPr>
                    <w:b w:val="1"/>
                    <w:bCs w:val="1"/>
                    <w:rtl w:val="0"/>
                  </w:rPr>
                  <w:t xml:space="preserve">Description</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E5">
                <w:pPr>
                  <w:widowControl w:val="0"/>
                  <w:spacing w:after="0" w:line="240" w:lineRule="auto"/>
                  <w:rPr>
                    <w:sz w:val="20"/>
                    <w:szCs w:val="20"/>
                  </w:rPr>
                </w:pPr>
                <w:r w:rsidRPr="00000000" w:rsidDel="00000000" w:rsidR="00000000">
                  <w:rPr>
                    <w:sz w:val="20"/>
                    <w:szCs w:val="20"/>
                    <w:rtl w:val="0"/>
                  </w:rPr>
                  <w:t xml:space="preserve">ACS</w:t>
                </w:r>
                <w:r w:rsidRPr="00000000" w:rsidDel="00000000" w:rsidR="00000000">
                  <w:rPr>
                    <w:rtl w:val="0"/>
                  </w:rPr>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E6">
                <w:pPr>
                  <w:pStyle w:val="Title"/>
                  <w:keepNext w:val="1"/>
                  <w:keepLines w:val="1"/>
                  <w:spacing w:before="0" w:after="60" w:line="240" w:lineRule="auto"/>
                  <w:rPr>
                    <w:sz w:val="20"/>
                    <w:szCs w:val="20"/>
                  </w:rPr>
                </w:pPr>
                <w:bookmarkStart w:name="_heading=h.r8e14zcp80u7" w:colFirst="0" w:colLast="0" w:id="15"/>
                <w:bookmarkEnd w:id="15"/>
                <w:r w:rsidRPr="00000000" w:rsidDel="00000000" w:rsidR="00000000">
                  <w:rPr>
                    <w:sz w:val="20"/>
                    <w:szCs w:val="20"/>
                    <w:rtl w:val="0"/>
                  </w:rPr>
                  <w:t xml:space="preserve">Analyst Case Summary, which is a standardized document consolidating Off-chain TM case review narrative, transactional analysis, findings and summary, completed by Off-chain TM Analyst and attached to the concluded case.</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E7">
                <w:pPr>
                  <w:widowControl w:val="0"/>
                  <w:spacing w:after="0" w:line="240" w:lineRule="auto"/>
                  <w:rPr>
                    <w:sz w:val="20"/>
                    <w:szCs w:val="20"/>
                  </w:rPr>
                </w:pPr>
                <w:r w:rsidRPr="00000000" w:rsidDel="00000000" w:rsidR="00000000">
                  <w:rPr>
                    <w:sz w:val="20"/>
                    <w:szCs w:val="20"/>
                    <w:rtl w:val="0"/>
                  </w:rPr>
                  <w:t xml:space="preserve">Alert or Case</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E8">
                <w:pPr>
                  <w:pStyle w:val="Title"/>
                  <w:keepNext w:val="1"/>
                  <w:keepLines w:val="1"/>
                  <w:spacing w:before="0" w:after="60" w:line="240" w:lineRule="auto"/>
                  <w:rPr>
                    <w:sz w:val="20"/>
                    <w:szCs w:val="20"/>
                  </w:rPr>
                </w:pPr>
                <w:bookmarkStart w:name="_heading=h.ixm0x7e7jk2l" w:colFirst="0" w:colLast="0" w:id="16"/>
                <w:bookmarkEnd w:id="16"/>
                <w:r w:rsidRPr="00000000" w:rsidDel="00000000" w:rsidR="00000000">
                  <w:rPr>
                    <w:sz w:val="20"/>
                    <w:szCs w:val="20"/>
                    <w:rtl w:val="0"/>
                  </w:rPr>
                  <w:t xml:space="preserve">Systematically generated indication of potential unusual transactional activity that meets pre-defined rule logic parameters associated with a specific subject, requiring subsequent human analysis or investigation, i.e. the result of taking one or more scenarios (violations) and presenting them to Analysts or Investigators to be analysed or investigated. Consolidation of related evidence, alert(s) and information for analysis or investigation. Multiple alerts associated with a specific subject are combined and generated in the system with an indication to potential unusual activity and requiring subsequent human analysis or investigation.</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E9">
                <w:pPr>
                  <w:widowControl w:val="0"/>
                  <w:spacing w:after="0" w:line="240" w:lineRule="auto"/>
                  <w:rPr>
                    <w:sz w:val="20"/>
                    <w:szCs w:val="20"/>
                  </w:rPr>
                </w:pPr>
                <w:r w:rsidRPr="00000000" w:rsidDel="00000000" w:rsidR="00000000">
                  <w:rPr>
                    <w:sz w:val="20"/>
                    <w:szCs w:val="20"/>
                    <w:rtl w:val="0"/>
                  </w:rPr>
                  <w:t xml:space="preserve">AML/CFT</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EA">
                <w:pPr>
                  <w:pStyle w:val="Title"/>
                  <w:keepNext w:val="1"/>
                  <w:keepLines w:val="1"/>
                  <w:spacing w:before="0" w:after="60" w:line="240" w:lineRule="auto"/>
                  <w:rPr>
                    <w:sz w:val="20"/>
                    <w:szCs w:val="20"/>
                  </w:rPr>
                </w:pPr>
                <w:bookmarkStart w:name="_heading=h.fdq2asskkox1" w:colFirst="0" w:colLast="0" w:id="17"/>
                <w:bookmarkEnd w:id="17"/>
                <w:r w:rsidRPr="00000000" w:rsidDel="00000000" w:rsidR="00000000">
                  <w:rPr>
                    <w:sz w:val="20"/>
                    <w:szCs w:val="20"/>
                    <w:rtl w:val="0"/>
                  </w:rPr>
                  <w:t xml:space="preserve">Anti Money Laundering / Countering the Financing of Terrorism</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EB">
                <w:pPr>
                  <w:widowControl w:val="0"/>
                  <w:spacing w:after="0" w:line="240" w:lineRule="auto"/>
                  <w:rPr>
                    <w:sz w:val="20"/>
                    <w:szCs w:val="20"/>
                  </w:rPr>
                </w:pPr>
                <w:r w:rsidRPr="00000000" w:rsidDel="00000000" w:rsidR="00000000">
                  <w:rPr>
                    <w:sz w:val="20"/>
                    <w:szCs w:val="20"/>
                    <w:rtl w:val="0"/>
                  </w:rPr>
                  <w:t xml:space="preserve">Analyst Case Summary</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EC">
                <w:pPr>
                  <w:pStyle w:val="Title"/>
                  <w:keepNext w:val="1"/>
                  <w:keepLines w:val="1"/>
                  <w:spacing w:before="0" w:after="60" w:line="240" w:lineRule="auto"/>
                  <w:rPr>
                    <w:sz w:val="20"/>
                    <w:szCs w:val="20"/>
                  </w:rPr>
                </w:pPr>
                <w:bookmarkStart w:name="_heading=h.fdq2asskkox1" w:colFirst="0" w:colLast="0" w:id="17"/>
                <w:bookmarkEnd w:id="17"/>
                <w:r w:rsidRPr="00000000" w:rsidDel="00000000" w:rsidR="00000000">
                  <w:rPr>
                    <w:sz w:val="20"/>
                    <w:szCs w:val="20"/>
                    <w:rtl w:val="0"/>
                  </w:rPr>
                  <w:t xml:space="preserve">Standardized document consolidating Off-chain TM case review narrative, transactional analysis, findings and summary, completed by Off-chain TM Analyst and attached to the concluded case.</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ED">
                <w:pPr>
                  <w:widowControl w:val="0"/>
                  <w:spacing w:after="0" w:line="240" w:lineRule="auto"/>
                  <w:rPr>
                    <w:sz w:val="20"/>
                    <w:szCs w:val="20"/>
                  </w:rPr>
                </w:pPr>
                <w:r w:rsidRPr="00000000" w:rsidDel="00000000" w:rsidR="00000000">
                  <w:rPr>
                    <w:sz w:val="20"/>
                    <w:szCs w:val="20"/>
                    <w:rtl w:val="0"/>
                  </w:rPr>
                  <w:t xml:space="preserve">Analyst Review</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EE">
                <w:pPr>
                  <w:pStyle w:val="Title"/>
                  <w:keepNext w:val="1"/>
                  <w:keepLines w:val="1"/>
                  <w:spacing w:before="0" w:after="60" w:line="240" w:lineRule="auto"/>
                  <w:rPr>
                    <w:sz w:val="20"/>
                    <w:szCs w:val="20"/>
                  </w:rPr>
                </w:pPr>
                <w:bookmarkStart w:name="_heading=h.fdq2asskkox1" w:colFirst="0" w:colLast="0" w:id="17"/>
                <w:bookmarkEnd w:id="17"/>
                <w:r w:rsidRPr="00000000" w:rsidDel="00000000" w:rsidR="00000000">
                  <w:rPr>
                    <w:sz w:val="20"/>
                    <w:szCs w:val="20"/>
                    <w:rtl w:val="0"/>
                  </w:rPr>
                  <w:t xml:space="preserve">Standardized summary consolidating On-chain TM alerts review narrative, analysis, finding and summary, completed by On-chain TM Analysts.</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EF">
                <w:pPr>
                  <w:widowControl w:val="0"/>
                  <w:spacing w:after="0" w:line="240" w:lineRule="auto"/>
                  <w:rPr>
                    <w:sz w:val="20"/>
                    <w:szCs w:val="20"/>
                  </w:rPr>
                </w:pPr>
                <w:r w:rsidRPr="00000000" w:rsidDel="00000000" w:rsidR="00000000">
                  <w:rPr>
                    <w:sz w:val="20"/>
                    <w:szCs w:val="20"/>
                    <w:rtl w:val="0"/>
                  </w:rPr>
                  <w:t xml:space="preserve">Blockchain</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F0">
                <w:pPr>
                  <w:pStyle w:val="Title"/>
                  <w:keepNext w:val="1"/>
                  <w:keepLines w:val="1"/>
                  <w:spacing w:before="0" w:after="60" w:line="240" w:lineRule="auto"/>
                  <w:rPr>
                    <w:sz w:val="20"/>
                    <w:szCs w:val="20"/>
                  </w:rPr>
                </w:pPr>
                <w:bookmarkStart w:name="_heading=h.fdq2asskkox1" w:colFirst="0" w:colLast="0" w:id="17"/>
                <w:bookmarkEnd w:id="17"/>
                <w:r w:rsidRPr="00000000" w:rsidDel="00000000" w:rsidR="00000000">
                  <w:rPr>
                    <w:sz w:val="20"/>
                    <w:szCs w:val="20"/>
                    <w:rtl w:val="0"/>
                  </w:rPr>
                  <w:t xml:space="preserve">Decentralized, distributed ledger technology that records transactions across many computers in such a way that the registered transactions cannot be altered retroactively. Decentralization, a distributed ledger, and immutability are key components of a blockchain.</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F1">
                <w:pPr>
                  <w:widowControl w:val="0"/>
                  <w:spacing w:after="0" w:line="240" w:lineRule="auto"/>
                  <w:rPr>
                    <w:sz w:val="20"/>
                    <w:szCs w:val="20"/>
                  </w:rPr>
                </w:pPr>
                <w:r w:rsidRPr="00000000" w:rsidDel="00000000" w:rsidR="00000000">
                  <w:rPr>
                    <w:sz w:val="20"/>
                    <w:szCs w:val="20"/>
                    <w:rtl w:val="0"/>
                  </w:rPr>
                  <w:t xml:space="preserve">CDD</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F2">
                <w:pPr>
                  <w:pStyle w:val="Title"/>
                  <w:keepNext w:val="1"/>
                  <w:keepLines w:val="1"/>
                  <w:spacing w:before="0" w:after="60" w:line="240" w:lineRule="auto"/>
                  <w:rPr>
                    <w:sz w:val="20"/>
                    <w:szCs w:val="20"/>
                  </w:rPr>
                </w:pPr>
                <w:bookmarkStart w:name="_heading=h.fdq2asskkox1" w:colFirst="0" w:colLast="0" w:id="17"/>
                <w:bookmarkEnd w:id="17"/>
                <w:r w:rsidRPr="00000000" w:rsidDel="00000000" w:rsidR="00000000">
                  <w:rPr>
                    <w:sz w:val="20"/>
                    <w:szCs w:val="20"/>
                    <w:rtl w:val="0"/>
                  </w:rPr>
                  <w:t xml:space="preserve">Customer Due Diligence</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F3">
                <w:pPr>
                  <w:widowControl w:val="0"/>
                  <w:spacing w:after="0" w:line="240" w:lineRule="auto"/>
                  <w:rPr>
                    <w:sz w:val="20"/>
                    <w:szCs w:val="20"/>
                  </w:rPr>
                </w:pPr>
                <w:r w:rsidRPr="00000000" w:rsidDel="00000000" w:rsidR="00000000">
                  <w:rPr>
                    <w:sz w:val="20"/>
                    <w:szCs w:val="20"/>
                    <w:rtl w:val="0"/>
                  </w:rPr>
                  <w:t xml:space="preserve">Counterparty</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F4">
                <w:pPr>
                  <w:pStyle w:val="Title"/>
                  <w:keepNext w:val="1"/>
                  <w:keepLines w:val="1"/>
                  <w:spacing w:before="0" w:after="60" w:line="240" w:lineRule="auto"/>
                  <w:rPr>
                    <w:sz w:val="20"/>
                    <w:szCs w:val="20"/>
                  </w:rPr>
                </w:pPr>
                <w:bookmarkStart w:name="_heading=h.fdq2asskkox1" w:colFirst="0" w:colLast="0" w:id="17"/>
                <w:bookmarkEnd w:id="17"/>
                <w:r w:rsidRPr="00000000" w:rsidDel="00000000" w:rsidR="00000000">
                  <w:rPr>
                    <w:sz w:val="20"/>
                    <w:szCs w:val="20"/>
                    <w:rtl w:val="0"/>
                  </w:rPr>
                  <w:t xml:space="preserve">An account of an entity or individual, with whom a subject engages in a financial transaction, i.e. a beneficiary or originator of a transaction with the subject.</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F5">
                <w:pPr>
                  <w:widowControl w:val="0"/>
                  <w:spacing w:after="0" w:line="240" w:lineRule="auto"/>
                  <w:rPr>
                    <w:sz w:val="20"/>
                    <w:szCs w:val="20"/>
                  </w:rPr>
                </w:pPr>
                <w:r w:rsidRPr="00000000" w:rsidDel="00000000" w:rsidR="00000000">
                  <w:rPr>
                    <w:sz w:val="20"/>
                    <w:szCs w:val="20"/>
                    <w:rtl w:val="0"/>
                  </w:rPr>
                  <w:t xml:space="preserve">CTM</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F6">
                <w:pPr>
                  <w:pStyle w:val="Title"/>
                  <w:keepNext w:val="1"/>
                  <w:keepLines w:val="1"/>
                  <w:spacing w:before="0" w:after="60" w:line="240" w:lineRule="auto"/>
                  <w:rPr>
                    <w:sz w:val="20"/>
                    <w:szCs w:val="20"/>
                  </w:rPr>
                </w:pPr>
                <w:bookmarkStart w:name="_heading=h.fdq2asskkox1" w:colFirst="0" w:colLast="0" w:id="17"/>
                <w:bookmarkEnd w:id="17"/>
                <w:r w:rsidRPr="00000000" w:rsidDel="00000000" w:rsidR="00000000">
                  <w:rPr>
                    <w:sz w:val="20"/>
                    <w:szCs w:val="20"/>
                    <w:rtl w:val="0"/>
                  </w:rPr>
                  <w:t xml:space="preserve">Crypto Transaction Monitoring, also known as On-chain Transaction Monitoring</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F7">
                <w:pPr>
                  <w:widowControl w:val="0"/>
                  <w:spacing w:after="0" w:line="240" w:lineRule="auto"/>
                  <w:rPr>
                    <w:sz w:val="20"/>
                    <w:szCs w:val="20"/>
                  </w:rPr>
                </w:pPr>
                <w:r w:rsidRPr="00000000" w:rsidDel="00000000" w:rsidR="00000000">
                  <w:rPr>
                    <w:sz w:val="20"/>
                    <w:szCs w:val="20"/>
                    <w:rtl w:val="0"/>
                  </w:rPr>
                  <w:t xml:space="preserve">CTM Taskpool </w:t>
                </w:r>
              </w:p>
              <w:p w:rsidRPr="00000000" w:rsidR="00000000" w:rsidDel="00000000" w:rsidP="00000000" w:rsidRDefault="00000000" w14:paraId="000000F8">
                <w:pPr>
                  <w:widowControl w:val="0"/>
                  <w:spacing w:after="0" w:line="240" w:lineRule="auto"/>
                  <w:rPr>
                    <w:sz w:val="20"/>
                    <w:szCs w:val="20"/>
                  </w:rPr>
                </w:pPr>
                <w:r w:rsidRPr="00000000" w:rsidDel="00000000" w:rsidR="00000000">
                  <w:rPr>
                    <w:sz w:val="20"/>
                    <w:szCs w:val="20"/>
                    <w:rtl w:val="0"/>
                  </w:rPr>
                  <w:t xml:space="preserve">or Binfinite</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F9">
                <w:pPr>
                  <w:pStyle w:val="Title"/>
                  <w:keepNext w:val="1"/>
                  <w:keepLines w:val="1"/>
                  <w:spacing w:before="0" w:after="60" w:line="240" w:lineRule="auto"/>
                  <w:rPr>
                    <w:sz w:val="20"/>
                    <w:szCs w:val="20"/>
                  </w:rPr>
                </w:pPr>
                <w:bookmarkStart w:name="_heading=h.fdq2asskkox1" w:colFirst="0" w:colLast="0" w:id="17"/>
                <w:bookmarkEnd w:id="17"/>
                <w:r w:rsidRPr="00000000" w:rsidDel="00000000" w:rsidR="00000000">
                  <w:rPr>
                    <w:sz w:val="20"/>
                    <w:szCs w:val="20"/>
                    <w:rtl w:val="0"/>
                  </w:rPr>
                  <w:t xml:space="preserve">An in-house built case management system for extraction of triggered on-chain transaction monitoring alerts from the transaction screening tool(s) (e.g. Elliptic, Blocktracer) and further processing. Based within Binance Admin.</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FA">
                <w:pPr>
                  <w:widowControl w:val="0"/>
                  <w:spacing w:after="0" w:line="240" w:lineRule="auto"/>
                  <w:rPr>
                    <w:sz w:val="20"/>
                    <w:szCs w:val="20"/>
                  </w:rPr>
                </w:pPr>
                <w:r w:rsidRPr="00000000" w:rsidDel="00000000" w:rsidR="00000000">
                  <w:rPr>
                    <w:sz w:val="20"/>
                    <w:szCs w:val="20"/>
                    <w:rtl w:val="0"/>
                  </w:rPr>
                  <w:t xml:space="preserve">Disposition</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FB">
                <w:pPr>
                  <w:pStyle w:val="Title"/>
                  <w:keepNext w:val="1"/>
                  <w:keepLines w:val="1"/>
                  <w:spacing w:before="0" w:after="60" w:line="240" w:lineRule="auto"/>
                  <w:rPr>
                    <w:sz w:val="20"/>
                    <w:szCs w:val="20"/>
                  </w:rPr>
                </w:pPr>
                <w:bookmarkStart w:name="_heading=h.fdq2asskkox1" w:colFirst="0" w:colLast="0" w:id="17"/>
                <w:bookmarkEnd w:id="17"/>
                <w:r w:rsidRPr="00000000" w:rsidDel="00000000" w:rsidR="00000000">
                  <w:rPr>
                    <w:sz w:val="20"/>
                    <w:szCs w:val="20"/>
                    <w:rtl w:val="0"/>
                  </w:rPr>
                  <w:t xml:space="preserve">The alert or case level action to designate the alert or case as either “Closed or Escalate”.</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FC">
                <w:pPr>
                  <w:widowControl w:val="0"/>
                  <w:spacing w:after="0" w:line="240" w:lineRule="auto"/>
                  <w:rPr>
                    <w:sz w:val="20"/>
                    <w:szCs w:val="20"/>
                  </w:rPr>
                </w:pPr>
                <w:r w:rsidRPr="00000000" w:rsidDel="00000000" w:rsidR="00000000">
                  <w:rPr>
                    <w:sz w:val="20"/>
                    <w:szCs w:val="20"/>
                    <w:rtl w:val="0"/>
                  </w:rPr>
                  <w:t xml:space="preserve">Event</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FD">
                <w:pPr>
                  <w:pStyle w:val="Title"/>
                  <w:keepNext w:val="1"/>
                  <w:keepLines w:val="1"/>
                  <w:spacing w:before="0" w:after="60" w:line="240" w:lineRule="auto"/>
                  <w:rPr>
                    <w:sz w:val="20"/>
                    <w:szCs w:val="20"/>
                  </w:rPr>
                </w:pPr>
                <w:bookmarkStart w:name="_heading=h.fdq2asskkox1" w:colFirst="0" w:colLast="0" w:id="17"/>
                <w:bookmarkEnd w:id="17"/>
                <w:r w:rsidRPr="00000000" w:rsidDel="00000000" w:rsidR="00000000">
                  <w:rPr>
                    <w:sz w:val="20"/>
                    <w:szCs w:val="20"/>
                    <w:rtl w:val="0"/>
                  </w:rPr>
                  <w:t xml:space="preserve">Systematically generated indication of potential unusual activity associated with a subject.  Events arise if the transaction meets parameters of arise if the transaction meets parameters of a designed transaction monitoring rule scenario.</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FE">
                <w:pPr>
                  <w:widowControl w:val="0"/>
                  <w:spacing w:after="0" w:line="240" w:lineRule="auto"/>
                  <w:rPr>
                    <w:sz w:val="20"/>
                    <w:szCs w:val="20"/>
                  </w:rPr>
                </w:pPr>
                <w:r w:rsidRPr="00000000" w:rsidDel="00000000" w:rsidR="00000000">
                  <w:rPr>
                    <w:sz w:val="20"/>
                    <w:szCs w:val="20"/>
                    <w:rtl w:val="0"/>
                  </w:rPr>
                  <w:t xml:space="preserve">Fiat</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FF">
                <w:pPr>
                  <w:pStyle w:val="Title"/>
                  <w:keepNext w:val="1"/>
                  <w:keepLines w:val="1"/>
                  <w:spacing w:before="0" w:after="60" w:line="240" w:lineRule="auto"/>
                  <w:rPr>
                    <w:sz w:val="20"/>
                    <w:szCs w:val="20"/>
                  </w:rPr>
                </w:pPr>
                <w:bookmarkStart w:name="_heading=h.fdq2asskkox1" w:colFirst="0" w:colLast="0" w:id="17"/>
                <w:bookmarkEnd w:id="17"/>
                <w:r w:rsidRPr="00000000" w:rsidDel="00000000" w:rsidR="00000000">
                  <w:rPr>
                    <w:sz w:val="20"/>
                    <w:szCs w:val="20"/>
                    <w:rtl w:val="0"/>
                  </w:rPr>
                  <w:t xml:space="preserve">Type of government issued currency that is established as a legal tender by government or central banking regulation.</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00">
                <w:pPr>
                  <w:widowControl w:val="0"/>
                  <w:spacing w:after="0" w:line="240" w:lineRule="auto"/>
                  <w:rPr>
                    <w:sz w:val="20"/>
                    <w:szCs w:val="20"/>
                  </w:rPr>
                </w:pPr>
                <w:r w:rsidRPr="00000000" w:rsidDel="00000000" w:rsidR="00000000">
                  <w:rPr>
                    <w:sz w:val="20"/>
                    <w:szCs w:val="20"/>
                    <w:rtl w:val="0"/>
                  </w:rPr>
                  <w:t xml:space="preserve">FTM CMT</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01">
                <w:pPr>
                  <w:pStyle w:val="Title"/>
                  <w:keepNext w:val="1"/>
                  <w:keepLines w:val="1"/>
                  <w:spacing w:before="0" w:after="60" w:line="240" w:lineRule="auto"/>
                  <w:rPr>
                    <w:sz w:val="20"/>
                    <w:szCs w:val="20"/>
                  </w:rPr>
                </w:pPr>
                <w:bookmarkStart w:name="_heading=h.fdq2asskkox1" w:colFirst="0" w:colLast="0" w:id="17"/>
                <w:bookmarkEnd w:id="17"/>
                <w:r w:rsidRPr="00000000" w:rsidDel="00000000" w:rsidR="00000000">
                  <w:rPr>
                    <w:sz w:val="20"/>
                    <w:szCs w:val="20"/>
                    <w:rtl w:val="0"/>
                  </w:rPr>
                  <w:t xml:space="preserve">In-house built case management system for extraction of triggered off-chain transaction monitoring alerts from IHRE and further processing, which is based in Haodesk.</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02">
                <w:pPr>
                  <w:widowControl w:val="0"/>
                  <w:spacing w:after="0" w:line="240" w:lineRule="auto"/>
                  <w:rPr>
                    <w:sz w:val="20"/>
                    <w:szCs w:val="20"/>
                  </w:rPr>
                </w:pPr>
                <w:r w:rsidRPr="00000000" w:rsidDel="00000000" w:rsidR="00000000">
                  <w:rPr>
                    <w:sz w:val="20"/>
                    <w:szCs w:val="20"/>
                    <w:rtl w:val="0"/>
                  </w:rPr>
                  <w:t xml:space="preserve">FTM</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03">
                <w:pPr>
                  <w:pStyle w:val="Title"/>
                  <w:keepNext w:val="1"/>
                  <w:keepLines w:val="1"/>
                  <w:spacing w:before="0" w:after="60" w:line="240" w:lineRule="auto"/>
                  <w:rPr>
                    <w:sz w:val="20"/>
                    <w:szCs w:val="20"/>
                  </w:rPr>
                </w:pPr>
                <w:bookmarkStart w:name="_heading=h.fdq2asskkox1" w:colFirst="0" w:colLast="0" w:id="17"/>
                <w:bookmarkEnd w:id="17"/>
                <w:r w:rsidRPr="00000000" w:rsidDel="00000000" w:rsidR="00000000">
                  <w:rPr>
                    <w:sz w:val="20"/>
                    <w:szCs w:val="20"/>
                    <w:rtl w:val="0"/>
                  </w:rPr>
                  <w:t xml:space="preserve">Fiat Transaction Monitoring, also known as Off-chain Transaction Monitoring</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04">
                <w:pPr>
                  <w:widowControl w:val="0"/>
                  <w:spacing w:after="0" w:line="240" w:lineRule="auto"/>
                  <w:rPr>
                    <w:sz w:val="20"/>
                    <w:szCs w:val="20"/>
                  </w:rPr>
                </w:pPr>
                <w:r w:rsidRPr="00000000" w:rsidDel="00000000" w:rsidR="00000000">
                  <w:rPr>
                    <w:sz w:val="20"/>
                    <w:szCs w:val="20"/>
                    <w:rtl w:val="0"/>
                  </w:rPr>
                  <w:t xml:space="preserve">High Risk Customers</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05">
                <w:pPr>
                  <w:pStyle w:val="Title"/>
                  <w:keepNext w:val="1"/>
                  <w:keepLines w:val="1"/>
                  <w:spacing w:before="0" w:after="60" w:line="240" w:lineRule="auto"/>
                  <w:rPr>
                    <w:sz w:val="20"/>
                    <w:szCs w:val="20"/>
                  </w:rPr>
                </w:pPr>
                <w:bookmarkStart w:name="_heading=h.fdq2asskkox1" w:colFirst="0" w:colLast="0" w:id="17"/>
                <w:bookmarkEnd w:id="17"/>
                <w:r w:rsidRPr="00000000" w:rsidDel="00000000" w:rsidR="00000000">
                  <w:rPr>
                    <w:sz w:val="20"/>
                    <w:szCs w:val="20"/>
                    <w:rtl w:val="0"/>
                  </w:rPr>
                  <w:t xml:space="preserve">Types of customers may pose an inherently high risk of exposure to financial crime owing to the type or nature of their role or business due to their social status (i.e. PEPs), occupation, geographical location or other individual factors.</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06">
                <w:pPr>
                  <w:widowControl w:val="0"/>
                  <w:spacing w:after="0" w:line="240" w:lineRule="auto"/>
                  <w:rPr>
                    <w:sz w:val="20"/>
                    <w:szCs w:val="20"/>
                  </w:rPr>
                </w:pPr>
                <w:r w:rsidRPr="00000000" w:rsidDel="00000000" w:rsidR="00000000">
                  <w:rPr>
                    <w:sz w:val="20"/>
                    <w:szCs w:val="20"/>
                    <w:rtl w:val="0"/>
                  </w:rPr>
                  <w:t xml:space="preserve">High Risk Indicator</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07">
                <w:pPr>
                  <w:pStyle w:val="Title"/>
                  <w:keepNext w:val="1"/>
                  <w:keepLines w:val="1"/>
                  <w:spacing w:before="0" w:after="60" w:line="240" w:lineRule="auto"/>
                  <w:rPr>
                    <w:sz w:val="20"/>
                    <w:szCs w:val="20"/>
                  </w:rPr>
                </w:pPr>
                <w:bookmarkStart w:name="_heading=h.fdq2asskkox1" w:colFirst="0" w:colLast="0" w:id="17"/>
                <w:bookmarkEnd w:id="17"/>
                <w:r w:rsidRPr="00000000" w:rsidDel="00000000" w:rsidR="00000000">
                  <w:rPr>
                    <w:sz w:val="20"/>
                    <w:szCs w:val="20"/>
                    <w:rtl w:val="0"/>
                  </w:rPr>
                  <w:t xml:space="preserve">Conditions, trends and/or patterns of behaviour that are suggestive of money laundering activity or financial crime risk. Also referred to as “Cautionary Flags” or “Red Flags.”</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08">
                <w:pPr>
                  <w:widowControl w:val="0"/>
                  <w:spacing w:after="0" w:line="240" w:lineRule="auto"/>
                  <w:rPr>
                    <w:sz w:val="20"/>
                    <w:szCs w:val="20"/>
                  </w:rPr>
                </w:pPr>
                <w:r w:rsidRPr="00000000" w:rsidDel="00000000" w:rsidR="00000000">
                  <w:rPr>
                    <w:sz w:val="20"/>
                    <w:szCs w:val="20"/>
                    <w:rtl w:val="0"/>
                  </w:rPr>
                  <w:t xml:space="preserve">ICR</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09">
                <w:pPr>
                  <w:pStyle w:val="Title"/>
                  <w:keepNext w:val="1"/>
                  <w:keepLines w:val="1"/>
                  <w:spacing w:before="0" w:after="60" w:line="240" w:lineRule="auto"/>
                  <w:rPr>
                    <w:sz w:val="20"/>
                    <w:szCs w:val="20"/>
                  </w:rPr>
                </w:pPr>
                <w:bookmarkStart w:name="_heading=h.fdq2asskkox1" w:colFirst="0" w:colLast="0" w:id="17"/>
                <w:bookmarkEnd w:id="17"/>
                <w:r w:rsidRPr="00000000" w:rsidDel="00000000" w:rsidR="00000000">
                  <w:rPr>
                    <w:sz w:val="20"/>
                    <w:szCs w:val="20"/>
                    <w:rtl w:val="0"/>
                  </w:rPr>
                  <w:t xml:space="preserve">Investigation Case Referral, which are internal escalations to Financial Crime Investigations Team (FCI) filed by different Binance Divisions that observed unusual activity which might be related to ML/TF, fraud, etc.</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0A">
                <w:pPr>
                  <w:widowControl w:val="0"/>
                  <w:spacing w:after="0" w:line="240" w:lineRule="auto"/>
                  <w:rPr>
                    <w:sz w:val="20"/>
                    <w:szCs w:val="20"/>
                  </w:rPr>
                </w:pPr>
                <w:r w:rsidRPr="00000000" w:rsidDel="00000000" w:rsidR="00000000">
                  <w:rPr>
                    <w:sz w:val="20"/>
                    <w:szCs w:val="20"/>
                    <w:rtl w:val="0"/>
                  </w:rPr>
                  <w:t xml:space="preserve">Individual Assignment</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0B">
                <w:pPr>
                  <w:pStyle w:val="Title"/>
                  <w:keepNext w:val="1"/>
                  <w:keepLines w:val="1"/>
                  <w:spacing w:before="0" w:after="60" w:line="240" w:lineRule="auto"/>
                  <w:rPr>
                    <w:sz w:val="20"/>
                    <w:szCs w:val="20"/>
                  </w:rPr>
                </w:pPr>
                <w:bookmarkStart w:name="_heading=h.fdq2asskkox1" w:colFirst="0" w:colLast="0" w:id="17"/>
                <w:bookmarkEnd w:id="17"/>
                <w:r w:rsidRPr="00000000" w:rsidDel="00000000" w:rsidR="00000000">
                  <w:rPr>
                    <w:sz w:val="20"/>
                    <w:szCs w:val="20"/>
                    <w:rtl w:val="0"/>
                  </w:rPr>
                  <w:t xml:space="preserve">Either managerial or systematic change in work item (i.e. alert or case) ownership; can be initiated by a manager or done automatically by an associated system.</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0C">
                <w:pPr>
                  <w:widowControl w:val="0"/>
                  <w:spacing w:after="0" w:line="240" w:lineRule="auto"/>
                  <w:rPr>
                    <w:sz w:val="20"/>
                    <w:szCs w:val="20"/>
                  </w:rPr>
                </w:pPr>
                <w:r w:rsidRPr="00000000" w:rsidDel="00000000" w:rsidR="00000000">
                  <w:rPr>
                    <w:sz w:val="20"/>
                    <w:szCs w:val="20"/>
                    <w:rtl w:val="0"/>
                  </w:rPr>
                  <w:t xml:space="preserve">Live Alert (Severe)</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0D">
                <w:pPr>
                  <w:pStyle w:val="Title"/>
                  <w:keepNext w:val="1"/>
                  <w:keepLines w:val="1"/>
                  <w:spacing w:before="0" w:after="60" w:line="240" w:lineRule="auto"/>
                  <w:rPr>
                    <w:sz w:val="20"/>
                    <w:szCs w:val="20"/>
                  </w:rPr>
                </w:pPr>
                <w:bookmarkStart w:name="_heading=h.l32kxcmwt8pr" w:colFirst="0" w:colLast="0" w:id="18"/>
                <w:bookmarkEnd w:id="18"/>
                <w:r w:rsidRPr="00000000" w:rsidDel="00000000" w:rsidR="00000000">
                  <w:rPr>
                    <w:sz w:val="20"/>
                    <w:szCs w:val="20"/>
                    <w:rtl w:val="0"/>
                  </w:rPr>
                  <w:t xml:space="preserve">Direct exposure to CSAM, Sanctions, Terrorist Financing (TF), or Cybercrime etc. These typically trigger account restrictions and must be actioned within a 24-hour SLA. List of Live/Post alerts can be found in the </w:t>
                </w:r>
                <w:hyperlink r:id="rId10">
                  <w:r w:rsidRPr="00000000" w:rsidDel="00000000" w:rsidR="00000000">
                    <w:rPr>
                      <w:color w:val="0000ee"/>
                      <w:sz w:val="20"/>
                      <w:szCs w:val="20"/>
                      <w:highlight w:val="white"/>
                      <w:u w:val="single"/>
                      <w:rtl w:val="0"/>
                    </w:rPr>
                    <w:t xml:space="preserve">Onchain rules - Risk rule</w:t>
                  </w:r>
                </w:hyperlink>
                <w:r w:rsidRPr="00000000" w:rsidDel="00000000" w:rsidR="00000000">
                  <w:rPr>
                    <w:sz w:val="20"/>
                    <w:szCs w:val="20"/>
                    <w:rtl w:val="0"/>
                  </w:rPr>
                  <w:t xml:space="preserve"> -&gt; Main 2025(New).</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0E">
                <w:pPr>
                  <w:widowControl w:val="0"/>
                  <w:spacing w:after="0" w:line="240" w:lineRule="auto"/>
                  <w:rPr>
                    <w:sz w:val="20"/>
                    <w:szCs w:val="20"/>
                  </w:rPr>
                </w:pPr>
                <w:r w:rsidRPr="00000000" w:rsidDel="00000000" w:rsidR="00000000">
                  <w:rPr>
                    <w:sz w:val="20"/>
                    <w:szCs w:val="20"/>
                    <w:rtl w:val="0"/>
                  </w:rPr>
                  <w:t xml:space="preserve">ML</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0F">
                <w:pPr>
                  <w:pStyle w:val="Title"/>
                  <w:keepNext w:val="1"/>
                  <w:keepLines w:val="1"/>
                  <w:spacing w:before="0" w:after="60" w:line="240" w:lineRule="auto"/>
                  <w:rPr>
                    <w:sz w:val="20"/>
                    <w:szCs w:val="20"/>
                  </w:rPr>
                </w:pPr>
                <w:bookmarkStart w:name="_heading=h.fdq2asskkox1" w:colFirst="0" w:colLast="0" w:id="17"/>
                <w:bookmarkEnd w:id="17"/>
                <w:r w:rsidRPr="00000000" w:rsidDel="00000000" w:rsidR="00000000">
                  <w:rPr>
                    <w:sz w:val="20"/>
                    <w:szCs w:val="20"/>
                    <w:rtl w:val="0"/>
                  </w:rPr>
                  <w:t xml:space="preserve">Money Laundering</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10">
                <w:pPr>
                  <w:widowControl w:val="0"/>
                  <w:spacing w:after="0" w:line="240" w:lineRule="auto"/>
                  <w:rPr>
                    <w:sz w:val="20"/>
                    <w:szCs w:val="20"/>
                  </w:rPr>
                </w:pPr>
                <w:r w:rsidRPr="00000000" w:rsidDel="00000000" w:rsidR="00000000">
                  <w:rPr>
                    <w:sz w:val="20"/>
                    <w:szCs w:val="20"/>
                    <w:rtl w:val="0"/>
                  </w:rPr>
                  <w:t xml:space="preserve">MLRO</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11">
                <w:pPr>
                  <w:pStyle w:val="Title"/>
                  <w:keepNext w:val="1"/>
                  <w:keepLines w:val="1"/>
                  <w:spacing w:before="0" w:after="60" w:line="240" w:lineRule="auto"/>
                  <w:rPr>
                    <w:sz w:val="20"/>
                    <w:szCs w:val="20"/>
                  </w:rPr>
                </w:pPr>
                <w:bookmarkStart w:name="_heading=h.fdq2asskkox1" w:colFirst="0" w:colLast="0" w:id="17"/>
                <w:bookmarkEnd w:id="17"/>
                <w:r w:rsidRPr="00000000" w:rsidDel="00000000" w:rsidR="00000000">
                  <w:rPr>
                    <w:sz w:val="20"/>
                    <w:szCs w:val="20"/>
                    <w:rtl w:val="0"/>
                  </w:rPr>
                  <w:t xml:space="preserve">Money Laundering Reporting Officer</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12">
                <w:pPr>
                  <w:widowControl w:val="0"/>
                  <w:spacing w:after="0" w:line="240" w:lineRule="auto"/>
                  <w:rPr>
                    <w:sz w:val="20"/>
                    <w:szCs w:val="20"/>
                  </w:rPr>
                </w:pPr>
                <w:r w:rsidRPr="00000000" w:rsidDel="00000000" w:rsidR="00000000">
                  <w:rPr>
                    <w:sz w:val="20"/>
                    <w:szCs w:val="20"/>
                    <w:rtl w:val="0"/>
                  </w:rPr>
                  <w:t xml:space="preserve">Off-chain</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13">
                <w:pPr>
                  <w:pStyle w:val="Title"/>
                  <w:keepNext w:val="1"/>
                  <w:keepLines w:val="1"/>
                  <w:spacing w:before="0" w:after="60" w:line="240" w:lineRule="auto"/>
                  <w:rPr>
                    <w:sz w:val="20"/>
                    <w:szCs w:val="20"/>
                  </w:rPr>
                </w:pPr>
                <w:bookmarkStart w:name="_heading=h.fdq2asskkox1" w:colFirst="0" w:colLast="0" w:id="17"/>
                <w:bookmarkEnd w:id="17"/>
                <w:r w:rsidRPr="00000000" w:rsidDel="00000000" w:rsidR="00000000">
                  <w:rPr>
                    <w:sz w:val="20"/>
                    <w:szCs w:val="20"/>
                    <w:rtl w:val="0"/>
                  </w:rPr>
                  <w:t xml:space="preserve">Transactional analysis that does not involve forensic exposure-based blockchain analytics.</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14">
                <w:pPr>
                  <w:widowControl w:val="0"/>
                  <w:spacing w:after="0" w:line="240" w:lineRule="auto"/>
                  <w:rPr>
                    <w:sz w:val="20"/>
                    <w:szCs w:val="20"/>
                  </w:rPr>
                </w:pPr>
                <w:r w:rsidRPr="00000000" w:rsidDel="00000000" w:rsidR="00000000">
                  <w:rPr>
                    <w:sz w:val="20"/>
                    <w:szCs w:val="20"/>
                    <w:rtl w:val="0"/>
                  </w:rPr>
                  <w:t xml:space="preserve">On-chain</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15">
                <w:pPr>
                  <w:pStyle w:val="Title"/>
                  <w:keepNext w:val="1"/>
                  <w:keepLines w:val="1"/>
                  <w:spacing w:before="0" w:after="60" w:line="240" w:lineRule="auto"/>
                  <w:rPr>
                    <w:sz w:val="20"/>
                    <w:szCs w:val="20"/>
                  </w:rPr>
                </w:pPr>
                <w:bookmarkStart w:name="_heading=h.fdq2asskkox1" w:colFirst="0" w:colLast="0" w:id="17"/>
                <w:bookmarkEnd w:id="17"/>
                <w:r w:rsidRPr="00000000" w:rsidDel="00000000" w:rsidR="00000000">
                  <w:rPr>
                    <w:sz w:val="20"/>
                    <w:szCs w:val="20"/>
                    <w:rtl w:val="0"/>
                  </w:rPr>
                  <w:t xml:space="preserve">Transactional analysis that involves forensic exposure-based blockchain analytics.</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16">
                <w:pPr>
                  <w:widowControl w:val="0"/>
                  <w:spacing w:after="0" w:line="240" w:lineRule="auto"/>
                  <w:rPr>
                    <w:sz w:val="20"/>
                    <w:szCs w:val="20"/>
                  </w:rPr>
                </w:pPr>
                <w:r w:rsidRPr="00000000" w:rsidDel="00000000" w:rsidR="00000000">
                  <w:rPr>
                    <w:sz w:val="20"/>
                    <w:szCs w:val="20"/>
                    <w:rtl w:val="0"/>
                  </w:rPr>
                  <w:t xml:space="preserve">Post Alert</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17">
                <w:pPr>
                  <w:pStyle w:val="Title"/>
                  <w:keepNext w:val="1"/>
                  <w:keepLines w:val="1"/>
                  <w:spacing w:before="0" w:after="60" w:line="240" w:lineRule="auto"/>
                  <w:rPr>
                    <w:sz w:val="20"/>
                    <w:szCs w:val="20"/>
                  </w:rPr>
                </w:pPr>
                <w:bookmarkStart w:name="_heading=h.fdq2asskkox1" w:colFirst="0" w:colLast="0" w:id="17"/>
                <w:bookmarkEnd w:id="17"/>
                <w:r w:rsidRPr="00000000" w:rsidDel="00000000" w:rsidR="00000000">
                  <w:rPr>
                    <w:sz w:val="20"/>
                    <w:szCs w:val="20"/>
                    <w:rtl w:val="0"/>
                  </w:rPr>
                  <w:t xml:space="preserve">All other categories, including indirect exposures. These are reviewed within a 30-day SLA. List of Live/Post alerts can be found in </w:t>
                </w:r>
                <w:hyperlink r:id="rId11">
                  <w:r w:rsidRPr="00000000" w:rsidDel="00000000" w:rsidR="00000000">
                    <w:rPr>
                      <w:color w:val="0000ee"/>
                      <w:sz w:val="20"/>
                      <w:szCs w:val="20"/>
                      <w:u w:val="single"/>
                      <w:rtl w:val="0"/>
                    </w:rPr>
                    <w:t xml:space="preserve">Onchain rules - Risk rule</w:t>
                  </w:r>
                </w:hyperlink>
                <w:r w:rsidRPr="00000000" w:rsidDel="00000000" w:rsidR="00000000">
                  <w:rPr>
                    <w:sz w:val="20"/>
                    <w:szCs w:val="20"/>
                    <w:rtl w:val="0"/>
                  </w:rPr>
                  <w:t xml:space="preserve"> -&gt; Main 2025(New).</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18">
                <w:pPr>
                  <w:widowControl w:val="0"/>
                  <w:spacing w:after="0" w:line="240" w:lineRule="auto"/>
                  <w:rPr>
                    <w:sz w:val="20"/>
                    <w:szCs w:val="20"/>
                  </w:rPr>
                </w:pPr>
                <w:r w:rsidRPr="00000000" w:rsidDel="00000000" w:rsidR="00000000">
                  <w:rPr>
                    <w:sz w:val="20"/>
                    <w:szCs w:val="20"/>
                    <w:rtl w:val="0"/>
                  </w:rPr>
                  <w:t xml:space="preserve">Product level monitoring</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19">
                <w:pPr>
                  <w:pStyle w:val="Title"/>
                  <w:keepNext w:val="1"/>
                  <w:keepLines w:val="1"/>
                  <w:spacing w:before="0" w:after="60" w:line="240" w:lineRule="auto"/>
                  <w:rPr>
                    <w:sz w:val="20"/>
                    <w:szCs w:val="20"/>
                  </w:rPr>
                </w:pPr>
                <w:bookmarkStart w:name="_heading=h.fdq2asskkox1" w:colFirst="0" w:colLast="0" w:id="17"/>
                <w:bookmarkEnd w:id="17"/>
                <w:r w:rsidRPr="00000000" w:rsidDel="00000000" w:rsidR="00000000">
                  <w:rPr>
                    <w:sz w:val="20"/>
                    <w:szCs w:val="20"/>
                    <w:rtl w:val="0"/>
                  </w:rPr>
                  <w:t xml:space="preserve">Controls associated with transactions conducted through specific Binance products, such as P2P, Binance Pay etc.</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1A">
                <w:pPr>
                  <w:widowControl w:val="0"/>
                  <w:spacing w:after="0" w:line="240" w:lineRule="auto"/>
                  <w:rPr>
                    <w:sz w:val="20"/>
                    <w:szCs w:val="20"/>
                  </w:rPr>
                </w:pPr>
                <w:r w:rsidRPr="00000000" w:rsidDel="00000000" w:rsidR="00000000">
                  <w:rPr>
                    <w:sz w:val="20"/>
                    <w:szCs w:val="20"/>
                    <w:rtl w:val="0"/>
                  </w:rPr>
                  <w:t xml:space="preserve">Queue assignment</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1B">
                <w:pPr>
                  <w:pStyle w:val="Title"/>
                  <w:keepNext w:val="1"/>
                  <w:keepLines w:val="1"/>
                  <w:spacing w:before="0" w:after="60" w:line="240" w:lineRule="auto"/>
                  <w:rPr>
                    <w:sz w:val="20"/>
                    <w:szCs w:val="20"/>
                  </w:rPr>
                </w:pPr>
                <w:bookmarkStart w:name="_heading=h.fdq2asskkox1" w:colFirst="0" w:colLast="0" w:id="17"/>
                <w:bookmarkEnd w:id="17"/>
                <w:r w:rsidRPr="00000000" w:rsidDel="00000000" w:rsidR="00000000">
                  <w:rPr>
                    <w:sz w:val="20"/>
                    <w:szCs w:val="20"/>
                    <w:rtl w:val="0"/>
                  </w:rPr>
                  <w:t xml:space="preserve">Systematic placement of a work item onto a queue for eventual individual assignment.</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1C">
                <w:pPr>
                  <w:widowControl w:val="0"/>
                  <w:spacing w:after="0" w:line="240" w:lineRule="auto"/>
                  <w:rPr>
                    <w:sz w:val="20"/>
                    <w:szCs w:val="20"/>
                  </w:rPr>
                </w:pPr>
                <w:r w:rsidRPr="00000000" w:rsidDel="00000000" w:rsidR="00000000">
                  <w:rPr>
                    <w:sz w:val="20"/>
                    <w:szCs w:val="20"/>
                    <w:rtl w:val="0"/>
                  </w:rPr>
                  <w:t xml:space="preserve">SAR</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1D">
                <w:pPr>
                  <w:pStyle w:val="Title"/>
                  <w:keepNext w:val="1"/>
                  <w:keepLines w:val="1"/>
                  <w:spacing w:before="0" w:after="60" w:line="240" w:lineRule="auto"/>
                  <w:rPr>
                    <w:sz w:val="20"/>
                    <w:szCs w:val="20"/>
                  </w:rPr>
                </w:pPr>
                <w:bookmarkStart w:name="_heading=h.fdq2asskkox1" w:colFirst="0" w:colLast="0" w:id="17"/>
                <w:bookmarkEnd w:id="17"/>
                <w:r w:rsidRPr="00000000" w:rsidDel="00000000" w:rsidR="00000000">
                  <w:rPr>
                    <w:sz w:val="20"/>
                    <w:szCs w:val="20"/>
                    <w:rtl w:val="0"/>
                  </w:rPr>
                  <w:t xml:space="preserve">Suspicious Activity Reports. This is a regulatory report required to be filed to FIU where a financial institution suspects money laundering or financial crime by a subject or counterparty. Filings with local authorities through the required local reporting process. (Depending upon the country, it may be referred to as a Suspicious Transaction Report (STR), Suspicious Matter Report (SMR) or other terminology.)</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1E">
                <w:pPr>
                  <w:widowControl w:val="0"/>
                  <w:spacing w:after="0" w:line="240" w:lineRule="auto"/>
                  <w:rPr>
                    <w:sz w:val="20"/>
                    <w:szCs w:val="20"/>
                  </w:rPr>
                </w:pPr>
                <w:r w:rsidRPr="00000000" w:rsidDel="00000000" w:rsidR="00000000">
                  <w:rPr>
                    <w:sz w:val="20"/>
                    <w:szCs w:val="20"/>
                    <w:rtl w:val="0"/>
                  </w:rPr>
                  <w:t xml:space="preserve">Scenario</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1F">
                <w:pPr>
                  <w:pStyle w:val="Title"/>
                  <w:keepNext w:val="1"/>
                  <w:keepLines w:val="1"/>
                  <w:spacing w:before="0" w:after="60" w:line="240" w:lineRule="auto"/>
                  <w:rPr>
                    <w:sz w:val="20"/>
                    <w:szCs w:val="20"/>
                  </w:rPr>
                </w:pPr>
                <w:bookmarkStart w:name="_heading=h.vhid87uibmye" w:colFirst="0" w:colLast="0" w:id="19"/>
                <w:bookmarkEnd w:id="19"/>
                <w:r w:rsidRPr="00000000" w:rsidDel="00000000" w:rsidR="00000000">
                  <w:rPr>
                    <w:sz w:val="20"/>
                    <w:szCs w:val="20"/>
                    <w:rtl w:val="0"/>
                  </w:rPr>
                  <w:t xml:space="preserve">Typologies (based on known financial crime behaviours/patterns) built into the transaction monitoring systems that indicate potential unusual activity. Different scenarios are created within the systems to capture different elements of money laundering or financial crime risks.</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20">
                <w:pPr>
                  <w:widowControl w:val="0"/>
                  <w:spacing w:after="0" w:line="240" w:lineRule="auto"/>
                  <w:rPr>
                    <w:sz w:val="20"/>
                    <w:szCs w:val="20"/>
                  </w:rPr>
                </w:pPr>
                <w:r w:rsidRPr="00000000" w:rsidDel="00000000" w:rsidR="00000000">
                  <w:rPr>
                    <w:sz w:val="20"/>
                    <w:szCs w:val="20"/>
                    <w:rtl w:val="0"/>
                  </w:rPr>
                  <w:t xml:space="preserve">SLA</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21">
                <w:pPr>
                  <w:pStyle w:val="Title"/>
                  <w:keepNext w:val="1"/>
                  <w:keepLines w:val="1"/>
                  <w:spacing w:before="0" w:after="60" w:line="240" w:lineRule="auto"/>
                  <w:rPr>
                    <w:sz w:val="20"/>
                    <w:szCs w:val="20"/>
                  </w:rPr>
                </w:pPr>
                <w:bookmarkStart w:name="_heading=h.vhid87uibmye" w:colFirst="0" w:colLast="0" w:id="19"/>
                <w:bookmarkEnd w:id="19"/>
                <w:r w:rsidRPr="00000000" w:rsidDel="00000000" w:rsidR="00000000">
                  <w:rPr>
                    <w:sz w:val="20"/>
                    <w:szCs w:val="20"/>
                    <w:rtl w:val="0"/>
                  </w:rPr>
                  <w:t xml:space="preserve">Service Level Agreement, which is a written agreement between parties which establishes the roles, responsibilities and terms on the completion of a task or series of tasks.</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22">
                <w:pPr>
                  <w:widowControl w:val="0"/>
                  <w:spacing w:after="0" w:line="240" w:lineRule="auto"/>
                  <w:rPr>
                    <w:sz w:val="20"/>
                    <w:szCs w:val="20"/>
                  </w:rPr>
                </w:pPr>
                <w:r w:rsidRPr="00000000" w:rsidDel="00000000" w:rsidR="00000000">
                  <w:rPr>
                    <w:sz w:val="20"/>
                    <w:szCs w:val="20"/>
                    <w:rtl w:val="0"/>
                  </w:rPr>
                  <w:t xml:space="preserve">Subject</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23">
                <w:pPr>
                  <w:pStyle w:val="Title"/>
                  <w:keepNext w:val="1"/>
                  <w:keepLines w:val="1"/>
                  <w:spacing w:before="0" w:after="60" w:line="240" w:lineRule="auto"/>
                  <w:rPr>
                    <w:sz w:val="20"/>
                    <w:szCs w:val="20"/>
                  </w:rPr>
                </w:pPr>
                <w:bookmarkStart w:name="_heading=h.6fbws0v9bf3l" w:colFirst="0" w:colLast="0" w:id="20"/>
                <w:bookmarkEnd w:id="20"/>
                <w:r w:rsidRPr="00000000" w:rsidDel="00000000" w:rsidR="00000000">
                  <w:rPr>
                    <w:sz w:val="20"/>
                    <w:szCs w:val="20"/>
                    <w:rtl w:val="0"/>
                  </w:rPr>
                  <w:t xml:space="preserve">User/account whose transactional activity triggers alerts and warrants investigation for potential unusual activity. </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24">
                <w:pPr>
                  <w:widowControl w:val="0"/>
                  <w:spacing w:after="0" w:line="240" w:lineRule="auto"/>
                  <w:rPr>
                    <w:sz w:val="20"/>
                    <w:szCs w:val="20"/>
                  </w:rPr>
                </w:pPr>
                <w:r w:rsidRPr="00000000" w:rsidDel="00000000" w:rsidR="00000000">
                  <w:rPr>
                    <w:sz w:val="20"/>
                    <w:szCs w:val="20"/>
                    <w:rtl w:val="0"/>
                  </w:rPr>
                  <w:t xml:space="preserve">TF</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25">
                <w:pPr>
                  <w:pStyle w:val="Title"/>
                  <w:keepNext w:val="1"/>
                  <w:keepLines w:val="1"/>
                  <w:spacing w:before="0" w:after="60" w:line="240" w:lineRule="auto"/>
                  <w:rPr>
                    <w:sz w:val="20"/>
                    <w:szCs w:val="20"/>
                  </w:rPr>
                </w:pPr>
                <w:bookmarkStart w:name="_heading=h.vhid87uibmye" w:colFirst="0" w:colLast="0" w:id="19"/>
                <w:bookmarkEnd w:id="19"/>
                <w:r w:rsidRPr="00000000" w:rsidDel="00000000" w:rsidR="00000000">
                  <w:rPr>
                    <w:sz w:val="20"/>
                    <w:szCs w:val="20"/>
                    <w:rtl w:val="0"/>
                  </w:rPr>
                  <w:t xml:space="preserve">Terrorist Financing</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26">
                <w:pPr>
                  <w:widowControl w:val="0"/>
                  <w:spacing w:after="0" w:line="240" w:lineRule="auto"/>
                  <w:rPr>
                    <w:sz w:val="20"/>
                    <w:szCs w:val="20"/>
                  </w:rPr>
                </w:pPr>
                <w:r w:rsidRPr="00000000" w:rsidDel="00000000" w:rsidR="00000000">
                  <w:rPr>
                    <w:sz w:val="20"/>
                    <w:szCs w:val="20"/>
                    <w:rtl w:val="0"/>
                  </w:rPr>
                  <w:t xml:space="preserve">Timeframe or Deadline</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27">
                <w:pPr>
                  <w:pStyle w:val="Title"/>
                  <w:keepNext w:val="1"/>
                  <w:keepLines w:val="1"/>
                  <w:spacing w:before="0" w:after="60" w:line="240" w:lineRule="auto"/>
                  <w:rPr>
                    <w:sz w:val="20"/>
                    <w:szCs w:val="20"/>
                  </w:rPr>
                </w:pPr>
                <w:bookmarkStart w:name="_heading=h.vhid87uibmye" w:colFirst="0" w:colLast="0" w:id="19"/>
                <w:bookmarkEnd w:id="19"/>
                <w:r w:rsidRPr="00000000" w:rsidDel="00000000" w:rsidR="00000000">
                  <w:rPr>
                    <w:sz w:val="20"/>
                    <w:szCs w:val="20"/>
                    <w:rtl w:val="0"/>
                  </w:rPr>
                  <w:t xml:space="preserve">The time agreed on for completing a task in order to be compliant with regulatory or procedural SLAs.</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28">
                <w:pPr>
                  <w:widowControl w:val="0"/>
                  <w:spacing w:after="0" w:line="240" w:lineRule="auto"/>
                  <w:rPr>
                    <w:sz w:val="20"/>
                    <w:szCs w:val="20"/>
                  </w:rPr>
                </w:pPr>
                <w:r w:rsidRPr="00000000" w:rsidDel="00000000" w:rsidR="00000000">
                  <w:rPr>
                    <w:sz w:val="20"/>
                    <w:szCs w:val="20"/>
                    <w:rtl w:val="0"/>
                  </w:rPr>
                  <w:t xml:space="preserve">Tipping off</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29">
                <w:pPr>
                  <w:pStyle w:val="Title"/>
                  <w:keepNext w:val="1"/>
                  <w:keepLines w:val="1"/>
                  <w:spacing w:before="0" w:after="60" w:line="240" w:lineRule="auto"/>
                  <w:rPr>
                    <w:sz w:val="20"/>
                    <w:szCs w:val="20"/>
                  </w:rPr>
                </w:pPr>
                <w:bookmarkStart w:name="_heading=h.vhid87uibmye" w:colFirst="0" w:colLast="0" w:id="19"/>
                <w:bookmarkEnd w:id="19"/>
                <w:r w:rsidRPr="00000000" w:rsidDel="00000000" w:rsidR="00000000">
                  <w:rPr>
                    <w:sz w:val="20"/>
                    <w:szCs w:val="20"/>
                    <w:rtl w:val="0"/>
                  </w:rPr>
                  <w:t xml:space="preserve">The unauthorised disclosure of an alert analysis, investigation and/or SAR filing, or advising of any other information that would reveal the consideration or existence to a customer or external third party of a money laundering or financial crime analysis or investigation and/or a SAR filing.</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2A">
                <w:pPr>
                  <w:widowControl w:val="0"/>
                  <w:spacing w:after="0" w:line="240" w:lineRule="auto"/>
                  <w:rPr>
                    <w:sz w:val="20"/>
                    <w:szCs w:val="20"/>
                  </w:rPr>
                </w:pPr>
                <w:r w:rsidRPr="00000000" w:rsidDel="00000000" w:rsidR="00000000">
                  <w:rPr>
                    <w:sz w:val="20"/>
                    <w:szCs w:val="20"/>
                    <w:rtl w:val="0"/>
                  </w:rPr>
                  <w:t xml:space="preserve">Transaction</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2B">
                <w:pPr>
                  <w:pStyle w:val="Title"/>
                  <w:keepNext w:val="1"/>
                  <w:keepLines w:val="1"/>
                  <w:spacing w:before="0" w:after="60" w:line="240" w:lineRule="auto"/>
                  <w:rPr>
                    <w:sz w:val="20"/>
                    <w:szCs w:val="20"/>
                  </w:rPr>
                </w:pPr>
                <w:bookmarkStart w:name="_heading=h.vhid87uibmye" w:colFirst="0" w:colLast="0" w:id="19"/>
                <w:bookmarkEnd w:id="19"/>
                <w:r w:rsidRPr="00000000" w:rsidDel="00000000" w:rsidR="00000000">
                  <w:rPr>
                    <w:sz w:val="20"/>
                    <w:szCs w:val="20"/>
                    <w:rtl w:val="0"/>
                  </w:rPr>
                  <w:t xml:space="preserve">Any virtual currency or fiat currency transaction accepted, processed, or executed through Binance, including trades, staking income, and other product-driven transactions.</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2C">
                <w:pPr>
                  <w:widowControl w:val="0"/>
                  <w:spacing w:after="0" w:line="240" w:lineRule="auto"/>
                  <w:rPr>
                    <w:sz w:val="20"/>
                    <w:szCs w:val="20"/>
                  </w:rPr>
                </w:pPr>
                <w:r w:rsidRPr="00000000" w:rsidDel="00000000" w:rsidR="00000000">
                  <w:rPr>
                    <w:sz w:val="20"/>
                    <w:szCs w:val="20"/>
                    <w:rtl w:val="0"/>
                  </w:rPr>
                  <w:t xml:space="preserve">Unusual Activity</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2D">
                <w:pPr>
                  <w:pStyle w:val="Title"/>
                  <w:keepNext w:val="1"/>
                  <w:keepLines w:val="1"/>
                  <w:spacing w:before="0" w:after="60" w:line="240" w:lineRule="auto"/>
                  <w:rPr>
                    <w:sz w:val="20"/>
                    <w:szCs w:val="20"/>
                  </w:rPr>
                </w:pPr>
                <w:bookmarkStart w:name="_heading=h.vhid87uibmye" w:colFirst="0" w:colLast="0" w:id="19"/>
                <w:bookmarkEnd w:id="19"/>
                <w:r w:rsidRPr="00000000" w:rsidDel="00000000" w:rsidR="00000000">
                  <w:rPr>
                    <w:sz w:val="20"/>
                    <w:szCs w:val="20"/>
                    <w:rtl w:val="0"/>
                  </w:rPr>
                  <w:t xml:space="preserve">Activity, transactional or behavioural, that does not make economic sense or deviates from typical crypto exchange user behaviour, rising suspicion of client's potential involvement in money laundering, terrorist financing, sanctions evasion or other potentially illicit activity.</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2E">
                <w:pPr>
                  <w:widowControl w:val="0"/>
                  <w:spacing w:after="0" w:line="240" w:lineRule="auto"/>
                  <w:rPr>
                    <w:sz w:val="20"/>
                    <w:szCs w:val="20"/>
                  </w:rPr>
                </w:pPr>
                <w:r w:rsidRPr="00000000" w:rsidDel="00000000" w:rsidR="00000000">
                  <w:rPr>
                    <w:sz w:val="20"/>
                    <w:szCs w:val="20"/>
                    <w:rtl w:val="0"/>
                  </w:rPr>
                  <w:t xml:space="preserve">Unusual Activity Reports</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2F">
                <w:pPr>
                  <w:pStyle w:val="Title"/>
                  <w:keepNext w:val="1"/>
                  <w:keepLines w:val="1"/>
                  <w:spacing w:before="0" w:after="60" w:line="240" w:lineRule="auto"/>
                  <w:rPr>
                    <w:sz w:val="20"/>
                    <w:szCs w:val="20"/>
                  </w:rPr>
                </w:pPr>
                <w:bookmarkStart w:name="_heading=h.pj27u1j6dkc7" w:colFirst="0" w:colLast="0" w:id="21"/>
                <w:bookmarkEnd w:id="21"/>
                <w:r w:rsidRPr="00000000" w:rsidDel="00000000" w:rsidR="00000000">
                  <w:rPr>
                    <w:sz w:val="20"/>
                    <w:szCs w:val="20"/>
                    <w:rtl w:val="0"/>
                  </w:rPr>
                  <w:t xml:space="preserve">The ICRs that are escalated to L3 level (MLRO).</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30">
                <w:pPr>
                  <w:widowControl w:val="0"/>
                  <w:spacing w:after="0" w:line="240" w:lineRule="auto"/>
                  <w:rPr>
                    <w:sz w:val="20"/>
                    <w:szCs w:val="20"/>
                  </w:rPr>
                </w:pPr>
                <w:r w:rsidRPr="00000000" w:rsidDel="00000000" w:rsidR="00000000">
                  <w:rPr>
                    <w:sz w:val="20"/>
                    <w:szCs w:val="20"/>
                    <w:rtl w:val="0"/>
                  </w:rPr>
                  <w:t xml:space="preserve">User level monitoring</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31">
                <w:pPr>
                  <w:pStyle w:val="Title"/>
                  <w:keepNext w:val="1"/>
                  <w:keepLines w:val="1"/>
                  <w:spacing w:before="0" w:after="60" w:line="240" w:lineRule="auto"/>
                  <w:rPr>
                    <w:sz w:val="20"/>
                    <w:szCs w:val="20"/>
                  </w:rPr>
                </w:pPr>
                <w:bookmarkStart w:name="_heading=h.263oob40yi3h" w:colFirst="0" w:colLast="0" w:id="22"/>
                <w:bookmarkEnd w:id="22"/>
                <w:r w:rsidRPr="00000000" w:rsidDel="00000000" w:rsidR="00000000">
                  <w:rPr>
                    <w:sz w:val="20"/>
                    <w:szCs w:val="20"/>
                    <w:rtl w:val="0"/>
                  </w:rPr>
                  <w:t xml:space="preserve">an assessment of user activity and presenting all alerted activity into one overall case. Therefore, one or more alerts can be generated against a user ID and may involve multiple activities, alerts, or rules.</w:t>
                </w:r>
                <w:r w:rsidRPr="00000000" w:rsidDel="00000000" w:rsidR="00000000">
                  <w:rPr>
                    <w:rtl w:val="0"/>
                  </w:rPr>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32">
                <w:pPr>
                  <w:widowControl w:val="0"/>
                  <w:spacing w:after="0" w:line="240" w:lineRule="auto"/>
                  <w:rPr>
                    <w:sz w:val="20"/>
                    <w:szCs w:val="20"/>
                  </w:rPr>
                </w:pPr>
                <w:r w:rsidRPr="00000000" w:rsidDel="00000000" w:rsidR="00000000">
                  <w:rPr>
                    <w:sz w:val="20"/>
                    <w:szCs w:val="20"/>
                    <w:rtl w:val="0"/>
                  </w:rPr>
                  <w:t xml:space="preserve">VASPs</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33">
                <w:pPr>
                  <w:spacing w:after="0" w:line="240" w:lineRule="auto"/>
                  <w:ind w:left="0" w:firstLine="0"/>
                  <w:rPr>
                    <w:sz w:val="20"/>
                    <w:szCs w:val="20"/>
                  </w:rPr>
                </w:pPr>
                <w:r w:rsidRPr="00000000" w:rsidDel="00000000" w:rsidR="00000000">
                  <w:rPr>
                    <w:sz w:val="20"/>
                    <w:szCs w:val="20"/>
                    <w:rtl w:val="0"/>
                  </w:rPr>
                  <w:t xml:space="preserve">Virtual Asset Service Providers</w:t>
                </w:r>
              </w:p>
            </w:tc>
          </w:tr>
        </w:tbl>
      </w:sdtContent>
    </w:sdt>
    <w:p w:rsidRPr="00000000" w:rsidR="00000000" w:rsidDel="00000000" w:rsidP="00000000" w:rsidRDefault="00000000" w14:paraId="00000134">
      <w:pPr>
        <w:pStyle w:val="Heading1"/>
        <w:keepNext w:val="1"/>
        <w:keepLines w:val="1"/>
        <w:pageBreakBefore w:val="0"/>
        <w:widowControl w:val="1"/>
        <w:numPr>
          <w:ilvl w:val="0"/>
          <w:numId w:val="25"/>
        </w:numPr>
        <w:pBdr>
          <w:top w:val="nil" w:sz="0" w:space="0"/>
          <w:left w:val="nil" w:sz="0" w:space="0"/>
          <w:bottom w:val="nil" w:sz="0" w:space="0"/>
          <w:right w:val="nil" w:sz="0" w:space="0"/>
          <w:between w:val="nil" w:sz="0" w:space="0"/>
        </w:pBdr>
        <w:shd w:val="clear" w:fill="auto"/>
        <w:spacing w:before="400" w:after="200" w:line="276" w:lineRule="auto"/>
        <w:ind w:left="720" w:right="0" w:hanging="720"/>
        <w:jc w:val="both"/>
        <w:rPr/>
      </w:pPr>
      <w:bookmarkStart w:name="_heading=h.al2t24n2jo66" w:colFirst="0" w:colLast="0" w:id="23"/>
      <w:bookmarkEnd w:id="23"/>
      <w:r w:rsidRPr="00000000" w:rsidDel="00000000" w:rsidR="00000000">
        <w:rPr>
          <w:rFonts w:ascii="Arial" w:hAnsi="Arial" w:eastAsia="Arial" w:cs="Arial"/>
          <w:smallCaps w:val="1"/>
          <w:sz w:val="28"/>
          <w:szCs w:val="28"/>
          <w:rtl w:val="0"/>
        </w:rPr>
        <w:t xml:space="preserve">RECORD KEEPING</w:t>
      </w:r>
    </w:p>
    <w:p w:rsidRPr="00000000" w:rsidR="00000000" w:rsidDel="00000000" w:rsidP="00000000" w:rsidRDefault="00000000" w14:paraId="00000135">
      <w:pPr>
        <w:numPr>
          <w:ilvl w:val="2"/>
          <w:numId w:val="25"/>
        </w:numPr>
        <w:spacing w:after="240" w:lineRule="auto"/>
        <w:ind w:left="720" w:hanging="720"/>
        <w:jc w:val="both"/>
        <w:rPr>
          <w:color w:val="000000"/>
        </w:rPr>
      </w:pPr>
      <w:bookmarkStart w:name="_heading=h.qrb0yii2qcwo" w:colFirst="0" w:colLast="0" w:id="24"/>
      <w:bookmarkEnd w:id="24"/>
      <w:r w:rsidRPr="00000000" w:rsidDel="00000000" w:rsidR="00000000">
        <w:rPr>
          <w:rtl w:val="0"/>
        </w:rPr>
        <w:t xml:space="preserve">Binance Group is committed to protecting the privacy of its users, staff and third parties as per </w:t>
      </w:r>
      <w:hyperlink r:id="rId12">
        <w:r w:rsidRPr="00000000" w:rsidDel="00000000" w:rsidR="00000000">
          <w:rPr>
            <w:color w:val="1155cc"/>
            <w:u w:val="single"/>
            <w:rtl w:val="0"/>
          </w:rPr>
          <w:t xml:space="preserve">Group Data Protection Policy</w:t>
        </w:r>
      </w:hyperlink>
      <w:r w:rsidRPr="00000000" w:rsidDel="00000000" w:rsidR="00000000">
        <w:rPr>
          <w:rtl w:val="0"/>
        </w:rPr>
        <w:t xml:space="preserve">, which sets out measures and procedures to minimise the processing of data to what is relevant and necessary. Personal data is kept up to date and accurate, the necessity of retaining data for its intended purpose is periodically reviewed. Personal Data will be erased (or processing restricted where erasure is not possible) when retention or processing is no longer necessary for the purposes for which the data was collected, except when otherwise required by law or regulation. Binance Group is committed to protecting the privacy of its users, staff and third parties as per Group Data Protection Policy, which declares measures and procedures to minimise the processing of data to what is relevant and necessary. Personal data is kept up to date and accurate, the necessity of retaining data for its intended purpose is periodically reviewed. Personal Data will be erased (or processing restricted where erasure is not possible) when retention or processing is no longer necessary for the purposes for which the data was collected, except when otherwise required by law or regulation.</w:t>
      </w:r>
      <w:r w:rsidRPr="00000000" w:rsidDel="00000000" w:rsidR="00000000">
        <w:rPr>
          <w:rtl w:val="0"/>
        </w:rPr>
      </w:r>
    </w:p>
    <w:p w:rsidRPr="00000000" w:rsidR="00000000" w:rsidDel="00000000" w:rsidP="00000000" w:rsidRDefault="00000000" w14:paraId="00000136">
      <w:pPr>
        <w:numPr>
          <w:ilvl w:val="2"/>
          <w:numId w:val="25"/>
        </w:numPr>
        <w:spacing w:after="240" w:lineRule="auto"/>
        <w:ind w:left="720" w:hanging="720"/>
        <w:jc w:val="both"/>
        <w:rPr>
          <w:color w:val="000000"/>
        </w:rPr>
      </w:pPr>
      <w:bookmarkStart w:name="_heading=h.lluqvmkf793" w:colFirst="0" w:colLast="0" w:id="25"/>
      <w:bookmarkEnd w:id="25"/>
      <w:r w:rsidRPr="00000000" w:rsidDel="00000000" w:rsidR="00000000">
        <w:rPr>
          <w:color w:val="000000"/>
          <w:rtl w:val="0"/>
        </w:rPr>
        <w:t xml:space="preserve">Binance Group will maintain records with regard to transaction monitoring or screening throughout the lifecycle of a customer relationship with the company. Binance will retain the original of any application documents and all relevant records received for 5 years following the end of the business relationship, unless local country addendum for specific record retention requirements differ. Please refer to the local record keeping policy as appropriate.</w:t>
      </w:r>
    </w:p>
    <w:p w:rsidRPr="00000000" w:rsidR="00000000" w:rsidDel="00000000" w:rsidP="00000000" w:rsidRDefault="00000000" w14:paraId="00000137">
      <w:pPr>
        <w:pStyle w:val="Heading1"/>
        <w:numPr>
          <w:ilvl w:val="0"/>
          <w:numId w:val="25"/>
        </w:numPr>
        <w:spacing w:after="240" w:lineRule="auto"/>
        <w:ind w:left="720"/>
        <w:jc w:val="left"/>
        <w:rPr/>
      </w:pPr>
      <w:bookmarkStart w:name="_heading=h.d2wumex97o7w" w:colFirst="0" w:colLast="0" w:id="26"/>
      <w:bookmarkEnd w:id="26"/>
      <w:r w:rsidRPr="00000000" w:rsidDel="00000000" w:rsidR="00000000">
        <w:rPr>
          <w:rFonts w:ascii="Arial" w:hAnsi="Arial" w:eastAsia="Arial" w:cs="Arial"/>
          <w:smallCaps w:val="1"/>
          <w:sz w:val="28"/>
          <w:szCs w:val="28"/>
          <w:rtl w:val="0"/>
        </w:rPr>
        <w:t xml:space="preserve">AN OVERVIEW OF TRANSACTION MONITORING AND SCREENING</w:t>
      </w:r>
      <w:r w:rsidRPr="00000000" w:rsidDel="00000000" w:rsidR="00000000">
        <w:rPr>
          <w:rtl w:val="0"/>
        </w:rPr>
      </w:r>
    </w:p>
    <w:p w:rsidRPr="00000000" w:rsidR="00000000" w:rsidDel="00000000" w:rsidP="00000000" w:rsidRDefault="00000000" w14:paraId="00000138">
      <w:pPr>
        <w:pStyle w:val="Heading2"/>
        <w:numPr>
          <w:ilvl w:val="1"/>
          <w:numId w:val="25"/>
        </w:numPr>
        <w:spacing w:after="240" w:lineRule="auto"/>
        <w:ind w:left="720"/>
        <w:jc w:val="both"/>
        <w:rPr/>
      </w:pPr>
      <w:bookmarkStart w:name="_heading=h.6c2213xjxmsg" w:colFirst="0" w:colLast="0" w:id="27"/>
      <w:bookmarkEnd w:id="27"/>
      <w:r w:rsidRPr="00000000" w:rsidDel="00000000" w:rsidR="00000000">
        <w:rPr>
          <w:rFonts w:ascii="Arial" w:hAnsi="Arial" w:eastAsia="Arial" w:cs="Arial"/>
          <w:sz w:val="24"/>
          <w:szCs w:val="24"/>
          <w:rtl w:val="0"/>
        </w:rPr>
        <w:t xml:space="preserve">Overview</w:t>
      </w:r>
    </w:p>
    <w:p w:rsidRPr="00000000" w:rsidR="00000000" w:rsidDel="00000000" w:rsidP="00000000" w:rsidRDefault="00000000" w14:paraId="00000139">
      <w:pPr>
        <w:numPr>
          <w:ilvl w:val="2"/>
          <w:numId w:val="25"/>
        </w:numPr>
        <w:spacing w:after="0" w:lineRule="auto"/>
        <w:ind w:left="720" w:hanging="720"/>
        <w:jc w:val="both"/>
        <w:rPr>
          <w:color w:val="000000"/>
        </w:rPr>
      </w:pPr>
      <w:bookmarkStart w:name="_heading=h.jmrl85gahjah" w:colFirst="0" w:colLast="0" w:id="28"/>
      <w:bookmarkEnd w:id="28"/>
      <w:r w:rsidRPr="00000000" w:rsidDel="00000000" w:rsidR="00000000">
        <w:rPr>
          <w:rtl w:val="0"/>
        </w:rPr>
        <w:t xml:space="preserve">Binance Group’s transaction monitoring systems will generate cases and alerts, which are then reviewed and analysed using information available from various internal and external data sources. The following flowchart shows an overview of the review process:</w:t>
      </w:r>
      <w:r w:rsidRPr="00000000" w:rsidDel="00000000" w:rsidR="00000000">
        <w:rPr>
          <w:rtl w:val="0"/>
        </w:rPr>
      </w:r>
    </w:p>
    <w:p w:rsidRPr="00000000" w:rsidR="00000000" w:rsidDel="00000000" w:rsidP="00000000" w:rsidRDefault="00000000" w14:paraId="0000013A">
      <w:pPr>
        <w:keepNext w:val="1"/>
        <w:keepLines w:val="1"/>
        <w:pBdr>
          <w:top w:val="nil" w:sz="0" w:space="0"/>
          <w:left w:val="nil" w:sz="0" w:space="0"/>
          <w:bottom w:val="nil" w:sz="0" w:space="0"/>
          <w:right w:val="nil" w:sz="0" w:space="0"/>
          <w:between w:val="nil" w:sz="0" w:space="0"/>
        </w:pBdr>
        <w:spacing w:after="0" w:line="240" w:lineRule="auto"/>
        <w:jc w:val="both"/>
        <w:rPr>
          <w:color w:val="000000"/>
          <w:sz w:val="10"/>
          <w:szCs w:val="10"/>
          <w:shd w:val="clear" w:fill="fff2cc"/>
        </w:rPr>
      </w:pPr>
      <w:r w:rsidRPr="00000000" w:rsidDel="00000000" w:rsidR="00000000">
        <w:rPr>
          <w:rtl w:val="0"/>
        </w:rPr>
      </w:r>
    </w:p>
    <w:p w:rsidRPr="00000000" w:rsidR="00000000" w:rsidDel="00000000" w:rsidP="00000000" w:rsidRDefault="00000000" w14:paraId="0000013B">
      <w:pPr>
        <w:widowControl w:val="0"/>
        <w:spacing w:after="0" w:line="240" w:lineRule="auto"/>
        <w:ind w:left="-900" w:firstLine="0"/>
        <w:rPr/>
      </w:pPr>
      <w:bookmarkStart w:name="_heading=h.3dy6vkm" w:colFirst="0" w:colLast="0" w:id="29"/>
      <w:bookmarkEnd w:id="29"/>
      <w:r w:rsidRPr="00000000" w:rsidDel="00000000" w:rsidR="00000000">
        <w:rPr>
          <w:highlight w:val="white"/>
        </w:rPr>
        <w:drawing>
          <wp:inline distT="114300" distB="114300" distL="114300" distR="114300">
            <wp:extent cx="6552116" cy="3315461"/>
            <wp:effectExtent l="3175" t="3175" r="3175" b="3175"/>
            <wp:docPr id="16" name="image4.png"/>
            <a:graphic>
              <a:graphicData uri="http://schemas.openxmlformats.org/drawingml/2006/picture">
                <pic:pic>
                  <pic:nvPicPr>
                    <pic:cNvPr id="0" name="image4.png"/>
                    <pic:cNvPicPr preferRelativeResize="0"/>
                  </pic:nvPicPr>
                  <pic:blipFill>
                    <a:blip r:embed="rId13"/>
                    <a:srcRect l="0" t="0" r="0" b="0"/>
                    <a:stretch>
                      <a:fillRect/>
                    </a:stretch>
                  </pic:blipFill>
                  <pic:spPr>
                    <a:xfrm>
                      <a:off x="0" y="0"/>
                      <a:ext cx="6552116" cy="3315461"/>
                    </a:xfrm>
                    <a:prstGeom prst="rect"/>
                    <a:ln w="3175">
                      <a:solidFill>
                        <a:srgbClr val="000000"/>
                      </a:solidFill>
                      <a:prstDash val="solid"/>
                    </a:ln>
                  </pic:spPr>
                </pic:pic>
              </a:graphicData>
            </a:graphic>
          </wp:inline>
        </w:drawing>
      </w:r>
      <w:r w:rsidRPr="00000000" w:rsidDel="00000000" w:rsidR="00000000">
        <w:rPr>
          <w:rtl w:val="0"/>
        </w:rPr>
      </w:r>
    </w:p>
    <w:p w:rsidRPr="00000000" w:rsidR="00000000" w:rsidDel="00000000" w:rsidP="00000000" w:rsidRDefault="00000000" w14:paraId="0000013C">
      <w:pPr>
        <w:pBdr>
          <w:top w:val="none" w:color="000000" w:sz="0" w:space="0"/>
          <w:left w:val="none" w:color="000000" w:sz="0" w:space="0"/>
          <w:bottom w:val="none" w:color="000000" w:sz="0" w:space="0"/>
          <w:right w:val="none" w:color="000000" w:sz="0" w:space="0"/>
        </w:pBdr>
        <w:spacing w:after="0" w:lineRule="auto"/>
        <w:jc w:val="both"/>
        <w:rPr/>
      </w:pPr>
      <w:r w:rsidRPr="00000000" w:rsidDel="00000000" w:rsidR="00000000">
        <w:rPr>
          <w:rtl w:val="0"/>
        </w:rPr>
      </w:r>
    </w:p>
    <w:p w:rsidRPr="00000000" w:rsidR="00000000" w:rsidDel="00000000" w:rsidP="00000000" w:rsidRDefault="00000000" w14:paraId="0000013D">
      <w:pPr>
        <w:pStyle w:val="Heading2"/>
        <w:numPr>
          <w:ilvl w:val="1"/>
          <w:numId w:val="25"/>
        </w:numPr>
        <w:spacing w:after="240" w:lineRule="auto"/>
        <w:ind w:left="720"/>
        <w:jc w:val="both"/>
        <w:rPr/>
      </w:pPr>
      <w:bookmarkStart w:name="_heading=h.a5cjhlmqrsjk" w:colFirst="0" w:colLast="0" w:id="30"/>
      <w:bookmarkEnd w:id="30"/>
      <w:r w:rsidRPr="00000000" w:rsidDel="00000000" w:rsidR="00000000">
        <w:rPr>
          <w:rFonts w:ascii="Arial" w:hAnsi="Arial" w:eastAsia="Arial" w:cs="Arial"/>
          <w:sz w:val="24"/>
          <w:szCs w:val="24"/>
          <w:rtl w:val="0"/>
        </w:rPr>
        <w:t xml:space="preserve">Off-Chain Transaction Monitoring</w:t>
      </w:r>
    </w:p>
    <w:p w:rsidRPr="00000000" w:rsidR="00000000" w:rsidDel="00000000" w:rsidP="00000000" w:rsidRDefault="00000000" w14:paraId="0000013E">
      <w:pPr>
        <w:numPr>
          <w:ilvl w:val="2"/>
          <w:numId w:val="25"/>
        </w:numPr>
        <w:spacing w:after="100" w:line="276" w:lineRule="auto"/>
        <w:ind w:left="720" w:hanging="720"/>
        <w:jc w:val="both"/>
        <w:rPr>
          <w:color w:val="000000"/>
        </w:rPr>
      </w:pPr>
      <w:bookmarkStart w:name="_heading=h.xxovuttus1kn" w:colFirst="0" w:colLast="0" w:id="31"/>
      <w:bookmarkEnd w:id="31"/>
      <w:r w:rsidRPr="00000000" w:rsidDel="00000000" w:rsidR="00000000">
        <w:rPr>
          <w:rtl w:val="0"/>
        </w:rPr>
        <w:t xml:space="preserve">Off-Chain Transaction Monitoring, also known as Fiat Transaction Monitoring or Post Transaction Scenario Monitoring, is rules-based monitoring to identify potentially suspicious transaction behavior. Binance leverages various in-house data and case management solutions to aggregate and analyze customer transactions outlined in the table below:</w:t>
      </w:r>
      <w:r w:rsidRPr="00000000" w:rsidDel="00000000" w:rsidR="00000000">
        <w:rPr>
          <w:rtl w:val="0"/>
        </w:rPr>
      </w:r>
    </w:p>
    <w:tbl>
      <w:tblPr>
        <w:tblStyle w:val="Table6"/>
        <w:tblW w:w="8220.0" w:type="dxa"/>
        <w:jc w:val="left"/>
        <w:tblInd w:w="82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295"/>
        <w:gridCol w:w="5925"/>
        <w:tblGridChange w:id="0">
          <w:tblGrid>
            <w:gridCol w:w="2295"/>
            <w:gridCol w:w="5925"/>
          </w:tblGrid>
        </w:tblGridChange>
      </w:tblGrid>
      <w:tr>
        <w:trPr>
          <w:cantSplit w:val="0"/>
          <w:trHeight w:val="420" w:hRule="atLeast"/>
          <w:tblHeader w:val="0"/>
        </w:trPr>
        <w:tc>
          <w:tcPr>
            <w:gridSpan w:val="2"/>
            <w:shd w:val="clear" w:fill="f7cbac"/>
            <w:tcMar>
              <w:top w:w="72.0" w:type="dxa"/>
              <w:left w:w="72.0" w:type="dxa"/>
              <w:bottom w:w="72.0" w:type="dxa"/>
              <w:right w:w="72.0" w:type="dxa"/>
            </w:tcMar>
          </w:tcPr>
          <w:p w:rsidRPr="00000000" w:rsidR="00000000" w:rsidDel="00000000" w:rsidP="00000000" w:rsidRDefault="00000000" w14:paraId="0000013F">
            <w:pPr>
              <w:spacing w:after="0" w:lineRule="auto"/>
              <w:jc w:val="both"/>
              <w:rPr>
                <w:b w:val="1"/>
                <w:bCs w:val="1"/>
              </w:rPr>
            </w:pPr>
            <w:r w:rsidRPr="00000000" w:rsidDel="00000000" w:rsidR="00000000">
              <w:rPr>
                <w:b w:val="1"/>
                <w:bCs w:val="1"/>
                <w:color w:val="000000"/>
                <w:rtl w:val="0"/>
              </w:rPr>
              <w:t xml:space="preserve">Transaction Monitoring (Off-chain) </w:t>
            </w:r>
            <w:r w:rsidRPr="00000000" w:rsidDel="00000000" w:rsidR="00000000">
              <w:rPr>
                <w:rtl w:val="0"/>
              </w:rPr>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41">
            <w:pPr>
              <w:widowControl w:val="0"/>
              <w:spacing w:after="0" w:lineRule="auto"/>
              <w:jc w:val="both"/>
              <w:rPr/>
            </w:pPr>
            <w:r w:rsidRPr="00000000" w:rsidDel="00000000" w:rsidR="00000000">
              <w:rPr>
                <w:color w:val="000000"/>
                <w:rtl w:val="0"/>
              </w:rPr>
              <w:t xml:space="preserve">Systems / Vendors</w:t>
            </w:r>
            <w:r w:rsidRPr="00000000" w:rsidDel="00000000" w:rsidR="00000000">
              <w:rPr>
                <w:rtl w:val="0"/>
              </w:rPr>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42">
            <w:pPr>
              <w:spacing w:after="0" w:lineRule="auto"/>
              <w:jc w:val="both"/>
              <w:rPr>
                <w:color w:val="000000"/>
              </w:rPr>
            </w:pPr>
            <w:r w:rsidRPr="00000000" w:rsidDel="00000000" w:rsidR="00000000">
              <w:rPr>
                <w:color w:val="000000"/>
                <w:rtl w:val="0"/>
              </w:rPr>
              <w:t xml:space="preserve">In-House Rule Engine (IHRE) - Internal</w:t>
            </w:r>
          </w:p>
          <w:p w:rsidRPr="00000000" w:rsidR="00000000" w:rsidDel="00000000" w:rsidP="00000000" w:rsidRDefault="00000000" w14:paraId="00000143">
            <w:pPr>
              <w:spacing w:after="0" w:lineRule="auto"/>
              <w:jc w:val="both"/>
              <w:rPr>
                <w:color w:val="000000"/>
              </w:rPr>
            </w:pPr>
            <w:r w:rsidRPr="00000000" w:rsidDel="00000000" w:rsidR="00000000">
              <w:rPr>
                <w:color w:val="000000"/>
                <w:rtl w:val="0"/>
              </w:rPr>
              <w:t xml:space="preserve">360 Machine Learning Model - Internal</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44">
            <w:pPr>
              <w:spacing w:after="0" w:lineRule="auto"/>
              <w:jc w:val="both"/>
              <w:rPr/>
            </w:pPr>
            <w:r w:rsidRPr="00000000" w:rsidDel="00000000" w:rsidR="00000000">
              <w:rPr>
                <w:color w:val="000000"/>
                <w:rtl w:val="0"/>
              </w:rPr>
              <w:t xml:space="preserve">Transaction Type </w:t>
            </w:r>
            <w:r w:rsidRPr="00000000" w:rsidDel="00000000" w:rsidR="00000000">
              <w:rPr>
                <w:rtl w:val="0"/>
              </w:rPr>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145">
            <w:pPr>
              <w:widowControl w:val="0"/>
              <w:spacing w:after="0" w:lineRule="auto"/>
              <w:jc w:val="both"/>
              <w:rPr>
                <w:color w:val="000000"/>
              </w:rPr>
            </w:pPr>
            <w:r w:rsidRPr="00000000" w:rsidDel="00000000" w:rsidR="00000000">
              <w:rPr>
                <w:color w:val="000000"/>
                <w:rtl w:val="0"/>
              </w:rPr>
              <w:t xml:space="preserve">Crypto and Fiat Transactions</w:t>
            </w:r>
          </w:p>
        </w:tc>
      </w:tr>
    </w:tbl>
    <w:p w:rsidRPr="00000000" w:rsidR="00000000" w:rsidDel="00000000" w:rsidP="00000000" w:rsidRDefault="00000000" w14:paraId="00000146">
      <w:pPr>
        <w:spacing w:after="240" w:lineRule="auto"/>
        <w:jc w:val="both"/>
        <w:rPr>
          <w:color w:val="000000"/>
        </w:rPr>
      </w:pPr>
      <w:r w:rsidRPr="00000000" w:rsidDel="00000000" w:rsidR="00000000">
        <w:rPr>
          <w:rtl w:val="0"/>
        </w:rPr>
      </w:r>
    </w:p>
    <w:p w:rsidRPr="00000000" w:rsidR="00000000" w:rsidDel="00000000" w:rsidP="00000000" w:rsidRDefault="00000000" w14:paraId="00000147">
      <w:pPr>
        <w:numPr>
          <w:ilvl w:val="2"/>
          <w:numId w:val="25"/>
        </w:numPr>
        <w:spacing w:after="240" w:lineRule="auto"/>
        <w:ind w:left="720" w:hanging="720"/>
        <w:jc w:val="both"/>
        <w:rPr>
          <w:color w:val="000000"/>
        </w:rPr>
      </w:pPr>
      <w:bookmarkStart w:name="_heading=h.picwe1icg891" w:colFirst="0" w:colLast="0" w:id="32"/>
      <w:bookmarkEnd w:id="32"/>
      <w:r w:rsidRPr="00000000" w:rsidDel="00000000" w:rsidR="00000000">
        <w:rPr>
          <w:rtl w:val="0"/>
        </w:rPr>
        <w:t xml:space="preserve">Based on the rules and parameters set within the transaction monitoring system, an automated alert is generated that will require further investigation and analysis by the Analyst.</w:t>
      </w:r>
      <w:r w:rsidRPr="00000000" w:rsidDel="00000000" w:rsidR="00000000">
        <w:rPr>
          <w:rtl w:val="0"/>
        </w:rPr>
      </w:r>
    </w:p>
    <w:p w:rsidRPr="00000000" w:rsidR="00000000" w:rsidDel="00000000" w:rsidP="00000000" w:rsidRDefault="00000000" w14:paraId="00000148">
      <w:pPr>
        <w:pStyle w:val="Heading2"/>
        <w:numPr>
          <w:ilvl w:val="1"/>
          <w:numId w:val="25"/>
        </w:numPr>
        <w:spacing w:after="240" w:lineRule="auto"/>
        <w:ind w:left="720"/>
        <w:jc w:val="both"/>
        <w:rPr/>
      </w:pPr>
      <w:bookmarkStart w:name="_heading=h.rfb1fh5lh4fq" w:colFirst="0" w:colLast="0" w:id="33"/>
      <w:bookmarkEnd w:id="33"/>
      <w:r w:rsidRPr="00000000" w:rsidDel="00000000" w:rsidR="00000000">
        <w:rPr>
          <w:rFonts w:ascii="Arial" w:hAnsi="Arial" w:eastAsia="Arial" w:cs="Arial"/>
          <w:sz w:val="24"/>
          <w:szCs w:val="24"/>
          <w:rtl w:val="0"/>
        </w:rPr>
        <w:t xml:space="preserve">On-Chain Transaction Screening</w:t>
      </w:r>
    </w:p>
    <w:p w:rsidRPr="00000000" w:rsidR="00000000" w:rsidDel="00000000" w:rsidP="00000000" w:rsidRDefault="00000000" w14:paraId="00000149">
      <w:pPr>
        <w:numPr>
          <w:ilvl w:val="2"/>
          <w:numId w:val="25"/>
        </w:numPr>
        <w:spacing w:after="240" w:lineRule="auto"/>
        <w:ind w:left="720" w:hanging="720"/>
        <w:jc w:val="both"/>
        <w:rPr/>
      </w:pPr>
      <w:bookmarkStart w:name="_heading=h.qc326zscq1ub" w:colFirst="0" w:colLast="0" w:id="34"/>
      <w:bookmarkEnd w:id="34"/>
      <w:r w:rsidRPr="00000000" w:rsidDel="00000000" w:rsidR="00000000">
        <w:rPr>
          <w:rtl w:val="0"/>
        </w:rPr>
        <w:t xml:space="preserve">Binance Group has implemented and maintained adequate processes and systems </w:t>
      </w:r>
      <w:r w:rsidRPr="00000000" w:rsidDel="00000000" w:rsidR="00000000">
        <w:rPr>
          <w:rtl w:val="0"/>
        </w:rPr>
        <w:t xml:space="preserve">to screen </w:t>
      </w:r>
      <w:r w:rsidRPr="00000000" w:rsidDel="00000000" w:rsidR="00000000">
        <w:rPr>
          <w:rtl w:val="0"/>
        </w:rPr>
        <w:t xml:space="preserve">cryptocurrency addresses, and any other relevant identifiers to Transactions on a risk-based approach against internal/external watchlists, external vendor lists, and internally driven intelligence.  </w:t>
      </w:r>
    </w:p>
    <w:p w:rsidRPr="00000000" w:rsidR="00000000" w:rsidDel="00000000" w:rsidP="00000000" w:rsidRDefault="00000000" w14:paraId="0000014A">
      <w:pPr>
        <w:numPr>
          <w:ilvl w:val="2"/>
          <w:numId w:val="25"/>
        </w:numPr>
        <w:spacing w:after="240" w:lineRule="auto"/>
        <w:ind w:left="720" w:hanging="720"/>
        <w:jc w:val="both"/>
        <w:rPr/>
      </w:pPr>
      <w:bookmarkStart w:name="_heading=h.7dchoqpej2gs" w:colFirst="0" w:colLast="0" w:id="35"/>
      <w:bookmarkEnd w:id="35"/>
      <w:r w:rsidRPr="00000000" w:rsidDel="00000000" w:rsidR="00000000">
        <w:rPr>
          <w:rtl w:val="0"/>
        </w:rPr>
        <w:t xml:space="preserve">On-chain Transaction Screening, also known as Crypto Transaction Monitoring, is a system-driven, risk-based screening of incoming and outgoing crypto transactions. To monitor these transactions, Binance Group utilizes a combination of internal tools and external vendor services, which are integrated directly into the Binance Group’s backend system. These blockchain analytics solutions provide real-time screening results to identify potentially high-risk activities, facilitating timely action whenever appropriate. </w:t>
      </w:r>
    </w:p>
    <w:p w:rsidRPr="00000000" w:rsidR="00000000" w:rsidDel="00000000" w:rsidP="00000000" w:rsidRDefault="00000000" w14:paraId="0000014B">
      <w:pPr>
        <w:numPr>
          <w:ilvl w:val="2"/>
          <w:numId w:val="25"/>
        </w:numPr>
        <w:spacing w:after="240" w:lineRule="auto"/>
        <w:ind w:left="720" w:hanging="720"/>
        <w:jc w:val="both"/>
        <w:rPr>
          <w:color w:val="000000"/>
        </w:rPr>
      </w:pPr>
      <w:bookmarkStart w:name="_heading=h.c8wx3tkpbt8m" w:colFirst="0" w:colLast="0" w:id="36"/>
      <w:bookmarkEnd w:id="36"/>
      <w:r w:rsidRPr="00000000" w:rsidDel="00000000" w:rsidR="00000000">
        <w:rPr>
          <w:rtl w:val="0"/>
        </w:rPr>
        <w:t xml:space="preserve">Transaction Screening Vendors assign a risk rating to each transaction based on the developed risk rules. Binance’s In-House rule Engine (IHRE) generates a case alert on case management when a transaction meets our Rules threshold or conditions. Alerted information is stored indefinitely within Binance Global’s Amazon Web Service (AWS) cloud servers within the IHRE.</w:t>
      </w:r>
      <w:r w:rsidRPr="00000000" w:rsidDel="00000000" w:rsidR="00000000">
        <w:rPr>
          <w:rtl w:val="0"/>
        </w:rPr>
      </w:r>
    </w:p>
    <w:tbl>
      <w:tblPr>
        <w:tblStyle w:val="Table7"/>
        <w:tblW w:w="8205.0" w:type="dxa"/>
        <w:jc w:val="left"/>
        <w:tblInd w:w="84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280"/>
        <w:gridCol w:w="5925"/>
        <w:tblGridChange w:id="0">
          <w:tblGrid>
            <w:gridCol w:w="2280"/>
            <w:gridCol w:w="5925"/>
          </w:tblGrid>
        </w:tblGridChange>
      </w:tblGrid>
      <w:tr>
        <w:trPr>
          <w:cantSplit w:val="0"/>
          <w:trHeight w:val="420" w:hRule="atLeast"/>
          <w:tblHeader w:val="0"/>
        </w:trPr>
        <w:tc>
          <w:tcPr>
            <w:gridSpan w:val="2"/>
            <w:shd w:val="clear" w:fill="f7cbac"/>
            <w:tcMar>
              <w:top w:w="100.0" w:type="dxa"/>
              <w:left w:w="100.0" w:type="dxa"/>
              <w:bottom w:w="100.0" w:type="dxa"/>
              <w:right w:w="100.0" w:type="dxa"/>
            </w:tcMar>
          </w:tcPr>
          <w:p w:rsidRPr="00000000" w:rsidR="00000000" w:rsidDel="00000000" w:rsidP="00000000" w:rsidRDefault="00000000" w14:paraId="0000014C">
            <w:pPr>
              <w:jc w:val="both"/>
              <w:rPr>
                <w:b w:val="1"/>
                <w:bCs w:val="1"/>
              </w:rPr>
            </w:pPr>
            <w:r w:rsidRPr="00000000" w:rsidDel="00000000" w:rsidR="00000000">
              <w:rPr>
                <w:b w:val="1"/>
                <w:bCs w:val="1"/>
                <w:color w:val="000000"/>
                <w:rtl w:val="0"/>
              </w:rPr>
              <w:t xml:space="preserve">Transaction Screening (Onchain) </w:t>
            </w:r>
            <w:r w:rsidRPr="00000000" w:rsidDel="00000000" w:rsidR="00000000">
              <w:rPr>
                <w:rtl w:val="0"/>
              </w:rPr>
            </w:r>
          </w:p>
        </w:tc>
      </w:tr>
      <w:tr>
        <w:trPr>
          <w:cantSplit w:val="0"/>
          <w:tblHeader w:val="0"/>
        </w:trPr>
        <w:tc>
          <w:tcPr>
            <w:shd w:val="clear" w:fill="auto"/>
            <w:tcMar>
              <w:top w:w="100.0" w:type="dxa"/>
              <w:left w:w="100.0" w:type="dxa"/>
              <w:bottom w:w="100.0" w:type="dxa"/>
              <w:right w:w="100.0" w:type="dxa"/>
            </w:tcMar>
          </w:tcPr>
          <w:p w:rsidRPr="00000000" w:rsidR="00000000" w:rsidDel="00000000" w:rsidP="00000000" w:rsidRDefault="00000000" w14:paraId="0000014E">
            <w:pPr>
              <w:jc w:val="both"/>
              <w:rPr>
                <w:color w:val="000000"/>
              </w:rPr>
            </w:pPr>
            <w:r w:rsidRPr="00000000" w:rsidDel="00000000" w:rsidR="00000000">
              <w:rPr>
                <w:color w:val="000000"/>
                <w:rtl w:val="0"/>
              </w:rPr>
              <w:t xml:space="preserve">Systems / Vendors</w:t>
            </w:r>
          </w:p>
        </w:tc>
        <w:tc>
          <w:tcPr>
            <w:shd w:val="clear" w:fill="auto"/>
            <w:tcMar>
              <w:top w:w="100.0" w:type="dxa"/>
              <w:left w:w="100.0" w:type="dxa"/>
              <w:bottom w:w="100.0" w:type="dxa"/>
              <w:right w:w="100.0" w:type="dxa"/>
            </w:tcMar>
          </w:tcPr>
          <w:p w:rsidRPr="00000000" w:rsidR="00000000" w:rsidDel="00000000" w:rsidP="00000000" w:rsidRDefault="00000000" w14:paraId="0000014F">
            <w:pPr>
              <w:jc w:val="both"/>
              <w:rPr>
                <w:color w:val="000000"/>
              </w:rPr>
            </w:pPr>
            <w:hyperlink r:id="rId14">
              <w:r w:rsidRPr="00000000" w:rsidDel="00000000" w:rsidR="00000000">
                <w:rPr>
                  <w:color w:val="000000"/>
                  <w:u w:val="single"/>
                  <w:rtl w:val="0"/>
                </w:rPr>
                <w:t xml:space="preserve">Blocktracer</w:t>
              </w:r>
            </w:hyperlink>
            <w:r w:rsidRPr="00000000" w:rsidDel="00000000" w:rsidR="00000000">
              <w:rPr>
                <w:color w:val="000000"/>
                <w:rtl w:val="0"/>
              </w:rPr>
              <w:t xml:space="preserve"> – Internal (</w:t>
            </w:r>
            <w:hyperlink r:id="rId15">
              <w:r w:rsidRPr="00000000" w:rsidDel="00000000" w:rsidR="00000000">
                <w:rPr>
                  <w:color w:val="1155cc"/>
                  <w:u w:val="single"/>
                  <w:rtl w:val="0"/>
                </w:rPr>
                <w:t xml:space="preserve">Binance Okta</w:t>
              </w:r>
            </w:hyperlink>
            <w:r w:rsidRPr="00000000" w:rsidDel="00000000" w:rsidR="00000000">
              <w:rPr>
                <w:rtl w:val="0"/>
              </w:rPr>
              <w:t xml:space="preserve">)</w:t>
            </w:r>
            <w:r w:rsidRPr="00000000" w:rsidDel="00000000" w:rsidR="00000000">
              <w:rPr>
                <w:vertAlign w:val="superscript"/>
              </w:rPr>
              <w:footnoteReference w:customMarkFollows="0" w:id="0"/>
            </w:r>
            <w:r w:rsidRPr="00000000" w:rsidDel="00000000" w:rsidR="00000000">
              <w:rPr>
                <w:rtl w:val="0"/>
              </w:rPr>
            </w:r>
          </w:p>
          <w:p w:rsidRPr="00000000" w:rsidR="00000000" w:rsidDel="00000000" w:rsidP="00000000" w:rsidRDefault="00000000" w14:paraId="00000150">
            <w:pPr>
              <w:jc w:val="both"/>
              <w:rPr>
                <w:color w:val="000000"/>
              </w:rPr>
            </w:pPr>
            <w:hyperlink r:id="rId16">
              <w:r w:rsidRPr="00000000" w:rsidDel="00000000" w:rsidR="00000000">
                <w:rPr>
                  <w:color w:val="000000"/>
                  <w:u w:val="single"/>
                  <w:rtl w:val="0"/>
                </w:rPr>
                <w:t xml:space="preserve">Elliptic</w:t>
              </w:r>
            </w:hyperlink>
            <w:r w:rsidRPr="00000000" w:rsidDel="00000000" w:rsidR="00000000">
              <w:rPr>
                <w:color w:val="000000"/>
                <w:rtl w:val="0"/>
              </w:rPr>
              <w:t xml:space="preserve"> – External (</w:t>
            </w:r>
            <w:hyperlink r:id="rId17">
              <w:r w:rsidRPr="00000000" w:rsidDel="00000000" w:rsidR="00000000">
                <w:rPr>
                  <w:color w:val="1155cc"/>
                  <w:u w:val="single"/>
                  <w:rtl w:val="0"/>
                </w:rPr>
                <w:t xml:space="preserve">https://app.elliptic.co/auth/login</w:t>
              </w:r>
            </w:hyperlink>
            <w:r w:rsidRPr="00000000" w:rsidDel="00000000" w:rsidR="00000000">
              <w:rPr>
                <w:rtl w:val="0"/>
              </w:rPr>
              <w:t xml:space="preserve">)</w:t>
            </w:r>
            <w:r w:rsidRPr="00000000" w:rsidDel="00000000" w:rsidR="00000000">
              <w:rPr>
                <w:rtl w:val="0"/>
              </w:rPr>
            </w:r>
          </w:p>
          <w:p w:rsidRPr="00000000" w:rsidR="00000000" w:rsidDel="00000000" w:rsidP="00000000" w:rsidRDefault="00000000" w14:paraId="00000151">
            <w:pPr>
              <w:jc w:val="both"/>
              <w:rPr>
                <w:color w:val="000000"/>
              </w:rPr>
            </w:pPr>
            <w:r w:rsidRPr="00000000" w:rsidDel="00000000" w:rsidR="00000000">
              <w:rPr>
                <w:color w:val="000000"/>
                <w:rtl w:val="0"/>
              </w:rPr>
              <w:t xml:space="preserve">Chainalysis - where applicable (</w:t>
            </w:r>
            <w:hyperlink r:id="rId18">
              <w:r w:rsidRPr="00000000" w:rsidDel="00000000" w:rsidR="00000000">
                <w:rPr>
                  <w:color w:val="1155cc"/>
                  <w:u w:val="single"/>
                  <w:rtl w:val="0"/>
                </w:rPr>
                <w:t xml:space="preserve">Chainalysis</w:t>
              </w:r>
            </w:hyperlink>
            <w:r w:rsidRPr="00000000" w:rsidDel="00000000" w:rsidR="00000000">
              <w:rPr>
                <w:rtl w:val="0"/>
              </w:rPr>
              <w:t xml:space="preserve">)</w:t>
            </w:r>
            <w:r w:rsidRPr="00000000" w:rsidDel="00000000" w:rsidR="00000000">
              <w:rPr>
                <w:rtl w:val="0"/>
              </w:rPr>
            </w:r>
          </w:p>
        </w:tc>
      </w:tr>
      <w:tr>
        <w:trPr>
          <w:cantSplit w:val="0"/>
          <w:tblHeader w:val="0"/>
        </w:trPr>
        <w:tc>
          <w:tcPr>
            <w:shd w:val="clear" w:fill="auto"/>
            <w:tcMar>
              <w:top w:w="100.0" w:type="dxa"/>
              <w:left w:w="100.0" w:type="dxa"/>
              <w:bottom w:w="100.0" w:type="dxa"/>
              <w:right w:w="100.0" w:type="dxa"/>
            </w:tcMar>
          </w:tcPr>
          <w:p w:rsidRPr="00000000" w:rsidR="00000000" w:rsidDel="00000000" w:rsidP="00000000" w:rsidRDefault="00000000" w14:paraId="00000152">
            <w:pPr>
              <w:jc w:val="both"/>
              <w:rPr>
                <w:color w:val="000000"/>
              </w:rPr>
            </w:pPr>
            <w:r w:rsidRPr="00000000" w:rsidDel="00000000" w:rsidR="00000000">
              <w:rPr>
                <w:color w:val="000000"/>
                <w:rtl w:val="0"/>
              </w:rPr>
              <w:t xml:space="preserve">Transaction Type</w:t>
            </w:r>
          </w:p>
        </w:tc>
        <w:tc>
          <w:tcPr>
            <w:shd w:val="clear" w:fill="auto"/>
            <w:tcMar>
              <w:top w:w="100.0" w:type="dxa"/>
              <w:left w:w="100.0" w:type="dxa"/>
              <w:bottom w:w="100.0" w:type="dxa"/>
              <w:right w:w="100.0" w:type="dxa"/>
            </w:tcMar>
          </w:tcPr>
          <w:p w:rsidRPr="00000000" w:rsidR="00000000" w:rsidDel="00000000" w:rsidP="00000000" w:rsidRDefault="00000000" w14:paraId="00000153">
            <w:pPr>
              <w:jc w:val="both"/>
              <w:rPr>
                <w:color w:val="000000"/>
              </w:rPr>
            </w:pPr>
            <w:r w:rsidRPr="00000000" w:rsidDel="00000000" w:rsidR="00000000">
              <w:rPr>
                <w:color w:val="000000"/>
                <w:rtl w:val="0"/>
              </w:rPr>
              <w:t xml:space="preserve">Onchain Cryptocurrency Deposit &amp; Withdrawals</w:t>
            </w:r>
          </w:p>
        </w:tc>
      </w:tr>
    </w:tbl>
    <w:p w:rsidRPr="00000000" w:rsidR="00000000" w:rsidDel="00000000" w:rsidP="00000000" w:rsidRDefault="00000000" w14:paraId="00000154">
      <w:pPr>
        <w:spacing w:after="0" w:line="240" w:lineRule="auto"/>
        <w:jc w:val="both"/>
        <w:rPr/>
      </w:pPr>
      <w:bookmarkStart w:name="_heading=h.2uq9w7j87c9x" w:colFirst="0" w:colLast="0" w:id="37"/>
      <w:bookmarkEnd w:id="37"/>
      <w:r w:rsidRPr="00000000" w:rsidDel="00000000" w:rsidR="00000000">
        <w:rPr>
          <w:rtl w:val="0"/>
        </w:rPr>
      </w:r>
    </w:p>
    <w:p w:rsidRPr="00000000" w:rsidR="00000000" w:rsidDel="00000000" w:rsidP="00000000" w:rsidRDefault="00000000" w14:paraId="00000155">
      <w:pPr>
        <w:numPr>
          <w:ilvl w:val="2"/>
          <w:numId w:val="25"/>
        </w:numPr>
        <w:spacing w:after="240" w:lineRule="auto"/>
        <w:ind w:left="720" w:hanging="720"/>
        <w:jc w:val="both"/>
        <w:rPr/>
      </w:pPr>
      <w:bookmarkStart w:name="_heading=h.bd6gp5n5bels" w:colFirst="0" w:colLast="0" w:id="38"/>
      <w:bookmarkEnd w:id="38"/>
      <w:r w:rsidRPr="00000000" w:rsidDel="00000000" w:rsidR="00000000">
        <w:rPr>
          <w:rtl w:val="0"/>
        </w:rPr>
        <w:t xml:space="preserve">There are different methods of Transaction Screening:</w:t>
      </w:r>
    </w:p>
    <w:tbl>
      <w:tblPr>
        <w:tblStyle w:val="Table8"/>
        <w:tblW w:w="9015.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30"/>
        <w:gridCol w:w="1455"/>
        <w:gridCol w:w="6030"/>
        <w:tblGridChange w:id="0">
          <w:tblGrid>
            <w:gridCol w:w="1530"/>
            <w:gridCol w:w="1455"/>
            <w:gridCol w:w="6030"/>
          </w:tblGrid>
        </w:tblGridChange>
      </w:tblGrid>
      <w:tr>
        <w:trPr>
          <w:cantSplit w:val="0"/>
          <w:tblHeader w:val="0"/>
        </w:trPr>
        <w:tc>
          <w:tcPr>
            <w:gridSpan w:val="2"/>
            <w:shd w:val="clear" w:fill="f7cbac"/>
          </w:tcPr>
          <w:p w:rsidRPr="00000000" w:rsidR="00000000" w:rsidDel="00000000" w:rsidP="00000000" w:rsidRDefault="00000000" w14:paraId="00000156">
            <w:pPr>
              <w:spacing w:after="240" w:lineRule="auto"/>
              <w:rPr>
                <w:b w:val="1"/>
                <w:bCs w:val="1"/>
              </w:rPr>
            </w:pPr>
            <w:r w:rsidRPr="00000000" w:rsidDel="00000000" w:rsidR="00000000">
              <w:rPr>
                <w:b w:val="1"/>
                <w:bCs w:val="1"/>
                <w:rtl w:val="0"/>
              </w:rPr>
              <w:t xml:space="preserve">Type of Transaction Screening</w:t>
            </w:r>
          </w:p>
        </w:tc>
        <w:tc>
          <w:tcPr>
            <w:shd w:val="clear" w:fill="f7cbac"/>
          </w:tcPr>
          <w:p w:rsidRPr="00000000" w:rsidR="00000000" w:rsidDel="00000000" w:rsidP="00000000" w:rsidRDefault="00000000" w14:paraId="00000158">
            <w:pPr>
              <w:spacing w:after="240" w:lineRule="auto"/>
              <w:jc w:val="both"/>
              <w:rPr>
                <w:b w:val="1"/>
                <w:bCs w:val="1"/>
              </w:rPr>
            </w:pPr>
            <w:r w:rsidRPr="00000000" w:rsidDel="00000000" w:rsidR="00000000">
              <w:rPr>
                <w:b w:val="1"/>
                <w:bCs w:val="1"/>
                <w:rtl w:val="0"/>
              </w:rPr>
              <w:t xml:space="preserve">Explanation</w:t>
            </w:r>
          </w:p>
        </w:tc>
      </w:tr>
      <w:tr>
        <w:trPr>
          <w:cantSplit w:val="0"/>
          <w:tblHeader w:val="0"/>
        </w:trPr>
        <w:tc>
          <w:tcPr>
            <w:vMerge w:val="restart"/>
            <w:shd w:val="clear" w:fill="auto"/>
          </w:tcPr>
          <w:p w:rsidRPr="00000000" w:rsidR="00000000" w:rsidDel="00000000" w:rsidP="00000000" w:rsidRDefault="00000000" w14:paraId="00000159">
            <w:pPr>
              <w:spacing w:after="0" w:line="276" w:lineRule="auto"/>
              <w:jc w:val="both"/>
              <w:rPr>
                <w:b w:val="1"/>
                <w:bCs w:val="1"/>
              </w:rPr>
            </w:pPr>
            <w:bookmarkStart w:name="_heading=h.a1ni3wlspfp1" w:colFirst="0" w:colLast="0" w:id="39"/>
            <w:bookmarkEnd w:id="39"/>
            <w:r w:rsidRPr="00000000" w:rsidDel="00000000" w:rsidR="00000000">
              <w:rPr>
                <w:b w:val="1"/>
                <w:bCs w:val="1"/>
                <w:rtl w:val="0"/>
              </w:rPr>
              <w:t xml:space="preserve">Directional Transaction Screening</w:t>
            </w:r>
          </w:p>
        </w:tc>
        <w:tc>
          <w:tcPr>
            <w:shd w:val="clear" w:fill="auto"/>
          </w:tcPr>
          <w:p w:rsidRPr="00000000" w:rsidR="00000000" w:rsidDel="00000000" w:rsidP="00000000" w:rsidRDefault="00000000" w14:paraId="0000015A">
            <w:pPr>
              <w:spacing w:after="0" w:line="276" w:lineRule="auto"/>
              <w:jc w:val="both"/>
              <w:rPr/>
            </w:pPr>
            <w:bookmarkStart w:name="_heading=h.uweyn120c5bj" w:colFirst="0" w:colLast="0" w:id="40"/>
            <w:bookmarkEnd w:id="40"/>
            <w:r w:rsidRPr="00000000" w:rsidDel="00000000" w:rsidR="00000000">
              <w:rPr>
                <w:rtl w:val="0"/>
              </w:rPr>
              <w:t xml:space="preserve">Wallet Screening</w:t>
            </w:r>
          </w:p>
        </w:tc>
        <w:tc>
          <w:tcPr/>
          <w:p w:rsidRPr="00000000" w:rsidR="00000000" w:rsidDel="00000000" w:rsidP="00000000" w:rsidRDefault="00000000" w14:paraId="0000015B">
            <w:pPr>
              <w:spacing w:after="0" w:line="276" w:lineRule="auto"/>
              <w:jc w:val="both"/>
              <w:rPr/>
            </w:pPr>
            <w:bookmarkStart w:name="_heading=h.duk9swz0hnpt" w:colFirst="0" w:colLast="0" w:id="41"/>
            <w:bookmarkEnd w:id="41"/>
            <w:r w:rsidRPr="00000000" w:rsidDel="00000000" w:rsidR="00000000">
              <w:rPr>
                <w:rtl w:val="0"/>
              </w:rPr>
              <w:t xml:space="preserve">Also referred to as “Live Screening”, this is a process prior to the execution of a withdrawal transaction, the outgoing destination address is pre-screened using wallet address screening as a preliminary assessment for withdrawal activities. </w:t>
            </w:r>
          </w:p>
        </w:tc>
      </w:tr>
      <w:tr>
        <w:trPr>
          <w:cantSplit w:val="0"/>
          <w:tblHeader w:val="0"/>
        </w:trPr>
        <w:tc>
          <w:tcPr>
            <w:vMerge w:val="continue"/>
            <w:shd w:val="clear" w:fill="auto"/>
          </w:tcPr>
          <w:p w:rsidRPr="00000000" w:rsidR="00000000" w:rsidDel="00000000" w:rsidP="00000000" w:rsidRDefault="00000000" w14:paraId="0000015C">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shd w:val="clear" w:fill="auto"/>
          </w:tcPr>
          <w:p w:rsidRPr="00000000" w:rsidR="00000000" w:rsidDel="00000000" w:rsidP="00000000" w:rsidRDefault="00000000" w14:paraId="0000015D">
            <w:pPr>
              <w:spacing w:after="0" w:line="276" w:lineRule="auto"/>
              <w:jc w:val="both"/>
              <w:rPr/>
            </w:pPr>
            <w:bookmarkStart w:name="_heading=h.yklf7altag3h" w:colFirst="0" w:colLast="0" w:id="42"/>
            <w:bookmarkEnd w:id="42"/>
            <w:r w:rsidRPr="00000000" w:rsidDel="00000000" w:rsidR="00000000">
              <w:rPr>
                <w:rtl w:val="0"/>
              </w:rPr>
              <w:t xml:space="preserve">Transaction Screening</w:t>
            </w:r>
          </w:p>
        </w:tc>
        <w:tc>
          <w:tcPr>
            <w:shd w:val="clear" w:fill="auto"/>
          </w:tcPr>
          <w:p w:rsidRPr="00000000" w:rsidR="00000000" w:rsidDel="00000000" w:rsidP="00000000" w:rsidRDefault="00000000" w14:paraId="0000015E">
            <w:pPr>
              <w:spacing w:after="0" w:line="276" w:lineRule="auto"/>
              <w:jc w:val="both"/>
              <w:rPr/>
            </w:pPr>
            <w:bookmarkStart w:name="_heading=h.q59kfrb70y17" w:colFirst="0" w:colLast="0" w:id="43"/>
            <w:bookmarkEnd w:id="43"/>
            <w:r w:rsidRPr="00000000" w:rsidDel="00000000" w:rsidR="00000000">
              <w:rPr>
                <w:rtl w:val="0"/>
              </w:rPr>
              <w:t xml:space="preserve">Also referred to as “Post Screening”, this is a process which assesses the risk of the transaction after it has been executed on the blockchain. </w:t>
            </w:r>
          </w:p>
        </w:tc>
      </w:tr>
      <w:tr>
        <w:trPr>
          <w:cantSplit w:val="0"/>
          <w:tblHeader w:val="0"/>
        </w:trPr>
        <w:tc>
          <w:tcPr>
            <w:vMerge w:val="restart"/>
            <w:shd w:val="clear" w:fill="auto"/>
          </w:tcPr>
          <w:p w:rsidRPr="00000000" w:rsidR="00000000" w:rsidDel="00000000" w:rsidP="00000000" w:rsidRDefault="00000000" w14:paraId="0000015F">
            <w:pPr>
              <w:spacing w:after="0" w:line="276" w:lineRule="auto"/>
              <w:jc w:val="both"/>
              <w:rPr>
                <w:b w:val="1"/>
                <w:bCs w:val="1"/>
              </w:rPr>
            </w:pPr>
            <w:bookmarkStart w:name="_heading=h.w2i3asqs3vff" w:colFirst="0" w:colLast="0" w:id="44"/>
            <w:bookmarkEnd w:id="44"/>
            <w:r w:rsidRPr="00000000" w:rsidDel="00000000" w:rsidR="00000000">
              <w:rPr>
                <w:b w:val="1"/>
                <w:bCs w:val="1"/>
                <w:rtl w:val="0"/>
              </w:rPr>
              <w:t xml:space="preserve">Event Type Transaction Screening</w:t>
            </w:r>
          </w:p>
        </w:tc>
        <w:tc>
          <w:tcPr>
            <w:shd w:val="clear" w:fill="auto"/>
          </w:tcPr>
          <w:p w:rsidRPr="00000000" w:rsidR="00000000" w:rsidDel="00000000" w:rsidP="00000000" w:rsidRDefault="00000000" w14:paraId="00000160">
            <w:pPr>
              <w:spacing w:after="0" w:line="276" w:lineRule="auto"/>
              <w:jc w:val="both"/>
              <w:rPr/>
            </w:pPr>
            <w:bookmarkStart w:name="_heading=h.zh1zsphnmglc" w:colFirst="0" w:colLast="0" w:id="45"/>
            <w:bookmarkEnd w:id="45"/>
            <w:r w:rsidRPr="00000000" w:rsidDel="00000000" w:rsidR="00000000">
              <w:rPr>
                <w:rtl w:val="0"/>
              </w:rPr>
              <w:t xml:space="preserve">Real-time Screening</w:t>
            </w:r>
          </w:p>
        </w:tc>
        <w:tc>
          <w:tcPr>
            <w:shd w:val="clear" w:fill="auto"/>
          </w:tcPr>
          <w:p w:rsidRPr="00000000" w:rsidR="00000000" w:rsidDel="00000000" w:rsidP="00000000" w:rsidRDefault="00000000" w14:paraId="00000161">
            <w:pPr>
              <w:spacing w:after="0" w:line="276" w:lineRule="auto"/>
              <w:jc w:val="both"/>
              <w:rPr/>
            </w:pPr>
            <w:bookmarkStart w:name="_heading=h.xsfetpmw9fow" w:colFirst="0" w:colLast="0" w:id="46"/>
            <w:bookmarkEnd w:id="46"/>
            <w:r w:rsidRPr="00000000" w:rsidDel="00000000" w:rsidR="00000000">
              <w:rPr>
                <w:rtl w:val="0"/>
              </w:rPr>
              <w:t xml:space="preserve">This is a monitoring of transactions as they occur in real-time. These transactions are screened against respective address databases of Blocktracer and Elliptic based on the identification at the time of transaction.</w:t>
            </w:r>
          </w:p>
        </w:tc>
      </w:tr>
      <w:tr>
        <w:trPr>
          <w:cantSplit w:val="0"/>
          <w:tblHeader w:val="0"/>
        </w:trPr>
        <w:tc>
          <w:tcPr>
            <w:vMerge w:val="continue"/>
            <w:shd w:val="clear" w:fill="auto"/>
          </w:tcPr>
          <w:p w:rsidRPr="00000000" w:rsidR="00000000" w:rsidDel="00000000" w:rsidP="00000000" w:rsidRDefault="00000000" w14:paraId="00000162">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shd w:val="clear" w:fill="auto"/>
          </w:tcPr>
          <w:p w:rsidRPr="00000000" w:rsidR="00000000" w:rsidDel="00000000" w:rsidP="00000000" w:rsidRDefault="00000000" w14:paraId="00000163">
            <w:pPr>
              <w:spacing w:after="0" w:line="276" w:lineRule="auto"/>
              <w:jc w:val="both"/>
              <w:rPr/>
            </w:pPr>
            <w:bookmarkStart w:name="_heading=h.yzdscbc5moad" w:colFirst="0" w:colLast="0" w:id="47"/>
            <w:bookmarkEnd w:id="47"/>
            <w:r w:rsidRPr="00000000" w:rsidDel="00000000" w:rsidR="00000000">
              <w:rPr>
                <w:rtl w:val="0"/>
              </w:rPr>
              <w:t xml:space="preserve">Rescreening</w:t>
            </w:r>
          </w:p>
        </w:tc>
        <w:tc>
          <w:tcPr>
            <w:shd w:val="clear" w:fill="auto"/>
          </w:tcPr>
          <w:p w:rsidRPr="00000000" w:rsidR="00000000" w:rsidDel="00000000" w:rsidP="00000000" w:rsidRDefault="00000000" w14:paraId="00000164">
            <w:pPr>
              <w:spacing w:after="0" w:line="276" w:lineRule="auto"/>
              <w:jc w:val="both"/>
              <w:rPr/>
            </w:pPr>
            <w:bookmarkStart w:name="_heading=h.uyyknv9hr0q9" w:colFirst="0" w:colLast="0" w:id="48"/>
            <w:bookmarkEnd w:id="48"/>
            <w:r w:rsidRPr="00000000" w:rsidDel="00000000" w:rsidR="00000000">
              <w:rPr>
                <w:rtl w:val="0"/>
              </w:rPr>
              <w:t xml:space="preserve">This is a periodic rescreening of past transactions with the vendor's latest risk intelligence that may change due to new transactional data, emerging risks, or changes in regulatory lists. This ensures that any previously undetected risks or changes are identified and escalated as required. Transactions are rescreened on Day 30, Day 60, and Day 120.</w:t>
            </w:r>
          </w:p>
        </w:tc>
      </w:tr>
    </w:tbl>
    <w:p w:rsidRPr="00000000" w:rsidR="00000000" w:rsidDel="00000000" w:rsidP="00000000" w:rsidRDefault="00000000" w14:paraId="00000165">
      <w:pPr>
        <w:numPr>
          <w:ilvl w:val="2"/>
          <w:numId w:val="25"/>
        </w:numPr>
        <w:spacing w:before="200" w:after="240" w:lineRule="auto"/>
        <w:ind w:left="720" w:hanging="720"/>
        <w:jc w:val="both"/>
        <w:rPr/>
      </w:pPr>
      <w:bookmarkStart w:name="_heading=h.6kvdmmfgckno" w:colFirst="0" w:colLast="0" w:id="49"/>
      <w:bookmarkEnd w:id="49"/>
      <w:r w:rsidRPr="00000000" w:rsidDel="00000000" w:rsidR="00000000">
        <w:rPr>
          <w:rtl w:val="0"/>
        </w:rPr>
        <w:t xml:space="preserve">The flowchart below provides a breakdown of Binance Group’s KYT tools integration. These tools are integrated into our transaction process through API connections, allowing real-time screening and analysis of transactions</w:t>
      </w:r>
    </w:p>
    <w:p w:rsidRPr="00000000" w:rsidR="00000000" w:rsidDel="00000000" w:rsidP="00000000" w:rsidRDefault="00000000" w14:paraId="00000166">
      <w:pPr>
        <w:spacing w:after="0" w:lineRule="auto"/>
        <w:ind w:left="-810" w:firstLine="0"/>
        <w:rPr/>
      </w:pPr>
      <w:r w:rsidRPr="00000000" w:rsidDel="00000000" w:rsidR="00000000">
        <w:rPr/>
        <w:drawing>
          <wp:inline distT="114300" distB="114300" distL="114300" distR="114300">
            <wp:extent cx="6680594" cy="2216159"/>
            <wp:effectExtent l="12700" t="12700" r="12700" b="12700"/>
            <wp:docPr id="15" name="image3.png"/>
            <a:graphic>
              <a:graphicData uri="http://schemas.openxmlformats.org/drawingml/2006/picture">
                <pic:pic>
                  <pic:nvPicPr>
                    <pic:cNvPr id="0" name="image3.png"/>
                    <pic:cNvPicPr preferRelativeResize="0"/>
                  </pic:nvPicPr>
                  <pic:blipFill>
                    <a:blip r:embed="rId19"/>
                    <a:srcRect l="0" t="0" r="0" b="0"/>
                    <a:stretch>
                      <a:fillRect/>
                    </a:stretch>
                  </pic:blipFill>
                  <pic:spPr>
                    <a:xfrm>
                      <a:off x="0" y="0"/>
                      <a:ext cx="6680594" cy="2216159"/>
                    </a:xfrm>
                    <a:prstGeom prst="rect"/>
                    <a:ln w="12700">
                      <a:solidFill>
                        <a:srgbClr val="D9D9D9"/>
                      </a:solidFill>
                      <a:prstDash val="solid"/>
                    </a:ln>
                  </pic:spPr>
                </pic:pic>
              </a:graphicData>
            </a:graphic>
          </wp:inline>
        </w:drawing>
      </w:r>
      <w:r w:rsidRPr="00000000" w:rsidDel="00000000" w:rsidR="00000000">
        <w:rPr>
          <w:rtl w:val="0"/>
        </w:rPr>
      </w:r>
    </w:p>
    <w:p w:rsidRPr="00000000" w:rsidR="00000000" w:rsidDel="00000000" w:rsidP="00000000" w:rsidRDefault="00000000" w14:paraId="00000167">
      <w:pPr>
        <w:spacing w:after="0" w:lineRule="auto"/>
        <w:ind w:left="-810" w:firstLine="0"/>
        <w:rPr/>
      </w:pPr>
      <w:r w:rsidRPr="00000000" w:rsidDel="00000000" w:rsidR="00000000">
        <w:rPr>
          <w:rtl w:val="0"/>
        </w:rPr>
      </w:r>
    </w:p>
    <w:p w:rsidRPr="00000000" w:rsidR="00000000" w:rsidDel="00000000" w:rsidP="00000000" w:rsidRDefault="00000000" w14:paraId="00000168">
      <w:pPr>
        <w:pStyle w:val="Heading2"/>
        <w:numPr>
          <w:ilvl w:val="1"/>
          <w:numId w:val="25"/>
        </w:numPr>
        <w:rPr/>
      </w:pPr>
      <w:bookmarkStart w:name="_heading=h.1o0cup3mbohx" w:colFirst="0" w:colLast="0" w:id="50"/>
      <w:bookmarkEnd w:id="50"/>
      <w:r w:rsidRPr="00000000" w:rsidDel="00000000" w:rsidR="00000000">
        <w:rPr>
          <w:rFonts w:ascii="Arial" w:hAnsi="Arial" w:eastAsia="Arial" w:cs="Arial"/>
          <w:sz w:val="24"/>
          <w:szCs w:val="24"/>
          <w:rtl w:val="0"/>
        </w:rPr>
        <w:t xml:space="preserve">L1 to L3 Transaction Monitoring, Screening and Investigations Workflow</w:t>
      </w:r>
    </w:p>
    <w:p w:rsidRPr="00000000" w:rsidR="00000000" w:rsidDel="00000000" w:rsidP="00000000" w:rsidRDefault="00000000" w14:paraId="00000169">
      <w:pPr>
        <w:numPr>
          <w:ilvl w:val="2"/>
          <w:numId w:val="25"/>
        </w:numPr>
        <w:spacing w:after="240" w:lineRule="auto"/>
        <w:ind w:left="720" w:hanging="720"/>
        <w:jc w:val="both"/>
        <w:rPr/>
      </w:pPr>
      <w:bookmarkStart w:name="_heading=h.rjb5z3plk0ls" w:colFirst="0" w:colLast="0" w:id="51"/>
      <w:bookmarkEnd w:id="51"/>
      <w:r w:rsidRPr="00000000" w:rsidDel="00000000" w:rsidR="00000000">
        <w:rPr>
          <w:rtl w:val="0"/>
        </w:rPr>
        <w:t xml:space="preserve">Consistent with global AML/CFT requirements and expectations, Binance’s AML Program monitors users’ transactions as a control to detect and prevent the risk of ML, Proliferation Financing, Sanctions Violations, and TF. As a result, multiple lines of defense have been established to effectively prevent and mitigate the risks of ML and TF. </w:t>
      </w:r>
    </w:p>
    <w:p w:rsidRPr="00000000" w:rsidR="00000000" w:rsidDel="00000000" w:rsidP="00000000" w:rsidRDefault="00000000" w14:paraId="0000016A">
      <w:pPr>
        <w:numPr>
          <w:ilvl w:val="2"/>
          <w:numId w:val="25"/>
        </w:numPr>
        <w:spacing w:after="240" w:lineRule="auto"/>
        <w:ind w:left="720" w:hanging="720"/>
        <w:jc w:val="both"/>
        <w:rPr/>
      </w:pPr>
      <w:bookmarkStart w:name="_heading=h.70lu41swue5r" w:colFirst="0" w:colLast="0" w:id="52"/>
      <w:bookmarkEnd w:id="52"/>
      <w:r w:rsidRPr="00000000" w:rsidDel="00000000" w:rsidR="00000000">
        <w:rPr>
          <w:rtl w:val="0"/>
        </w:rPr>
        <w:t xml:space="preserve">Analysts are responsible for reviewing the triggered alerts from the monitoring system (Elliptic/Blocktracer, IHRE) in the backend system (CTM Taskpool/FTM CMT). The following process outlines the general L1 to L3 transaction monitoring and investigations process. </w:t>
      </w:r>
      <w:r w:rsidRPr="00000000" w:rsidDel="00000000" w:rsidR="00000000">
        <w:rPr>
          <w:rtl w:val="0"/>
        </w:rPr>
        <w:t xml:space="preserve">Analyst</w:t>
      </w:r>
      <w:r w:rsidRPr="00000000" w:rsidDel="00000000" w:rsidR="00000000">
        <w:rPr>
          <w:rtl w:val="0"/>
        </w:rPr>
        <w:t xml:space="preserve"> should also follow the </w:t>
      </w:r>
      <w:hyperlink r:id="rId20">
        <w:r w:rsidRPr="00000000" w:rsidDel="00000000" w:rsidR="00000000">
          <w:rPr>
            <w:color w:val="1155cc"/>
            <w:u w:val="single"/>
            <w:rtl w:val="0"/>
          </w:rPr>
          <w:t xml:space="preserve">applicable local policies and procedures</w:t>
        </w:r>
      </w:hyperlink>
      <w:r w:rsidRPr="00000000" w:rsidDel="00000000" w:rsidR="00000000">
        <w:rPr>
          <w:rtl w:val="0"/>
        </w:rPr>
        <w:t xml:space="preserve"> as required. </w:t>
      </w:r>
    </w:p>
    <w:tbl>
      <w:tblPr>
        <w:tblStyle w:val="Table9"/>
        <w:tblW w:w="901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155"/>
        <w:gridCol w:w="6861"/>
        <w:tblGridChange w:id="0">
          <w:tblGrid>
            <w:gridCol w:w="2155"/>
            <w:gridCol w:w="6861"/>
          </w:tblGrid>
        </w:tblGridChange>
      </w:tblGrid>
      <w:tr>
        <w:trPr>
          <w:cantSplit w:val="0"/>
          <w:trHeight w:val="402.978515625" w:hRule="atLeast"/>
          <w:tblHeader w:val="0"/>
        </w:trPr>
        <w:tc>
          <w:tcPr>
            <w:gridSpan w:val="2"/>
            <w:shd w:val="clear" w:fill="f4b083"/>
          </w:tcPr>
          <w:p w:rsidRPr="00000000" w:rsidR="00000000" w:rsidDel="00000000" w:rsidP="00000000" w:rsidRDefault="00000000" w14:paraId="0000016B">
            <w:pPr>
              <w:widowControl w:val="0"/>
              <w:jc w:val="both"/>
              <w:rPr>
                <w:b w:val="1"/>
                <w:bCs w:val="1"/>
              </w:rPr>
            </w:pPr>
            <w:bookmarkStart w:name="_heading=h.1cnzb8b5rivs" w:colFirst="0" w:colLast="0" w:id="53"/>
            <w:bookmarkEnd w:id="53"/>
            <w:r w:rsidRPr="00000000" w:rsidDel="00000000" w:rsidR="00000000">
              <w:rPr>
                <w:b w:val="1"/>
                <w:bCs w:val="1"/>
                <w:rtl w:val="0"/>
              </w:rPr>
              <w:t xml:space="preserve">L1 Transaction Monitoring and Screening</w:t>
            </w:r>
          </w:p>
        </w:tc>
      </w:tr>
      <w:tr>
        <w:trPr>
          <w:cantSplit w:val="0"/>
          <w:tblHeader w:val="0"/>
        </w:trPr>
        <w:tc>
          <w:tcPr>
            <w:shd w:val="clear" w:fill="fbe5d5"/>
          </w:tcPr>
          <w:p w:rsidRPr="00000000" w:rsidR="00000000" w:rsidDel="00000000" w:rsidP="00000000" w:rsidRDefault="00000000" w14:paraId="0000016D">
            <w:pPr>
              <w:keepNext w:val="0"/>
              <w:keepLines w:val="0"/>
              <w:pageBreakBefore w:val="0"/>
              <w:widowControl w:val="1"/>
              <w:numPr>
                <w:ilvl w:val="0"/>
                <w:numId w:val="27"/>
              </w:numPr>
              <w:pBdr>
                <w:top w:val="nil" w:sz="0" w:space="0"/>
                <w:left w:val="nil" w:sz="0" w:space="0"/>
                <w:bottom w:val="nil" w:sz="0" w:space="0"/>
                <w:right w:val="nil" w:sz="0" w:space="0"/>
                <w:between w:val="nil" w:sz="0" w:space="0"/>
              </w:pBdr>
              <w:shd w:val="clear" w:fill="auto"/>
              <w:spacing w:before="0" w:after="200" w:line="276" w:lineRule="auto"/>
              <w:ind w:left="360" w:right="0" w:hanging="360"/>
              <w:jc w:val="left"/>
              <w:rPr>
                <w:b w:val="1"/>
                <w:bCs w:val="1"/>
                <w:i w:val="0"/>
                <w:iCs w:val="0"/>
                <w:smallCaps w:val="0"/>
                <w:strike w:val="0"/>
                <w:color w:val="000000"/>
                <w:sz w:val="22"/>
                <w:szCs w:val="22"/>
                <w:shd w:val="clear" w:fill="auto"/>
                <w:vertAlign w:val="baseline"/>
              </w:rPr>
            </w:pPr>
            <w:bookmarkStart w:name="_heading=h.5b0z9w6r73i1" w:colFirst="0" w:colLast="0" w:id="54"/>
            <w:bookmarkEnd w:id="54"/>
            <w:r w:rsidRPr="00000000" w:rsidDel="00000000" w:rsidR="00000000">
              <w:rPr>
                <w:b w:val="1"/>
                <w:bCs w:val="1"/>
                <w:i w:val="0"/>
                <w:iCs w:val="0"/>
                <w:smallCaps w:val="0"/>
                <w:strike w:val="0"/>
                <w:color w:val="000000"/>
                <w:sz w:val="22"/>
                <w:szCs w:val="22"/>
                <w:u w:val="none"/>
                <w:shd w:val="clear" w:fill="auto"/>
                <w:vertAlign w:val="baseline"/>
                <w:rtl w:val="0"/>
              </w:rPr>
              <w:t xml:space="preserve">Prioritizing and assigning alerts/cases</w:t>
            </w:r>
          </w:p>
        </w:tc>
        <w:tc>
          <w:tcPr>
            <w:shd w:val="clear" w:fill="fbe5d5"/>
          </w:tcPr>
          <w:p w:rsidRPr="00000000" w:rsidR="00000000" w:rsidDel="00000000" w:rsidP="00000000" w:rsidRDefault="00000000" w14:paraId="0000016E">
            <w:pPr>
              <w:spacing w:line="276" w:lineRule="auto"/>
              <w:jc w:val="both"/>
              <w:rPr/>
            </w:pPr>
            <w:bookmarkStart w:name="_heading=h.r4xeaoib8cxn" w:colFirst="0" w:colLast="0" w:id="55"/>
            <w:bookmarkEnd w:id="55"/>
            <w:r w:rsidRPr="00000000" w:rsidDel="00000000" w:rsidR="00000000">
              <w:rPr>
                <w:rtl w:val="0"/>
              </w:rPr>
              <w:t xml:space="preserve">Generally, cases are </w:t>
            </w:r>
            <w:r w:rsidRPr="00000000" w:rsidDel="00000000" w:rsidR="00000000">
              <w:rPr>
                <w:rtl w:val="0"/>
              </w:rPr>
              <w:t xml:space="preserve">prioritised</w:t>
            </w:r>
            <w:r w:rsidRPr="00000000" w:rsidDel="00000000" w:rsidR="00000000">
              <w:rPr>
                <w:rtl w:val="0"/>
              </w:rPr>
              <w:t xml:space="preserve"> by auto-assignment function in the following risk-based order:</w:t>
            </w:r>
          </w:p>
          <w:p w:rsidRPr="00000000" w:rsidR="00000000" w:rsidDel="00000000" w:rsidP="00000000" w:rsidRDefault="00000000" w14:paraId="0000016F">
            <w:pPr>
              <w:keepNext w:val="0"/>
              <w:keepLines w:val="0"/>
              <w:pageBreakBefore w:val="0"/>
              <w:widowControl w:val="0"/>
              <w:numPr>
                <w:ilvl w:val="0"/>
                <w:numId w:val="26"/>
              </w:numPr>
              <w:pBdr>
                <w:top w:val="nil" w:sz="0" w:space="0"/>
                <w:left w:val="nil" w:sz="0" w:space="0"/>
                <w:bottom w:val="nil" w:sz="0" w:space="0"/>
                <w:right w:val="nil" w:sz="0" w:space="0"/>
                <w:between w:val="nil" w:sz="0" w:space="0"/>
              </w:pBdr>
              <w:shd w:val="clear" w:fill="auto"/>
              <w:spacing w:before="0" w:after="0" w:line="276" w:lineRule="auto"/>
              <w:ind w:left="720" w:right="0" w:hanging="360"/>
              <w:jc w:val="both"/>
              <w:rPr>
                <w:rFonts w:ascii="Arial" w:hAnsi="Arial" w:eastAsia="Arial" w:cs="Arial"/>
                <w:i w:val="0"/>
                <w:iCs w:val="0"/>
                <w:smallCaps w:val="0"/>
                <w:strike w:val="0"/>
                <w:color w:val="000000"/>
                <w:sz w:val="22"/>
                <w:szCs w:val="22"/>
                <w:shd w:val="clear" w:fill="auto"/>
                <w:vertAlign w:val="baseline"/>
              </w:rPr>
            </w:pPr>
            <w:bookmarkStart w:name="_heading=h.vkl4t4fik1n2" w:colFirst="0" w:colLast="0" w:id="56"/>
            <w:bookmarkEnd w:id="56"/>
            <w:r w:rsidRPr="00000000" w:rsidDel="00000000" w:rsidR="00000000">
              <w:rPr>
                <w:i w:val="0"/>
                <w:iCs w:val="0"/>
                <w:smallCaps w:val="0"/>
                <w:strike w:val="0"/>
                <w:color w:val="000000"/>
                <w:sz w:val="22"/>
                <w:szCs w:val="22"/>
                <w:u w:val="none"/>
                <w:shd w:val="clear" w:fill="auto"/>
                <w:vertAlign w:val="baseline"/>
                <w:rtl w:val="0"/>
              </w:rPr>
              <w:t xml:space="preserve">Licensed Jurisdictions Alerts (as detailed under the MLRO Escalation Requirements Matrix);</w:t>
            </w:r>
          </w:p>
          <w:p w:rsidRPr="00000000" w:rsidR="00000000" w:rsidDel="00000000" w:rsidP="00000000" w:rsidRDefault="00000000" w14:paraId="00000170">
            <w:pPr>
              <w:keepNext w:val="0"/>
              <w:keepLines w:val="0"/>
              <w:pageBreakBefore w:val="0"/>
              <w:widowControl w:val="1"/>
              <w:numPr>
                <w:ilvl w:val="0"/>
                <w:numId w:val="26"/>
              </w:numPr>
              <w:pBdr>
                <w:top w:val="nil" w:sz="0" w:space="0"/>
                <w:left w:val="nil" w:sz="0" w:space="0"/>
                <w:bottom w:val="nil" w:sz="0" w:space="0"/>
                <w:right w:val="nil" w:sz="0" w:space="0"/>
                <w:between w:val="nil" w:sz="0" w:space="0"/>
              </w:pBdr>
              <w:shd w:val="clear" w:fill="auto"/>
              <w:spacing w:before="0" w:after="0" w:line="276" w:lineRule="auto"/>
              <w:ind w:left="720" w:right="0" w:hanging="360"/>
              <w:jc w:val="both"/>
              <w:rPr>
                <w:rFonts w:ascii="Arial" w:hAnsi="Arial" w:eastAsia="Arial" w:cs="Arial"/>
                <w:i w:val="0"/>
                <w:iCs w:val="0"/>
                <w:smallCaps w:val="0"/>
                <w:strike w:val="0"/>
                <w:color w:val="000000"/>
                <w:sz w:val="22"/>
                <w:szCs w:val="22"/>
                <w:shd w:val="clear" w:fill="auto"/>
                <w:vertAlign w:val="baseline"/>
              </w:rPr>
            </w:pPr>
            <w:bookmarkStart w:name="_heading=h.axu09pl4xkbs" w:colFirst="0" w:colLast="0" w:id="57"/>
            <w:bookmarkEnd w:id="57"/>
            <w:r w:rsidRPr="00000000" w:rsidDel="00000000" w:rsidR="00000000">
              <w:rPr>
                <w:i w:val="0"/>
                <w:iCs w:val="0"/>
                <w:smallCaps w:val="0"/>
                <w:strike w:val="0"/>
                <w:color w:val="000000"/>
                <w:sz w:val="22"/>
                <w:szCs w:val="22"/>
                <w:u w:val="none"/>
                <w:shd w:val="clear" w:fill="auto"/>
                <w:vertAlign w:val="baseline"/>
                <w:rtl w:val="0"/>
              </w:rPr>
              <w:t xml:space="preserve">Age of alerts;</w:t>
            </w:r>
          </w:p>
          <w:p w:rsidRPr="00000000" w:rsidR="00000000" w:rsidDel="00000000" w:rsidP="00000000" w:rsidRDefault="00000000" w14:paraId="00000171">
            <w:pPr>
              <w:keepNext w:val="0"/>
              <w:keepLines w:val="0"/>
              <w:pageBreakBefore w:val="0"/>
              <w:widowControl w:val="1"/>
              <w:numPr>
                <w:ilvl w:val="0"/>
                <w:numId w:val="26"/>
              </w:numPr>
              <w:pBdr>
                <w:top w:val="nil" w:sz="0" w:space="0"/>
                <w:left w:val="nil" w:sz="0" w:space="0"/>
                <w:bottom w:val="nil" w:sz="0" w:space="0"/>
                <w:right w:val="nil" w:sz="0" w:space="0"/>
                <w:between w:val="nil" w:sz="0" w:space="0"/>
              </w:pBdr>
              <w:shd w:val="clear" w:fill="auto"/>
              <w:spacing w:before="0" w:after="0" w:line="276" w:lineRule="auto"/>
              <w:ind w:left="720" w:right="0" w:hanging="360"/>
              <w:jc w:val="both"/>
              <w:rPr>
                <w:rFonts w:ascii="Arial" w:hAnsi="Arial" w:eastAsia="Arial" w:cs="Arial"/>
                <w:i w:val="0"/>
                <w:iCs w:val="0"/>
                <w:smallCaps w:val="0"/>
                <w:strike w:val="0"/>
                <w:color w:val="000000"/>
                <w:sz w:val="22"/>
                <w:szCs w:val="22"/>
                <w:shd w:val="clear" w:fill="auto"/>
                <w:vertAlign w:val="baseline"/>
              </w:rPr>
            </w:pPr>
            <w:bookmarkStart w:name="_heading=h.wcvvd25picjc" w:colFirst="0" w:colLast="0" w:id="58"/>
            <w:bookmarkEnd w:id="58"/>
            <w:r w:rsidRPr="00000000" w:rsidDel="00000000" w:rsidR="00000000">
              <w:rPr>
                <w:i w:val="0"/>
                <w:iCs w:val="0"/>
                <w:smallCaps w:val="0"/>
                <w:strike w:val="0"/>
                <w:color w:val="000000"/>
                <w:sz w:val="22"/>
                <w:szCs w:val="22"/>
                <w:u w:val="none"/>
                <w:shd w:val="clear" w:fill="auto"/>
                <w:vertAlign w:val="baseline"/>
                <w:rtl w:val="0"/>
              </w:rPr>
              <w:t xml:space="preserve">Number of alerts;</w:t>
            </w:r>
          </w:p>
          <w:p w:rsidRPr="00000000" w:rsidR="00000000" w:rsidDel="00000000" w:rsidP="00000000" w:rsidRDefault="00000000" w14:paraId="00000172">
            <w:pPr>
              <w:keepNext w:val="0"/>
              <w:keepLines w:val="0"/>
              <w:pageBreakBefore w:val="0"/>
              <w:widowControl w:val="1"/>
              <w:numPr>
                <w:ilvl w:val="0"/>
                <w:numId w:val="26"/>
              </w:numPr>
              <w:pBdr>
                <w:top w:val="nil" w:sz="0" w:space="0"/>
                <w:left w:val="nil" w:sz="0" w:space="0"/>
                <w:bottom w:val="nil" w:sz="0" w:space="0"/>
                <w:right w:val="nil" w:sz="0" w:space="0"/>
                <w:between w:val="nil" w:sz="0" w:space="0"/>
              </w:pBdr>
              <w:shd w:val="clear" w:fill="auto"/>
              <w:spacing w:before="0" w:after="0" w:line="276" w:lineRule="auto"/>
              <w:ind w:left="720" w:right="0" w:hanging="360"/>
              <w:jc w:val="both"/>
              <w:rPr>
                <w:rFonts w:ascii="Arial" w:hAnsi="Arial" w:eastAsia="Arial" w:cs="Arial"/>
                <w:i w:val="0"/>
                <w:iCs w:val="0"/>
                <w:smallCaps w:val="0"/>
                <w:strike w:val="0"/>
                <w:color w:val="000000"/>
                <w:sz w:val="22"/>
                <w:szCs w:val="22"/>
                <w:shd w:val="clear" w:fill="auto"/>
                <w:vertAlign w:val="baseline"/>
              </w:rPr>
            </w:pPr>
            <w:bookmarkStart w:name="_heading=h.m8x9ykf8foz1" w:colFirst="0" w:colLast="0" w:id="59"/>
            <w:bookmarkEnd w:id="59"/>
            <w:r w:rsidRPr="00000000" w:rsidDel="00000000" w:rsidR="00000000">
              <w:rPr>
                <w:i w:val="0"/>
                <w:iCs w:val="0"/>
                <w:smallCaps w:val="0"/>
                <w:strike w:val="0"/>
                <w:color w:val="000000"/>
                <w:sz w:val="22"/>
                <w:szCs w:val="22"/>
                <w:u w:val="none"/>
                <w:shd w:val="clear" w:fill="auto"/>
                <w:vertAlign w:val="baseline"/>
                <w:rtl w:val="0"/>
              </w:rPr>
              <w:t xml:space="preserve">VIP 3 and above;</w:t>
            </w:r>
          </w:p>
          <w:p w:rsidRPr="00000000" w:rsidR="00000000" w:rsidDel="00000000" w:rsidP="00000000" w:rsidRDefault="00000000" w14:paraId="00000173">
            <w:pPr>
              <w:keepNext w:val="0"/>
              <w:keepLines w:val="0"/>
              <w:pageBreakBefore w:val="0"/>
              <w:widowControl w:val="1"/>
              <w:numPr>
                <w:ilvl w:val="0"/>
                <w:numId w:val="26"/>
              </w:numPr>
              <w:pBdr>
                <w:top w:val="nil" w:sz="0" w:space="0"/>
                <w:left w:val="nil" w:sz="0" w:space="0"/>
                <w:bottom w:val="nil" w:sz="0" w:space="0"/>
                <w:right w:val="nil" w:sz="0" w:space="0"/>
                <w:between w:val="nil" w:sz="0" w:space="0"/>
              </w:pBdr>
              <w:shd w:val="clear" w:fill="auto"/>
              <w:spacing w:before="0" w:after="0" w:line="276" w:lineRule="auto"/>
              <w:ind w:left="720" w:right="0" w:hanging="360"/>
              <w:jc w:val="both"/>
              <w:rPr>
                <w:rFonts w:ascii="Arial" w:hAnsi="Arial" w:eastAsia="Arial" w:cs="Arial"/>
                <w:i w:val="0"/>
                <w:iCs w:val="0"/>
                <w:smallCaps w:val="0"/>
                <w:strike w:val="0"/>
                <w:color w:val="000000"/>
                <w:sz w:val="22"/>
                <w:szCs w:val="22"/>
                <w:shd w:val="clear" w:fill="auto"/>
                <w:vertAlign w:val="baseline"/>
              </w:rPr>
            </w:pPr>
            <w:bookmarkStart w:name="_heading=h.mvjolz44bwo2" w:colFirst="0" w:colLast="0" w:id="60"/>
            <w:bookmarkEnd w:id="60"/>
            <w:r w:rsidRPr="00000000" w:rsidDel="00000000" w:rsidR="00000000">
              <w:rPr>
                <w:i w:val="0"/>
                <w:iCs w:val="0"/>
                <w:smallCaps w:val="0"/>
                <w:strike w:val="0"/>
                <w:color w:val="000000"/>
                <w:sz w:val="22"/>
                <w:szCs w:val="22"/>
                <w:u w:val="none"/>
                <w:shd w:val="clear" w:fill="auto"/>
                <w:vertAlign w:val="baseline"/>
                <w:rtl w:val="0"/>
              </w:rPr>
              <w:t xml:space="preserve">Entity Type (Corporate);</w:t>
            </w:r>
          </w:p>
          <w:p w:rsidRPr="00000000" w:rsidR="00000000" w:rsidDel="00000000" w:rsidP="00000000" w:rsidRDefault="00000000" w14:paraId="00000174">
            <w:pPr>
              <w:keepNext w:val="0"/>
              <w:keepLines w:val="0"/>
              <w:pageBreakBefore w:val="0"/>
              <w:widowControl w:val="1"/>
              <w:numPr>
                <w:ilvl w:val="0"/>
                <w:numId w:val="26"/>
              </w:numPr>
              <w:pBdr>
                <w:top w:val="nil" w:sz="0" w:space="0"/>
                <w:left w:val="nil" w:sz="0" w:space="0"/>
                <w:bottom w:val="nil" w:sz="0" w:space="0"/>
                <w:right w:val="nil" w:sz="0" w:space="0"/>
                <w:between w:val="nil" w:sz="0" w:space="0"/>
              </w:pBdr>
              <w:shd w:val="clear" w:fill="auto"/>
              <w:spacing w:before="0" w:after="0" w:line="276" w:lineRule="auto"/>
              <w:ind w:left="720" w:right="0" w:hanging="360"/>
              <w:jc w:val="both"/>
              <w:rPr>
                <w:rFonts w:ascii="Arial" w:hAnsi="Arial" w:eastAsia="Arial" w:cs="Arial"/>
                <w:i w:val="0"/>
                <w:iCs w:val="0"/>
                <w:smallCaps w:val="0"/>
                <w:strike w:val="0"/>
                <w:color w:val="000000"/>
                <w:sz w:val="22"/>
                <w:szCs w:val="22"/>
                <w:shd w:val="clear" w:fill="auto"/>
                <w:vertAlign w:val="baseline"/>
              </w:rPr>
            </w:pPr>
            <w:bookmarkStart w:name="_heading=h.sk9z2e2338uy" w:colFirst="0" w:colLast="0" w:id="61"/>
            <w:bookmarkEnd w:id="61"/>
            <w:r w:rsidRPr="00000000" w:rsidDel="00000000" w:rsidR="00000000">
              <w:rPr>
                <w:i w:val="0"/>
                <w:iCs w:val="0"/>
                <w:smallCaps w:val="0"/>
                <w:strike w:val="0"/>
                <w:color w:val="000000"/>
                <w:sz w:val="22"/>
                <w:szCs w:val="22"/>
                <w:u w:val="none"/>
                <w:shd w:val="clear" w:fill="auto"/>
                <w:vertAlign w:val="baseline"/>
                <w:rtl w:val="0"/>
              </w:rPr>
              <w:t xml:space="preserve">Entity Type (Retail);</w:t>
            </w:r>
          </w:p>
          <w:p w:rsidRPr="00000000" w:rsidR="00000000" w:rsidDel="00000000" w:rsidP="00000000" w:rsidRDefault="00000000" w14:paraId="00000175">
            <w:pPr>
              <w:keepNext w:val="0"/>
              <w:keepLines w:val="0"/>
              <w:pageBreakBefore w:val="0"/>
              <w:widowControl w:val="1"/>
              <w:numPr>
                <w:ilvl w:val="0"/>
                <w:numId w:val="26"/>
              </w:numPr>
              <w:pBdr>
                <w:top w:val="nil" w:sz="0" w:space="0"/>
                <w:left w:val="nil" w:sz="0" w:space="0"/>
                <w:bottom w:val="nil" w:sz="0" w:space="0"/>
                <w:right w:val="nil" w:sz="0" w:space="0"/>
                <w:between w:val="nil" w:sz="0" w:space="0"/>
              </w:pBdr>
              <w:shd w:val="clear" w:fill="auto"/>
              <w:spacing w:before="0" w:after="0" w:line="276" w:lineRule="auto"/>
              <w:ind w:left="720" w:right="0" w:hanging="360"/>
              <w:jc w:val="both"/>
              <w:rPr>
                <w:rFonts w:ascii="Arial" w:hAnsi="Arial" w:eastAsia="Arial" w:cs="Arial"/>
                <w:i w:val="0"/>
                <w:iCs w:val="0"/>
                <w:smallCaps w:val="0"/>
                <w:strike w:val="0"/>
                <w:color w:val="000000"/>
                <w:sz w:val="22"/>
                <w:szCs w:val="22"/>
                <w:shd w:val="clear" w:fill="auto"/>
                <w:vertAlign w:val="baseline"/>
              </w:rPr>
            </w:pPr>
            <w:bookmarkStart w:name="_heading=h.jy3b5lea4y77" w:colFirst="0" w:colLast="0" w:id="62"/>
            <w:bookmarkEnd w:id="62"/>
            <w:r w:rsidRPr="00000000" w:rsidDel="00000000" w:rsidR="00000000">
              <w:rPr>
                <w:i w:val="0"/>
                <w:iCs w:val="0"/>
                <w:smallCaps w:val="0"/>
                <w:strike w:val="0"/>
                <w:color w:val="000000"/>
                <w:sz w:val="22"/>
                <w:szCs w:val="22"/>
                <w:u w:val="none"/>
                <w:shd w:val="clear" w:fill="auto"/>
                <w:vertAlign w:val="baseline"/>
                <w:rtl w:val="0"/>
              </w:rPr>
              <w:t xml:space="preserve">Unlicensed Jurisdictions; and</w:t>
            </w:r>
          </w:p>
          <w:p w:rsidRPr="00000000" w:rsidR="00000000" w:rsidDel="00000000" w:rsidP="00000000" w:rsidRDefault="00000000" w14:paraId="00000176">
            <w:pPr>
              <w:keepNext w:val="0"/>
              <w:keepLines w:val="0"/>
              <w:pageBreakBefore w:val="0"/>
              <w:widowControl w:val="1"/>
              <w:numPr>
                <w:ilvl w:val="0"/>
                <w:numId w:val="26"/>
              </w:numPr>
              <w:pBdr>
                <w:top w:val="nil" w:sz="0" w:space="0"/>
                <w:left w:val="nil" w:sz="0" w:space="0"/>
                <w:bottom w:val="nil" w:sz="0" w:space="0"/>
                <w:right w:val="nil" w:sz="0" w:space="0"/>
                <w:between w:val="nil" w:sz="0" w:space="0"/>
              </w:pBdr>
              <w:shd w:val="clear" w:fill="auto"/>
              <w:spacing w:before="0" w:after="100" w:line="276" w:lineRule="auto"/>
              <w:ind w:left="720" w:right="0" w:hanging="360"/>
              <w:jc w:val="both"/>
              <w:rPr>
                <w:rFonts w:ascii="Arial" w:hAnsi="Arial" w:eastAsia="Arial" w:cs="Arial"/>
                <w:i w:val="0"/>
                <w:iCs w:val="0"/>
                <w:smallCaps w:val="0"/>
                <w:strike w:val="0"/>
                <w:color w:val="000000"/>
                <w:sz w:val="22"/>
                <w:szCs w:val="22"/>
                <w:shd w:val="clear" w:fill="auto"/>
                <w:vertAlign w:val="baseline"/>
              </w:rPr>
            </w:pPr>
            <w:bookmarkStart w:name="_heading=h.a97yx6jhtuw3" w:colFirst="0" w:colLast="0" w:id="63"/>
            <w:bookmarkEnd w:id="63"/>
            <w:r w:rsidRPr="00000000" w:rsidDel="00000000" w:rsidR="00000000">
              <w:rPr>
                <w:i w:val="0"/>
                <w:iCs w:val="0"/>
                <w:smallCaps w:val="0"/>
                <w:strike w:val="0"/>
                <w:color w:val="000000"/>
                <w:sz w:val="22"/>
                <w:szCs w:val="22"/>
                <w:u w:val="none"/>
                <w:shd w:val="clear" w:fill="auto"/>
                <w:vertAlign w:val="baseline"/>
                <w:rtl w:val="0"/>
              </w:rPr>
              <w:t xml:space="preserve">VIP 0 – 2.</w:t>
            </w:r>
          </w:p>
          <w:p w:rsidRPr="00000000" w:rsidR="00000000" w:rsidDel="00000000" w:rsidP="00000000" w:rsidRDefault="00000000" w14:paraId="00000177">
            <w:pPr>
              <w:spacing w:line="276" w:lineRule="auto"/>
              <w:jc w:val="both"/>
              <w:rPr/>
            </w:pPr>
            <w:bookmarkStart w:name="_heading=h.fptuikrcb44r" w:colFirst="0" w:colLast="0" w:id="64"/>
            <w:bookmarkEnd w:id="64"/>
            <w:r w:rsidRPr="00000000" w:rsidDel="00000000" w:rsidR="00000000">
              <w:rPr>
                <w:rtl w:val="0"/>
              </w:rPr>
              <w:t xml:space="preserve">Cases are then assigned to Analysts. Once the Analyst receives assigned cases, he/she should search for any currently open cases.  Analysts should search the case management system for any open cases associated with the subject – all open cases on the same subject should be linked/merged where possible.  The objective of this step is to avoid duplicative reviews being done on the same subject. and ensure the case review is holistic. If there is an open case(s) for the subject that is currently being worked by TM Operations the new case must be linked with the older open case. </w:t>
            </w:r>
          </w:p>
          <w:p w:rsidRPr="00000000" w:rsidR="00000000" w:rsidDel="00000000" w:rsidP="00000000" w:rsidRDefault="00000000" w14:paraId="00000178">
            <w:pPr>
              <w:spacing w:line="276" w:lineRule="auto"/>
              <w:jc w:val="both"/>
              <w:rPr/>
            </w:pPr>
            <w:bookmarkStart w:name="_heading=h.4y3kcc22vngk" w:colFirst="0" w:colLast="0" w:id="65"/>
            <w:bookmarkEnd w:id="65"/>
            <w:r w:rsidRPr="00000000" w:rsidDel="00000000" w:rsidR="00000000">
              <w:rPr>
                <w:rtl w:val="0"/>
              </w:rPr>
            </w:r>
          </w:p>
        </w:tc>
      </w:tr>
      <w:tr>
        <w:trPr>
          <w:cantSplit w:val="0"/>
          <w:tblHeader w:val="0"/>
        </w:trPr>
        <w:tc>
          <w:tcPr>
            <w:shd w:val="clear" w:fill="fbe5d5"/>
          </w:tcPr>
          <w:p w:rsidRPr="00000000" w:rsidR="00000000" w:rsidDel="00000000" w:rsidP="00000000" w:rsidRDefault="00000000" w14:paraId="00000179">
            <w:pPr>
              <w:keepNext w:val="0"/>
              <w:keepLines w:val="0"/>
              <w:pageBreakBefore w:val="0"/>
              <w:widowControl w:val="1"/>
              <w:numPr>
                <w:ilvl w:val="0"/>
                <w:numId w:val="27"/>
              </w:numPr>
              <w:pBdr>
                <w:top w:val="nil" w:sz="0" w:space="0"/>
                <w:left w:val="nil" w:sz="0" w:space="0"/>
                <w:bottom w:val="nil" w:sz="0" w:space="0"/>
                <w:right w:val="nil" w:sz="0" w:space="0"/>
                <w:between w:val="nil" w:sz="0" w:space="0"/>
              </w:pBdr>
              <w:shd w:val="clear" w:fill="auto"/>
              <w:spacing w:before="0" w:after="200" w:line="276" w:lineRule="auto"/>
              <w:ind w:left="360" w:right="0" w:hanging="360"/>
              <w:jc w:val="left"/>
              <w:rPr>
                <w:b w:val="1"/>
                <w:bCs w:val="1"/>
                <w:i w:val="0"/>
                <w:iCs w:val="0"/>
                <w:smallCaps w:val="0"/>
                <w:strike w:val="0"/>
                <w:color w:val="000000"/>
                <w:sz w:val="22"/>
                <w:szCs w:val="22"/>
                <w:shd w:val="clear" w:fill="auto"/>
                <w:vertAlign w:val="baseline"/>
              </w:rPr>
            </w:pPr>
            <w:bookmarkStart w:name="_heading=h.aefge2hezzk" w:colFirst="0" w:colLast="0" w:id="66"/>
            <w:bookmarkEnd w:id="66"/>
            <w:r w:rsidRPr="00000000" w:rsidDel="00000000" w:rsidR="00000000">
              <w:rPr>
                <w:b w:val="1"/>
                <w:bCs w:val="1"/>
                <w:i w:val="0"/>
                <w:iCs w:val="0"/>
                <w:smallCaps w:val="0"/>
                <w:strike w:val="0"/>
                <w:color w:val="000000"/>
                <w:sz w:val="22"/>
                <w:szCs w:val="22"/>
                <w:u w:val="none"/>
                <w:shd w:val="clear" w:fill="auto"/>
                <w:vertAlign w:val="baseline"/>
                <w:rtl w:val="0"/>
              </w:rPr>
              <w:t xml:space="preserve">Analyst Case Summary (ACS)</w:t>
            </w:r>
          </w:p>
        </w:tc>
        <w:tc>
          <w:tcPr>
            <w:shd w:val="clear" w:fill="fbe5d5"/>
          </w:tcPr>
          <w:p w:rsidRPr="00000000" w:rsidR="00000000" w:rsidDel="00000000" w:rsidP="00000000" w:rsidRDefault="00000000" w14:paraId="0000017A">
            <w:pPr>
              <w:spacing w:line="276" w:lineRule="auto"/>
              <w:jc w:val="both"/>
              <w:rPr/>
            </w:pPr>
            <w:bookmarkStart w:name="_heading=h.4f6l7jos3x" w:colFirst="0" w:colLast="0" w:id="67"/>
            <w:bookmarkEnd w:id="67"/>
            <w:r w:rsidRPr="00000000" w:rsidDel="00000000" w:rsidR="00000000">
              <w:rPr>
                <w:rtl w:val="0"/>
              </w:rPr>
              <w:t xml:space="preserve">ACS is a standardized document consolidating Off-chain TM case review narrative, transactional analysis, findings and summary, completed by Off-chain TM Analyst and attached to the concluded case. ACS validates the outcome of the alert and primarily utilises internal system data sources and external sources available to establish whether the alerted activity is in line with the subject’s expected behaviour or presents potential risks of unusual activity. </w:t>
            </w:r>
          </w:p>
          <w:p w:rsidRPr="00000000" w:rsidR="00000000" w:rsidDel="00000000" w:rsidP="00000000" w:rsidRDefault="00000000" w14:paraId="0000017B">
            <w:pPr>
              <w:spacing w:line="276" w:lineRule="auto"/>
              <w:jc w:val="both"/>
              <w:rPr>
                <w:sz w:val="10"/>
                <w:szCs w:val="10"/>
              </w:rPr>
            </w:pPr>
            <w:r w:rsidRPr="00000000" w:rsidDel="00000000" w:rsidR="00000000">
              <w:rPr>
                <w:rtl w:val="0"/>
              </w:rPr>
            </w:r>
          </w:p>
          <w:p w:rsidRPr="00000000" w:rsidR="00000000" w:rsidDel="00000000" w:rsidP="00000000" w:rsidRDefault="00000000" w14:paraId="0000017C">
            <w:pPr>
              <w:spacing w:line="276" w:lineRule="auto"/>
              <w:jc w:val="both"/>
              <w:rPr/>
            </w:pPr>
            <w:bookmarkStart w:name="_heading=h.lfwly9o2932y" w:colFirst="0" w:colLast="0" w:id="68"/>
            <w:bookmarkEnd w:id="68"/>
            <w:r w:rsidRPr="00000000" w:rsidDel="00000000" w:rsidR="00000000">
              <w:rPr>
                <w:rtl w:val="0"/>
              </w:rPr>
              <w:t xml:space="preserve">The ACS consists of the following sections:</w:t>
            </w:r>
          </w:p>
          <w:p w:rsidRPr="00000000" w:rsidR="00000000" w:rsidDel="00000000" w:rsidP="00000000" w:rsidRDefault="00000000" w14:paraId="0000017D">
            <w:pPr>
              <w:keepNext w:val="0"/>
              <w:keepLines w:val="0"/>
              <w:pageBreakBefore w:val="0"/>
              <w:widowControl w:val="1"/>
              <w:numPr>
                <w:ilvl w:val="0"/>
                <w:numId w:val="26"/>
              </w:numPr>
              <w:pBdr>
                <w:top w:val="nil" w:sz="0" w:space="0"/>
                <w:left w:val="nil" w:sz="0" w:space="0"/>
                <w:bottom w:val="nil" w:sz="0" w:space="0"/>
                <w:right w:val="nil" w:sz="0" w:space="0"/>
                <w:between w:val="nil" w:sz="0" w:space="0"/>
              </w:pBdr>
              <w:shd w:val="clear" w:fill="auto"/>
              <w:spacing w:before="0" w:after="0" w:line="276" w:lineRule="auto"/>
              <w:ind w:left="720" w:right="0" w:hanging="360"/>
              <w:jc w:val="both"/>
              <w:rPr>
                <w:rFonts w:ascii="Arial" w:hAnsi="Arial" w:eastAsia="Arial" w:cs="Arial"/>
                <w:i w:val="0"/>
                <w:iCs w:val="0"/>
                <w:smallCaps w:val="0"/>
                <w:strike w:val="0"/>
                <w:color w:val="000000"/>
                <w:sz w:val="22"/>
                <w:szCs w:val="22"/>
                <w:shd w:val="clear" w:fill="auto"/>
                <w:vertAlign w:val="baseline"/>
              </w:rPr>
            </w:pPr>
            <w:bookmarkStart w:name="_heading=h.e4wq4wo14o5" w:colFirst="0" w:colLast="0" w:id="69"/>
            <w:bookmarkEnd w:id="69"/>
            <w:r w:rsidRPr="00000000" w:rsidDel="00000000" w:rsidR="00000000">
              <w:rPr>
                <w:i w:val="0"/>
                <w:iCs w:val="0"/>
                <w:smallCaps w:val="0"/>
                <w:strike w:val="0"/>
                <w:color w:val="000000"/>
                <w:sz w:val="22"/>
                <w:szCs w:val="22"/>
                <w:u w:val="none"/>
                <w:shd w:val="clear" w:fill="auto"/>
                <w:vertAlign w:val="baseline"/>
                <w:rtl w:val="0"/>
              </w:rPr>
              <w:t xml:space="preserve">Understand Your Customer(s);</w:t>
            </w:r>
          </w:p>
          <w:p w:rsidRPr="00000000" w:rsidR="00000000" w:rsidDel="00000000" w:rsidP="00000000" w:rsidRDefault="00000000" w14:paraId="0000017E">
            <w:pPr>
              <w:keepNext w:val="0"/>
              <w:keepLines w:val="0"/>
              <w:pageBreakBefore w:val="0"/>
              <w:widowControl w:val="1"/>
              <w:numPr>
                <w:ilvl w:val="0"/>
                <w:numId w:val="26"/>
              </w:numPr>
              <w:pBdr>
                <w:top w:val="nil" w:sz="0" w:space="0"/>
                <w:left w:val="nil" w:sz="0" w:space="0"/>
                <w:bottom w:val="nil" w:sz="0" w:space="0"/>
                <w:right w:val="nil" w:sz="0" w:space="0"/>
                <w:between w:val="nil" w:sz="0" w:space="0"/>
              </w:pBdr>
              <w:shd w:val="clear" w:fill="auto"/>
              <w:spacing w:before="0" w:after="0" w:line="276" w:lineRule="auto"/>
              <w:ind w:left="720" w:right="0" w:hanging="360"/>
              <w:jc w:val="both"/>
              <w:rPr>
                <w:rFonts w:ascii="Arial" w:hAnsi="Arial" w:eastAsia="Arial" w:cs="Arial"/>
                <w:i w:val="0"/>
                <w:iCs w:val="0"/>
                <w:smallCaps w:val="0"/>
                <w:strike w:val="0"/>
                <w:color w:val="000000"/>
                <w:sz w:val="22"/>
                <w:szCs w:val="22"/>
                <w:shd w:val="clear" w:fill="auto"/>
                <w:vertAlign w:val="baseline"/>
              </w:rPr>
            </w:pPr>
            <w:bookmarkStart w:name="_heading=h.c2c6wc45zcsm" w:colFirst="0" w:colLast="0" w:id="70"/>
            <w:bookmarkEnd w:id="70"/>
            <w:r w:rsidRPr="00000000" w:rsidDel="00000000" w:rsidR="00000000">
              <w:rPr>
                <w:i w:val="0"/>
                <w:iCs w:val="0"/>
                <w:smallCaps w:val="0"/>
                <w:strike w:val="0"/>
                <w:color w:val="000000"/>
                <w:sz w:val="22"/>
                <w:szCs w:val="22"/>
                <w:u w:val="none"/>
                <w:shd w:val="clear" w:fill="auto"/>
                <w:vertAlign w:val="baseline"/>
                <w:rtl w:val="0"/>
              </w:rPr>
              <w:t xml:space="preserve">The Trigger Event;</w:t>
            </w:r>
          </w:p>
          <w:p w:rsidRPr="00000000" w:rsidR="00000000" w:rsidDel="00000000" w:rsidP="00000000" w:rsidRDefault="00000000" w14:paraId="0000017F">
            <w:pPr>
              <w:keepNext w:val="0"/>
              <w:keepLines w:val="0"/>
              <w:pageBreakBefore w:val="0"/>
              <w:widowControl w:val="1"/>
              <w:numPr>
                <w:ilvl w:val="0"/>
                <w:numId w:val="26"/>
              </w:numPr>
              <w:pBdr>
                <w:top w:val="nil" w:sz="0" w:space="0"/>
                <w:left w:val="nil" w:sz="0" w:space="0"/>
                <w:bottom w:val="nil" w:sz="0" w:space="0"/>
                <w:right w:val="nil" w:sz="0" w:space="0"/>
                <w:between w:val="nil" w:sz="0" w:space="0"/>
              </w:pBdr>
              <w:shd w:val="clear" w:fill="auto"/>
              <w:spacing w:before="0" w:after="0" w:line="276" w:lineRule="auto"/>
              <w:ind w:left="720" w:right="0" w:hanging="360"/>
              <w:jc w:val="both"/>
              <w:rPr>
                <w:rFonts w:ascii="Arial" w:hAnsi="Arial" w:eastAsia="Arial" w:cs="Arial"/>
                <w:i w:val="0"/>
                <w:iCs w:val="0"/>
                <w:smallCaps w:val="0"/>
                <w:strike w:val="0"/>
                <w:color w:val="000000"/>
                <w:sz w:val="22"/>
                <w:szCs w:val="22"/>
                <w:shd w:val="clear" w:fill="auto"/>
                <w:vertAlign w:val="baseline"/>
              </w:rPr>
            </w:pPr>
            <w:bookmarkStart w:name="_heading=h.j5cczl2jatln" w:colFirst="0" w:colLast="0" w:id="71"/>
            <w:bookmarkEnd w:id="71"/>
            <w:r w:rsidRPr="00000000" w:rsidDel="00000000" w:rsidR="00000000">
              <w:rPr>
                <w:i w:val="0"/>
                <w:iCs w:val="0"/>
                <w:smallCaps w:val="0"/>
                <w:strike w:val="0"/>
                <w:color w:val="000000"/>
                <w:sz w:val="22"/>
                <w:szCs w:val="22"/>
                <w:u w:val="none"/>
                <w:shd w:val="clear" w:fill="auto"/>
                <w:vertAlign w:val="baseline"/>
                <w:rtl w:val="0"/>
              </w:rPr>
              <w:t xml:space="preserve">Why The Alert(s) Raised; and</w:t>
            </w:r>
          </w:p>
          <w:p w:rsidRPr="00000000" w:rsidR="00000000" w:rsidDel="00000000" w:rsidP="00000000" w:rsidRDefault="00000000" w14:paraId="00000180">
            <w:pPr>
              <w:keepNext w:val="0"/>
              <w:keepLines w:val="0"/>
              <w:pageBreakBefore w:val="0"/>
              <w:widowControl w:val="1"/>
              <w:numPr>
                <w:ilvl w:val="0"/>
                <w:numId w:val="26"/>
              </w:numPr>
              <w:pBdr>
                <w:top w:val="nil" w:sz="0" w:space="0"/>
                <w:left w:val="nil" w:sz="0" w:space="0"/>
                <w:bottom w:val="nil" w:sz="0" w:space="0"/>
                <w:right w:val="nil" w:sz="0" w:space="0"/>
                <w:between w:val="nil" w:sz="0" w:space="0"/>
              </w:pBdr>
              <w:shd w:val="clear" w:fill="auto"/>
              <w:spacing w:before="0" w:after="100" w:line="276" w:lineRule="auto"/>
              <w:ind w:left="720" w:right="0" w:hanging="360"/>
              <w:jc w:val="both"/>
              <w:rPr>
                <w:rFonts w:ascii="Arial" w:hAnsi="Arial" w:eastAsia="Arial" w:cs="Arial"/>
                <w:i w:val="0"/>
                <w:iCs w:val="0"/>
                <w:smallCaps w:val="0"/>
                <w:strike w:val="0"/>
                <w:color w:val="000000"/>
                <w:sz w:val="22"/>
                <w:szCs w:val="22"/>
                <w:shd w:val="clear" w:fill="auto"/>
                <w:vertAlign w:val="baseline"/>
              </w:rPr>
            </w:pPr>
            <w:bookmarkStart w:name="_heading=h.16mnj72d8yl2" w:colFirst="0" w:colLast="0" w:id="72"/>
            <w:bookmarkEnd w:id="72"/>
            <w:r w:rsidRPr="00000000" w:rsidDel="00000000" w:rsidR="00000000">
              <w:rPr>
                <w:i w:val="0"/>
                <w:iCs w:val="0"/>
                <w:smallCaps w:val="0"/>
                <w:strike w:val="0"/>
                <w:color w:val="000000"/>
                <w:sz w:val="22"/>
                <w:szCs w:val="22"/>
                <w:u w:val="none"/>
                <w:shd w:val="clear" w:fill="auto"/>
                <w:vertAlign w:val="baseline"/>
                <w:rtl w:val="0"/>
              </w:rPr>
              <w:t xml:space="preserve">Case Analysis.</w:t>
            </w:r>
          </w:p>
          <w:p w:rsidRPr="00000000" w:rsidR="00000000" w:rsidDel="00000000" w:rsidP="00000000" w:rsidRDefault="00000000" w14:paraId="00000181">
            <w:pPr>
              <w:spacing w:after="100" w:line="276" w:lineRule="auto"/>
              <w:jc w:val="both"/>
              <w:rPr/>
            </w:pPr>
            <w:bookmarkStart w:name="_heading=h.s3bak4dypef" w:colFirst="0" w:colLast="0" w:id="73"/>
            <w:bookmarkEnd w:id="73"/>
            <w:r w:rsidRPr="00000000" w:rsidDel="00000000" w:rsidR="00000000">
              <w:rPr>
                <w:rtl w:val="0"/>
              </w:rPr>
              <w:t xml:space="preserve">In completing the above sections, the Analyst should consider the risks and concerns raised from the alert(s) and information gathered, and not approach this exercise as explaining or mitigating risk events. Analysts should refer to the risk flag checklist under section ‎6.6. </w:t>
            </w:r>
          </w:p>
          <w:p w:rsidRPr="00000000" w:rsidR="00000000" w:rsidDel="00000000" w:rsidP="00000000" w:rsidRDefault="00000000" w14:paraId="00000182">
            <w:pPr>
              <w:spacing w:after="100" w:line="276" w:lineRule="auto"/>
              <w:jc w:val="both"/>
              <w:rPr>
                <w:sz w:val="10"/>
                <w:szCs w:val="10"/>
              </w:rPr>
            </w:pPr>
            <w:bookmarkStart w:name="_heading=h.s0192mt2ad96" w:colFirst="0" w:colLast="0" w:id="74"/>
            <w:bookmarkEnd w:id="74"/>
            <w:r w:rsidRPr="00000000" w:rsidDel="00000000" w:rsidR="00000000">
              <w:rPr>
                <w:rtl w:val="0"/>
              </w:rPr>
              <w:t xml:space="preserve">The Analyst should determine if the activity or behavior is normal by reasonable standards or presents unusual activity indicative of potential financial crime risk.  If the activity can be validated as expected, the alert/case is closed by the analyst alongside mitigating details, justifying the consistency of the user’s activity.   </w:t>
            </w:r>
            <w:r w:rsidRPr="00000000" w:rsidDel="00000000" w:rsidR="00000000">
              <w:rPr>
                <w:rtl w:val="0"/>
              </w:rPr>
            </w:r>
          </w:p>
          <w:p w:rsidRPr="00000000" w:rsidR="00000000" w:rsidDel="00000000" w:rsidP="00000000" w:rsidRDefault="00000000" w14:paraId="00000183">
            <w:pPr>
              <w:spacing w:after="100" w:line="276" w:lineRule="auto"/>
              <w:jc w:val="both"/>
              <w:rPr/>
            </w:pPr>
            <w:bookmarkStart w:name="_heading=h.fqj0715gbdge" w:colFirst="0" w:colLast="0" w:id="75"/>
            <w:bookmarkEnd w:id="75"/>
            <w:r w:rsidRPr="00000000" w:rsidDel="00000000" w:rsidR="00000000">
              <w:rPr>
                <w:rtl w:val="0"/>
              </w:rPr>
              <w:t xml:space="preserve">If potential financial crime risk is identified, the Analyst should escalate the case to the Financial Crime Investigations Team (FCI) for further enhanced analysis using the Investigation Case Referral (ICR). Escalations to FCI must reflect an assessment that the activity is unusual and poses potential financial crime risk. Each case decision must be based on the data available and risks presented.</w:t>
            </w:r>
          </w:p>
          <w:p w:rsidRPr="00000000" w:rsidR="00000000" w:rsidDel="00000000" w:rsidP="00000000" w:rsidRDefault="00000000" w14:paraId="00000184">
            <w:pPr>
              <w:spacing w:after="100" w:line="276" w:lineRule="auto"/>
              <w:jc w:val="both"/>
              <w:rPr/>
            </w:pPr>
            <w:bookmarkStart w:name="_heading=h.qbzctfiqxulw" w:colFirst="0" w:colLast="0" w:id="76"/>
            <w:bookmarkEnd w:id="76"/>
            <w:r w:rsidRPr="00000000" w:rsidDel="00000000" w:rsidR="00000000">
              <w:rPr>
                <w:rtl w:val="0"/>
              </w:rPr>
            </w:r>
          </w:p>
          <w:p w:rsidRPr="00000000" w:rsidR="00000000" w:rsidDel="00000000" w:rsidP="00000000" w:rsidRDefault="00000000" w14:paraId="00000185">
            <w:pPr>
              <w:spacing w:after="100" w:line="276" w:lineRule="auto"/>
              <w:jc w:val="both"/>
              <w:rPr/>
            </w:pPr>
            <w:bookmarkStart w:name="_heading=h.szes4oyq6v43" w:colFirst="0" w:colLast="0" w:id="77"/>
            <w:bookmarkEnd w:id="77"/>
            <w:r w:rsidRPr="00000000" w:rsidDel="00000000" w:rsidR="00000000">
              <w:rPr>
                <w:rtl w:val="0"/>
              </w:rPr>
            </w:r>
          </w:p>
        </w:tc>
      </w:tr>
      <w:tr>
        <w:trPr>
          <w:cantSplit w:val="0"/>
          <w:trHeight w:val="373.5546875" w:hRule="atLeast"/>
          <w:tblHeader w:val="0"/>
        </w:trPr>
        <w:tc>
          <w:tcPr>
            <w:gridSpan w:val="2"/>
            <w:shd w:val="clear" w:fill="8eaadb"/>
          </w:tcPr>
          <w:p w:rsidRPr="00000000" w:rsidR="00000000" w:rsidDel="00000000" w:rsidP="00000000" w:rsidRDefault="00000000" w14:paraId="00000186">
            <w:pPr>
              <w:jc w:val="both"/>
              <w:rPr>
                <w:b w:val="1"/>
                <w:bCs w:val="1"/>
              </w:rPr>
            </w:pPr>
            <w:bookmarkStart w:name="_heading=h.5kywoq4sf7u6" w:colFirst="0" w:colLast="0" w:id="78"/>
            <w:bookmarkEnd w:id="78"/>
            <w:r w:rsidRPr="00000000" w:rsidDel="00000000" w:rsidR="00000000">
              <w:rPr>
                <w:b w:val="1"/>
                <w:bCs w:val="1"/>
                <w:rtl w:val="0"/>
              </w:rPr>
              <w:t xml:space="preserve">L2 Escalation to FCI </w:t>
            </w:r>
          </w:p>
        </w:tc>
      </w:tr>
      <w:tr>
        <w:trPr>
          <w:cantSplit w:val="0"/>
          <w:tblHeader w:val="0"/>
        </w:trPr>
        <w:tc>
          <w:tcPr>
            <w:shd w:val="clear" w:fill="d9e2f3"/>
          </w:tcPr>
          <w:p w:rsidRPr="00000000" w:rsidR="00000000" w:rsidDel="00000000" w:rsidP="00000000" w:rsidRDefault="00000000" w14:paraId="00000188">
            <w:pPr>
              <w:keepNext w:val="0"/>
              <w:keepLines w:val="0"/>
              <w:pageBreakBefore w:val="0"/>
              <w:widowControl w:val="1"/>
              <w:numPr>
                <w:ilvl w:val="0"/>
                <w:numId w:val="27"/>
              </w:numPr>
              <w:pBdr>
                <w:top w:val="nil" w:sz="0" w:space="0"/>
                <w:left w:val="nil" w:sz="0" w:space="0"/>
                <w:bottom w:val="nil" w:sz="0" w:space="0"/>
                <w:right w:val="nil" w:sz="0" w:space="0"/>
                <w:between w:val="nil" w:sz="0" w:space="0"/>
              </w:pBdr>
              <w:shd w:val="clear" w:fill="auto"/>
              <w:spacing w:before="0" w:after="200" w:line="276" w:lineRule="auto"/>
              <w:ind w:left="360" w:right="0" w:hanging="360"/>
              <w:jc w:val="left"/>
              <w:rPr>
                <w:b w:val="1"/>
                <w:bCs w:val="1"/>
                <w:i w:val="0"/>
                <w:iCs w:val="0"/>
                <w:smallCaps w:val="0"/>
                <w:strike w:val="0"/>
                <w:color w:val="000000"/>
                <w:sz w:val="22"/>
                <w:szCs w:val="22"/>
                <w:shd w:val="clear" w:fill="auto"/>
                <w:vertAlign w:val="baseline"/>
              </w:rPr>
            </w:pPr>
            <w:bookmarkStart w:name="_heading=h.a5j2wmlx2cgu" w:colFirst="0" w:colLast="0" w:id="79"/>
            <w:bookmarkEnd w:id="79"/>
            <w:r w:rsidRPr="00000000" w:rsidDel="00000000" w:rsidR="00000000">
              <w:rPr>
                <w:b w:val="1"/>
                <w:bCs w:val="1"/>
                <w:i w:val="0"/>
                <w:iCs w:val="0"/>
                <w:smallCaps w:val="0"/>
                <w:strike w:val="0"/>
                <w:color w:val="000000"/>
                <w:sz w:val="22"/>
                <w:szCs w:val="22"/>
                <w:u w:val="none"/>
                <w:shd w:val="clear" w:fill="auto"/>
                <w:vertAlign w:val="baseline"/>
                <w:rtl w:val="0"/>
              </w:rPr>
              <w:t xml:space="preserve">Review by FCI </w:t>
            </w:r>
          </w:p>
        </w:tc>
        <w:tc>
          <w:tcPr>
            <w:shd w:val="clear" w:fill="d9e2f3"/>
          </w:tcPr>
          <w:p w:rsidRPr="00000000" w:rsidR="00000000" w:rsidDel="00000000" w:rsidP="00000000" w:rsidRDefault="00000000" w14:paraId="00000189">
            <w:pPr>
              <w:spacing w:line="276" w:lineRule="auto"/>
              <w:jc w:val="both"/>
              <w:rPr/>
            </w:pPr>
            <w:bookmarkStart w:name="_heading=h.sy1ntz19wlny" w:colFirst="0" w:colLast="0" w:id="80"/>
            <w:bookmarkEnd w:id="80"/>
            <w:r w:rsidRPr="00000000" w:rsidDel="00000000" w:rsidR="00000000">
              <w:rPr>
                <w:rtl w:val="0"/>
              </w:rPr>
              <w:t xml:space="preserve">FCI L2 investigators are responsible for reviewing the ICR through the FCI case management system (CICM HD) and undertake a holistic review based on the red flags identified.  </w:t>
            </w:r>
          </w:p>
          <w:p w:rsidRPr="00000000" w:rsidR="00000000" w:rsidDel="00000000" w:rsidP="00000000" w:rsidRDefault="00000000" w14:paraId="0000018A">
            <w:pPr>
              <w:spacing w:line="276" w:lineRule="auto"/>
              <w:jc w:val="both"/>
              <w:rPr>
                <w:sz w:val="10"/>
                <w:szCs w:val="10"/>
              </w:rPr>
            </w:pPr>
            <w:r w:rsidRPr="00000000" w:rsidDel="00000000" w:rsidR="00000000">
              <w:rPr>
                <w:rtl w:val="0"/>
              </w:rPr>
            </w:r>
          </w:p>
          <w:p w:rsidRPr="00000000" w:rsidR="00000000" w:rsidDel="00000000" w:rsidP="00000000" w:rsidRDefault="00000000" w14:paraId="0000018B">
            <w:pPr>
              <w:spacing w:line="276" w:lineRule="auto"/>
              <w:jc w:val="both"/>
              <w:rPr/>
            </w:pPr>
            <w:r w:rsidRPr="00000000" w:rsidDel="00000000" w:rsidR="00000000">
              <w:rPr>
                <w:rtl w:val="0"/>
              </w:rPr>
              <w:t xml:space="preserve">FCI L2 investigators should then make a recommendation based on the investigation result with sufficient evidences/supports collected, and where applicable, escalate the case to the MLRO (L3) according to the </w:t>
            </w:r>
            <w:hyperlink r:id="rId21">
              <w:r w:rsidRPr="00000000" w:rsidDel="00000000" w:rsidR="00000000">
                <w:rPr>
                  <w:rtl w:val="0"/>
                </w:rPr>
                <w:t xml:space="preserve">MLRO Escalation Requirement Matrix</w:t>
              </w:r>
            </w:hyperlink>
            <w:r w:rsidRPr="00000000" w:rsidDel="00000000" w:rsidR="00000000">
              <w:rPr>
                <w:rtl w:val="0"/>
              </w:rPr>
              <w:t xml:space="preserve">. </w:t>
            </w:r>
          </w:p>
          <w:p w:rsidRPr="00000000" w:rsidR="00000000" w:rsidDel="00000000" w:rsidP="00000000" w:rsidRDefault="00000000" w14:paraId="0000018C">
            <w:pPr>
              <w:spacing w:line="276" w:lineRule="auto"/>
              <w:jc w:val="both"/>
              <w:rPr>
                <w:sz w:val="10"/>
                <w:szCs w:val="10"/>
              </w:rPr>
            </w:pPr>
            <w:r w:rsidRPr="00000000" w:rsidDel="00000000" w:rsidR="00000000">
              <w:rPr>
                <w:rtl w:val="0"/>
              </w:rPr>
            </w:r>
          </w:p>
          <w:p w:rsidRPr="00000000" w:rsidR="00000000" w:rsidDel="00000000" w:rsidP="00000000" w:rsidRDefault="00000000" w14:paraId="0000018D">
            <w:pPr>
              <w:spacing w:line="276" w:lineRule="auto"/>
              <w:jc w:val="both"/>
              <w:rPr/>
            </w:pPr>
            <w:r w:rsidRPr="00000000" w:rsidDel="00000000" w:rsidR="00000000">
              <w:rPr>
                <w:rtl w:val="0"/>
              </w:rPr>
              <w:t xml:space="preserve">Alternatively, the FCI L2 investigator may refer the case to the </w:t>
            </w:r>
            <w:r w:rsidRPr="00000000" w:rsidDel="00000000" w:rsidR="00000000">
              <w:rPr>
                <w:rtl w:val="0"/>
              </w:rPr>
              <w:t xml:space="preserve">Sanctions or Special Investigation Team </w:t>
            </w:r>
            <w:r w:rsidRPr="00000000" w:rsidDel="00000000" w:rsidR="00000000">
              <w:rPr>
                <w:rtl w:val="0"/>
              </w:rPr>
              <w:t xml:space="preserve">via the CICM HD where there are sanctions risks or concerns identified. The Sanctions Special Investigation Team will then review the cases forwarded by the FCI team via CICM HD, undertake their reviews and add any additional comments regarding their analysis via the CICM HD. </w:t>
            </w:r>
          </w:p>
          <w:p w:rsidRPr="00000000" w:rsidR="00000000" w:rsidDel="00000000" w:rsidP="00000000" w:rsidRDefault="00000000" w14:paraId="0000018E">
            <w:pPr>
              <w:spacing w:line="276" w:lineRule="auto"/>
              <w:jc w:val="both"/>
              <w:rPr>
                <w:sz w:val="10"/>
                <w:szCs w:val="10"/>
              </w:rPr>
            </w:pPr>
            <w:r w:rsidRPr="00000000" w:rsidDel="00000000" w:rsidR="00000000">
              <w:rPr>
                <w:rtl w:val="0"/>
              </w:rPr>
            </w:r>
          </w:p>
          <w:p w:rsidRPr="00000000" w:rsidR="00000000" w:rsidDel="00000000" w:rsidP="00000000" w:rsidRDefault="00000000" w14:paraId="0000018F">
            <w:pPr>
              <w:spacing w:line="276" w:lineRule="auto"/>
              <w:jc w:val="both"/>
              <w:rPr/>
            </w:pPr>
            <w:r w:rsidRPr="00000000" w:rsidDel="00000000" w:rsidR="00000000">
              <w:rPr>
                <w:rtl w:val="0"/>
              </w:rPr>
              <w:t xml:space="preserve">The FCI L2 investigator may conclude that no further escalation is required and close the case if:</w:t>
            </w:r>
          </w:p>
          <w:p w:rsidRPr="00000000" w:rsidR="00000000" w:rsidDel="00000000" w:rsidP="00000000" w:rsidRDefault="00000000" w14:paraId="00000190">
            <w:pPr>
              <w:numPr>
                <w:ilvl w:val="0"/>
                <w:numId w:val="35"/>
              </w:numPr>
              <w:spacing w:line="276" w:lineRule="auto"/>
              <w:ind w:left="720" w:hanging="360"/>
              <w:jc w:val="both"/>
              <w:rPr/>
            </w:pPr>
            <w:r w:rsidRPr="00000000" w:rsidDel="00000000" w:rsidR="00000000">
              <w:rPr>
                <w:rtl w:val="0"/>
              </w:rPr>
              <w:t xml:space="preserve">The suspicious activity does not meet the reporting requirements in line with the reporting requirements outlined in the MLRO Escalation Document.</w:t>
            </w:r>
          </w:p>
          <w:p w:rsidRPr="00000000" w:rsidR="00000000" w:rsidDel="00000000" w:rsidP="00000000" w:rsidRDefault="00000000" w14:paraId="00000191">
            <w:pPr>
              <w:numPr>
                <w:ilvl w:val="0"/>
                <w:numId w:val="35"/>
              </w:numPr>
              <w:spacing w:line="276" w:lineRule="auto"/>
              <w:ind w:left="720" w:hanging="360"/>
              <w:jc w:val="both"/>
              <w:rPr/>
            </w:pPr>
            <w:r w:rsidRPr="00000000" w:rsidDel="00000000" w:rsidR="00000000">
              <w:rPr>
                <w:rtl w:val="0"/>
              </w:rPr>
              <w:t xml:space="preserve">The suspicious activity does not meet the requirements for a referral to the Sanctions Team or Special Investigations Team.</w:t>
            </w:r>
            <w:r w:rsidRPr="00000000" w:rsidDel="00000000" w:rsidR="00000000">
              <w:rPr>
                <w:rtl w:val="0"/>
              </w:rPr>
            </w:r>
          </w:p>
          <w:p w:rsidRPr="00000000" w:rsidR="00000000" w:rsidDel="00000000" w:rsidP="00000000" w:rsidRDefault="00000000" w14:paraId="00000192">
            <w:pPr>
              <w:spacing w:line="276" w:lineRule="auto"/>
              <w:jc w:val="both"/>
              <w:rPr/>
            </w:pPr>
            <w:r w:rsidRPr="00000000" w:rsidDel="00000000" w:rsidR="00000000">
              <w:rPr>
                <w:rtl w:val="0"/>
              </w:rPr>
              <w:t xml:space="preserve">Further details may be found in the FCI Transaction Monitoring Unusual Activities Investigations Procedure.</w:t>
            </w:r>
            <w:r w:rsidRPr="00000000" w:rsidDel="00000000" w:rsidR="00000000">
              <w:rPr>
                <w:rtl w:val="0"/>
              </w:rPr>
            </w:r>
          </w:p>
        </w:tc>
      </w:tr>
      <w:tr>
        <w:trPr>
          <w:cantSplit w:val="0"/>
          <w:trHeight w:val="343.5546875" w:hRule="atLeast"/>
          <w:tblHeader w:val="0"/>
        </w:trPr>
        <w:tc>
          <w:tcPr>
            <w:gridSpan w:val="2"/>
            <w:shd w:val="clear" w:fill="a8d08d"/>
          </w:tcPr>
          <w:p w:rsidRPr="00000000" w:rsidR="00000000" w:rsidDel="00000000" w:rsidP="00000000" w:rsidRDefault="00000000" w14:paraId="00000193">
            <w:pPr>
              <w:jc w:val="both"/>
              <w:rPr>
                <w:b w:val="1"/>
                <w:bCs w:val="1"/>
              </w:rPr>
            </w:pPr>
            <w:bookmarkStart w:name="_heading=h.lxezbzrkaq9" w:colFirst="0" w:colLast="0" w:id="81"/>
            <w:bookmarkEnd w:id="81"/>
            <w:r w:rsidRPr="00000000" w:rsidDel="00000000" w:rsidR="00000000">
              <w:rPr>
                <w:b w:val="1"/>
                <w:bCs w:val="1"/>
                <w:rtl w:val="0"/>
              </w:rPr>
              <w:t xml:space="preserve">L3 Escalation to MLRO</w:t>
            </w:r>
          </w:p>
        </w:tc>
      </w:tr>
      <w:tr>
        <w:trPr>
          <w:cantSplit w:val="0"/>
          <w:tblHeader w:val="0"/>
        </w:trPr>
        <w:tc>
          <w:tcPr>
            <w:shd w:val="clear" w:fill="e2efd9"/>
          </w:tcPr>
          <w:p w:rsidRPr="00000000" w:rsidR="00000000" w:rsidDel="00000000" w:rsidP="00000000" w:rsidRDefault="00000000" w14:paraId="00000195">
            <w:pPr>
              <w:keepNext w:val="0"/>
              <w:keepLines w:val="0"/>
              <w:pageBreakBefore w:val="0"/>
              <w:widowControl w:val="1"/>
              <w:numPr>
                <w:ilvl w:val="0"/>
                <w:numId w:val="27"/>
              </w:numPr>
              <w:pBdr>
                <w:top w:val="nil" w:sz="0" w:space="0"/>
                <w:left w:val="nil" w:sz="0" w:space="0"/>
                <w:bottom w:val="nil" w:sz="0" w:space="0"/>
                <w:right w:val="nil" w:sz="0" w:space="0"/>
                <w:between w:val="nil" w:sz="0" w:space="0"/>
              </w:pBdr>
              <w:shd w:val="clear" w:fill="auto"/>
              <w:spacing w:before="0" w:after="200" w:line="276" w:lineRule="auto"/>
              <w:ind w:left="360" w:right="0" w:hanging="360"/>
              <w:jc w:val="left"/>
              <w:rPr>
                <w:b w:val="1"/>
                <w:bCs w:val="1"/>
                <w:i w:val="0"/>
                <w:iCs w:val="0"/>
                <w:smallCaps w:val="0"/>
                <w:strike w:val="0"/>
                <w:color w:val="000000"/>
                <w:sz w:val="22"/>
                <w:szCs w:val="22"/>
                <w:shd w:val="clear" w:fill="auto"/>
                <w:vertAlign w:val="baseline"/>
              </w:rPr>
            </w:pPr>
            <w:bookmarkStart w:name="_heading=h.2jj7zjg1ct2d" w:colFirst="0" w:colLast="0" w:id="82"/>
            <w:bookmarkEnd w:id="82"/>
            <w:r w:rsidRPr="00000000" w:rsidDel="00000000" w:rsidR="00000000">
              <w:rPr>
                <w:b w:val="1"/>
                <w:bCs w:val="1"/>
                <w:i w:val="0"/>
                <w:iCs w:val="0"/>
                <w:smallCaps w:val="0"/>
                <w:strike w:val="0"/>
                <w:color w:val="000000"/>
                <w:sz w:val="22"/>
                <w:szCs w:val="22"/>
                <w:u w:val="none"/>
                <w:shd w:val="clear" w:fill="auto"/>
                <w:vertAlign w:val="baseline"/>
                <w:rtl w:val="0"/>
              </w:rPr>
              <w:t xml:space="preserve">Review by MLRO</w:t>
            </w:r>
          </w:p>
        </w:tc>
        <w:tc>
          <w:tcPr>
            <w:shd w:val="clear" w:fill="e2efd9"/>
          </w:tcPr>
          <w:p w:rsidRPr="00000000" w:rsidR="00000000" w:rsidDel="00000000" w:rsidP="00000000" w:rsidRDefault="00000000" w14:paraId="00000196">
            <w:pPr>
              <w:spacing w:line="276" w:lineRule="auto"/>
              <w:jc w:val="both"/>
              <w:rPr/>
            </w:pPr>
            <w:bookmarkStart w:name="_heading=h.wmgqqzqpr1te" w:colFirst="0" w:colLast="0" w:id="83"/>
            <w:bookmarkEnd w:id="83"/>
            <w:r w:rsidRPr="00000000" w:rsidDel="00000000" w:rsidR="00000000">
              <w:rPr>
                <w:rtl w:val="0"/>
              </w:rPr>
              <w:t xml:space="preserve">If the case is escalated by the FCI L2 investigator to the MLRO, the case will be referred to the MLRO via FCI Taskpool/CICM HD. The MLRO reviews and decides if an external SAR, or relevant report, is required to be filed. MLRO should then provide his/her analysis via FCI Taskpool/CICM HD, mark the case as complete and close the case in the system.</w:t>
            </w:r>
          </w:p>
        </w:tc>
      </w:tr>
    </w:tbl>
    <w:p w:rsidRPr="00000000" w:rsidR="00000000" w:rsidDel="00000000" w:rsidP="00000000" w:rsidRDefault="00000000" w14:paraId="00000197">
      <w:pPr>
        <w:spacing w:after="0" w:lineRule="auto"/>
        <w:jc w:val="both"/>
        <w:rPr/>
      </w:pPr>
      <w:r w:rsidRPr="00000000" w:rsidDel="00000000" w:rsidR="00000000">
        <w:rPr>
          <w:rtl w:val="0"/>
        </w:rPr>
      </w:r>
    </w:p>
    <w:p w:rsidRPr="00000000" w:rsidR="00000000" w:rsidDel="00000000" w:rsidP="00000000" w:rsidRDefault="00000000" w14:paraId="00000198">
      <w:pPr>
        <w:pStyle w:val="Heading2"/>
        <w:numPr>
          <w:ilvl w:val="1"/>
          <w:numId w:val="25"/>
        </w:numPr>
        <w:rPr/>
      </w:pPr>
      <w:bookmarkStart w:name="_heading=h.qo0flxb5keze" w:colFirst="0" w:colLast="0" w:id="84"/>
      <w:bookmarkEnd w:id="84"/>
      <w:r w:rsidRPr="00000000" w:rsidDel="00000000" w:rsidR="00000000">
        <w:rPr>
          <w:rFonts w:ascii="Arial" w:hAnsi="Arial" w:eastAsia="Arial" w:cs="Arial"/>
          <w:sz w:val="24"/>
          <w:szCs w:val="24"/>
          <w:rtl w:val="0"/>
        </w:rPr>
        <w:t xml:space="preserve">Timeframe for Transaction Monitoring Investigations</w:t>
      </w:r>
    </w:p>
    <w:p w:rsidRPr="00000000" w:rsidR="00000000" w:rsidDel="00000000" w:rsidP="00000000" w:rsidRDefault="00000000" w14:paraId="00000199">
      <w:pPr>
        <w:numPr>
          <w:ilvl w:val="2"/>
          <w:numId w:val="25"/>
        </w:numPr>
        <w:spacing w:after="240" w:lineRule="auto"/>
        <w:ind w:left="720" w:hanging="720"/>
        <w:jc w:val="both"/>
        <w:rPr/>
      </w:pPr>
      <w:bookmarkStart w:name="_heading=h.cfhk5fmr84v8" w:colFirst="0" w:colLast="0" w:id="85"/>
      <w:bookmarkEnd w:id="85"/>
      <w:r w:rsidRPr="00000000" w:rsidDel="00000000" w:rsidR="00000000">
        <w:rPr>
          <w:rtl w:val="0"/>
        </w:rPr>
        <w:t xml:space="preserve">The timeline commences from the day/time that the case is generated in the case management system and available to be analysed and investigated. If a manual alert/case is received, the timeline starts from the receipt of the manual alert/case report.</w:t>
      </w:r>
    </w:p>
    <w:p w:rsidRPr="00000000" w:rsidR="00000000" w:rsidDel="00000000" w:rsidP="00000000" w:rsidRDefault="00000000" w14:paraId="0000019A">
      <w:pPr>
        <w:numPr>
          <w:ilvl w:val="2"/>
          <w:numId w:val="25"/>
        </w:numPr>
        <w:spacing w:after="240" w:lineRule="auto"/>
        <w:ind w:left="720" w:hanging="720"/>
        <w:jc w:val="both"/>
        <w:rPr/>
      </w:pPr>
      <w:bookmarkStart w:name="_heading=h.ze0zc58bbur1" w:colFirst="0" w:colLast="0" w:id="86"/>
      <w:bookmarkEnd w:id="86"/>
      <w:r w:rsidRPr="00000000" w:rsidDel="00000000" w:rsidR="00000000">
        <w:rPr>
          <w:rtl w:val="0"/>
        </w:rPr>
        <w:t xml:space="preserve"> FTM / CTM Operations have a maximum of </w:t>
      </w:r>
      <w:r w:rsidRPr="00000000" w:rsidDel="00000000" w:rsidR="00000000">
        <w:rPr>
          <w:b w:val="1"/>
          <w:bCs w:val="1"/>
          <w:rtl w:val="0"/>
        </w:rPr>
        <w:t xml:space="preserve">30 calendar days</w:t>
      </w:r>
      <w:r w:rsidRPr="00000000" w:rsidDel="00000000" w:rsidR="00000000">
        <w:rPr>
          <w:rtl w:val="0"/>
        </w:rPr>
        <w:t xml:space="preserve"> to conclude the case.</w:t>
      </w:r>
    </w:p>
    <w:p w:rsidRPr="00000000" w:rsidR="00000000" w:rsidDel="00000000" w:rsidP="00000000" w:rsidRDefault="00000000" w14:paraId="0000019B">
      <w:pPr>
        <w:numPr>
          <w:ilvl w:val="2"/>
          <w:numId w:val="25"/>
        </w:numPr>
        <w:spacing w:after="240" w:lineRule="auto"/>
        <w:ind w:left="720" w:hanging="720"/>
        <w:jc w:val="both"/>
        <w:rPr/>
      </w:pPr>
      <w:bookmarkStart w:name="_heading=h.rklihlv8tpsi" w:colFirst="0" w:colLast="0" w:id="87"/>
      <w:bookmarkEnd w:id="87"/>
      <w:r w:rsidRPr="00000000" w:rsidDel="00000000" w:rsidR="00000000">
        <w:rPr>
          <w:rtl w:val="0"/>
        </w:rPr>
        <w:t xml:space="preserve">This 30-day period covers the end-to-end processes for TM (L1) to close or escalate the case.  Cases that remain open on or after 31 calendar days are considered to be in an Out-of-SLA status.  Timeframes may be shorter due to local regulatory requirements, and will be detailed within the local country Addendum. </w:t>
      </w:r>
    </w:p>
    <w:p w:rsidRPr="00000000" w:rsidR="00000000" w:rsidDel="00000000" w:rsidP="00000000" w:rsidRDefault="00000000" w14:paraId="0000019C">
      <w:pPr>
        <w:pStyle w:val="Heading2"/>
        <w:numPr>
          <w:ilvl w:val="1"/>
          <w:numId w:val="25"/>
        </w:numPr>
        <w:rPr/>
      </w:pPr>
      <w:bookmarkStart w:name="_heading=h.42ywd6gxyth4" w:colFirst="0" w:colLast="0" w:id="88"/>
      <w:bookmarkEnd w:id="88"/>
      <w:r w:rsidRPr="00000000" w:rsidDel="00000000" w:rsidR="00000000">
        <w:rPr>
          <w:rFonts w:ascii="Arial" w:hAnsi="Arial" w:eastAsia="Arial" w:cs="Arial"/>
          <w:sz w:val="24"/>
          <w:szCs w:val="24"/>
          <w:rtl w:val="0"/>
        </w:rPr>
        <w:t xml:space="preserve">Roles and Responsibilities</w:t>
      </w:r>
    </w:p>
    <w:p w:rsidRPr="00000000" w:rsidR="00000000" w:rsidDel="00000000" w:rsidP="00000000" w:rsidRDefault="00000000" w14:paraId="0000019D">
      <w:pPr>
        <w:numPr>
          <w:ilvl w:val="2"/>
          <w:numId w:val="25"/>
        </w:numPr>
        <w:spacing w:after="240" w:lineRule="auto"/>
        <w:ind w:left="720" w:hanging="720"/>
        <w:jc w:val="both"/>
        <w:rPr>
          <w:color w:val="000000"/>
        </w:rPr>
      </w:pPr>
      <w:bookmarkStart w:name="_heading=h.7ta4t6rfjfs7" w:colFirst="0" w:colLast="0" w:id="89"/>
      <w:bookmarkEnd w:id="89"/>
      <w:r w:rsidRPr="00000000" w:rsidDel="00000000" w:rsidR="00000000">
        <w:rPr>
          <w:rtl w:val="0"/>
        </w:rPr>
        <w:t xml:space="preserve">The following table outlines relevant roles and responsibilities within the transaction monitoring and investigations process as outlined above:</w:t>
      </w:r>
      <w:r w:rsidRPr="00000000" w:rsidDel="00000000" w:rsidR="00000000">
        <w:rPr>
          <w:rtl w:val="0"/>
        </w:rPr>
      </w:r>
    </w:p>
    <w:tbl>
      <w:tblPr>
        <w:tblStyle w:val="Table10"/>
        <w:tblW w:w="900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2430"/>
        <w:gridCol w:w="6570"/>
        <w:tblGridChange w:id="0">
          <w:tblGrid>
            <w:gridCol w:w="2430"/>
            <w:gridCol w:w="6570"/>
          </w:tblGrid>
        </w:tblGridChange>
      </w:tblGrid>
      <w:tr>
        <w:trPr>
          <w:cantSplit w:val="0"/>
          <w:trHeight w:val="154" w:hRule="atLeast"/>
          <w:tblHeader w:val="0"/>
        </w:trPr>
        <w:tc>
          <w:tcPr>
            <w:shd w:val="clear" w:fill="f7cbac"/>
            <w:tcMar>
              <w:top w:w="40.0" w:type="dxa"/>
              <w:left w:w="100.0" w:type="dxa"/>
              <w:bottom w:w="100.0" w:type="dxa"/>
              <w:right w:w="40.0" w:type="dxa"/>
            </w:tcMar>
          </w:tcPr>
          <w:p w:rsidRPr="00000000" w:rsidR="00000000" w:rsidDel="00000000" w:rsidP="00000000" w:rsidRDefault="00000000" w14:paraId="0000019E">
            <w:pPr>
              <w:ind w:left="20" w:firstLine="0"/>
              <w:rPr>
                <w:color w:val="000000"/>
              </w:rPr>
            </w:pPr>
            <w:r w:rsidRPr="00000000" w:rsidDel="00000000" w:rsidR="00000000">
              <w:rPr>
                <w:b w:val="1"/>
                <w:bCs w:val="1"/>
                <w:color w:val="000000"/>
                <w:rtl w:val="0"/>
              </w:rPr>
              <w:t xml:space="preserve">Operations Role</w:t>
            </w:r>
            <w:r w:rsidRPr="00000000" w:rsidDel="00000000" w:rsidR="00000000">
              <w:rPr>
                <w:rtl w:val="0"/>
              </w:rPr>
            </w:r>
          </w:p>
        </w:tc>
        <w:tc>
          <w:tcPr>
            <w:shd w:val="clear" w:fill="f7cbac"/>
            <w:tcMar>
              <w:top w:w="40.0" w:type="dxa"/>
              <w:left w:w="100.0" w:type="dxa"/>
              <w:bottom w:w="100.0" w:type="dxa"/>
              <w:right w:w="40.0" w:type="dxa"/>
            </w:tcMar>
          </w:tcPr>
          <w:p w:rsidRPr="00000000" w:rsidR="00000000" w:rsidDel="00000000" w:rsidP="00000000" w:rsidRDefault="00000000" w14:paraId="0000019F">
            <w:pPr>
              <w:ind w:left="40" w:firstLine="0"/>
              <w:jc w:val="both"/>
              <w:rPr>
                <w:color w:val="000000"/>
              </w:rPr>
            </w:pPr>
            <w:r w:rsidRPr="00000000" w:rsidDel="00000000" w:rsidR="00000000">
              <w:rPr>
                <w:b w:val="1"/>
                <w:bCs w:val="1"/>
                <w:color w:val="000000"/>
                <w:rtl w:val="0"/>
              </w:rPr>
              <w:t xml:space="preserve">Operations Role Responsibilities</w:t>
            </w:r>
            <w:r w:rsidRPr="00000000" w:rsidDel="00000000" w:rsidR="00000000">
              <w:rPr>
                <w:rtl w:val="0"/>
              </w:rPr>
            </w:r>
          </w:p>
        </w:tc>
      </w:tr>
      <w:tr>
        <w:trPr>
          <w:cantSplit w:val="0"/>
          <w:tblHeader w:val="0"/>
        </w:trPr>
        <w:tc>
          <w:tcPr>
            <w:shd w:val="clear" w:fill="auto"/>
            <w:tcMar>
              <w:top w:w="40.0" w:type="dxa"/>
              <w:left w:w="100.0" w:type="dxa"/>
              <w:bottom w:w="100.0" w:type="dxa"/>
              <w:right w:w="40.0" w:type="dxa"/>
            </w:tcMar>
          </w:tcPr>
          <w:p w:rsidRPr="00000000" w:rsidR="00000000" w:rsidDel="00000000" w:rsidP="00000000" w:rsidRDefault="00000000" w14:paraId="000001A0">
            <w:pPr>
              <w:widowControl w:val="0"/>
              <w:ind w:left="20" w:firstLine="0"/>
              <w:rPr>
                <w:color w:val="000000"/>
              </w:rPr>
            </w:pPr>
            <w:r w:rsidRPr="00000000" w:rsidDel="00000000" w:rsidR="00000000">
              <w:rPr>
                <w:b w:val="1"/>
                <w:bCs w:val="1"/>
                <w:color w:val="000000"/>
                <w:rtl w:val="0"/>
              </w:rPr>
              <w:t xml:space="preserve">TM Team Leader</w:t>
            </w:r>
            <w:r w:rsidRPr="00000000" w:rsidDel="00000000" w:rsidR="00000000">
              <w:rPr>
                <w:rtl w:val="0"/>
              </w:rPr>
            </w:r>
          </w:p>
        </w:tc>
        <w:tc>
          <w:tcPr>
            <w:shd w:val="clear" w:fill="auto"/>
            <w:tcMar>
              <w:top w:w="43.2" w:type="dxa"/>
              <w:left w:w="43.2" w:type="dxa"/>
              <w:bottom w:w="43.2" w:type="dxa"/>
              <w:right w:w="43.2" w:type="dxa"/>
            </w:tcMar>
          </w:tcPr>
          <w:p w:rsidRPr="00000000" w:rsidR="00000000" w:rsidDel="00000000" w:rsidP="00000000" w:rsidRDefault="00000000" w14:paraId="000001A1">
            <w:pPr>
              <w:widowControl w:val="0"/>
              <w:spacing w:line="276" w:lineRule="auto"/>
              <w:ind w:left="40" w:firstLine="0"/>
              <w:jc w:val="both"/>
              <w:rPr>
                <w:color w:val="000000"/>
              </w:rPr>
            </w:pPr>
            <w:r w:rsidRPr="00000000" w:rsidDel="00000000" w:rsidR="00000000">
              <w:rPr>
                <w:color w:val="000000"/>
                <w:rtl w:val="0"/>
              </w:rPr>
              <w:t xml:space="preserve">The Manager is responsible for overseeing the process efficiency, including utilising the metrics from the TM system on volumes and adherence to timeframes, managing exceptions, answering questions and providing guidance to Analysts. This includes alert prioritisation and assignment duties. </w:t>
            </w:r>
          </w:p>
          <w:p w:rsidRPr="00000000" w:rsidR="00000000" w:rsidDel="00000000" w:rsidP="00000000" w:rsidRDefault="00000000" w14:paraId="000001A2">
            <w:pPr>
              <w:spacing w:line="276" w:lineRule="auto"/>
              <w:ind w:left="40" w:firstLine="0"/>
              <w:jc w:val="both"/>
              <w:rPr>
                <w:color w:val="000000"/>
                <w:sz w:val="10"/>
                <w:szCs w:val="10"/>
              </w:rPr>
            </w:pPr>
            <w:r w:rsidRPr="00000000" w:rsidDel="00000000" w:rsidR="00000000">
              <w:rPr>
                <w:rtl w:val="0"/>
              </w:rPr>
            </w:r>
          </w:p>
          <w:p w:rsidRPr="00000000" w:rsidR="00000000" w:rsidDel="00000000" w:rsidP="00000000" w:rsidRDefault="00000000" w14:paraId="000001A3">
            <w:pPr>
              <w:widowControl w:val="0"/>
              <w:spacing w:line="276" w:lineRule="auto"/>
              <w:ind w:left="40" w:firstLine="0"/>
              <w:jc w:val="both"/>
              <w:rPr>
                <w:color w:val="000000"/>
              </w:rPr>
            </w:pPr>
            <w:r w:rsidRPr="00000000" w:rsidDel="00000000" w:rsidR="00000000">
              <w:rPr>
                <w:color w:val="000000"/>
                <w:rtl w:val="0"/>
              </w:rPr>
              <w:t xml:space="preserve">TM Team Leader also responsible for regular Quality Checks and upskilling of the TM Analysts based on Quality Check / Quality Assurance results</w:t>
            </w:r>
          </w:p>
        </w:tc>
      </w:tr>
      <w:tr>
        <w:trPr>
          <w:cantSplit w:val="0"/>
          <w:tblHeader w:val="0"/>
        </w:trPr>
        <w:tc>
          <w:tcPr>
            <w:shd w:val="clear" w:fill="auto"/>
            <w:tcMar>
              <w:top w:w="40.0" w:type="dxa"/>
              <w:left w:w="100.0" w:type="dxa"/>
              <w:bottom w:w="100.0" w:type="dxa"/>
              <w:right w:w="40.0" w:type="dxa"/>
            </w:tcMar>
          </w:tcPr>
          <w:p w:rsidRPr="00000000" w:rsidR="00000000" w:rsidDel="00000000" w:rsidP="00000000" w:rsidRDefault="00000000" w14:paraId="000001A4">
            <w:pPr>
              <w:widowControl w:val="0"/>
              <w:ind w:left="20" w:firstLine="0"/>
              <w:rPr>
                <w:color w:val="000000"/>
              </w:rPr>
            </w:pPr>
            <w:r w:rsidRPr="00000000" w:rsidDel="00000000" w:rsidR="00000000">
              <w:rPr>
                <w:b w:val="1"/>
                <w:bCs w:val="1"/>
                <w:color w:val="000000"/>
                <w:rtl w:val="0"/>
              </w:rPr>
              <w:t xml:space="preserve">TM Analyst</w:t>
            </w:r>
            <w:r w:rsidRPr="00000000" w:rsidDel="00000000" w:rsidR="00000000">
              <w:rPr>
                <w:rtl w:val="0"/>
              </w:rPr>
            </w:r>
          </w:p>
        </w:tc>
        <w:tc>
          <w:tcPr>
            <w:shd w:val="clear" w:fill="auto"/>
            <w:tcMar>
              <w:top w:w="43.2" w:type="dxa"/>
              <w:left w:w="43.2" w:type="dxa"/>
              <w:bottom w:w="43.2" w:type="dxa"/>
              <w:right w:w="43.2" w:type="dxa"/>
            </w:tcMar>
          </w:tcPr>
          <w:p w:rsidRPr="00000000" w:rsidR="00000000" w:rsidDel="00000000" w:rsidP="00000000" w:rsidRDefault="00000000" w14:paraId="000001A5">
            <w:pPr>
              <w:widowControl w:val="0"/>
              <w:spacing w:line="276" w:lineRule="auto"/>
              <w:ind w:left="40" w:firstLine="0"/>
              <w:jc w:val="both"/>
              <w:rPr>
                <w:color w:val="000000"/>
              </w:rPr>
            </w:pPr>
            <w:r w:rsidRPr="00000000" w:rsidDel="00000000" w:rsidR="00000000">
              <w:rPr>
                <w:color w:val="000000"/>
                <w:rtl w:val="0"/>
              </w:rPr>
              <w:t xml:space="preserve">The primary role of the TM Analyst role is to review triggered TM alerts, monitor customer transactions, including assessing historical/current customer information and interactions to provide a picture of customer activity.  </w:t>
            </w:r>
          </w:p>
          <w:p w:rsidRPr="00000000" w:rsidR="00000000" w:rsidDel="00000000" w:rsidP="00000000" w:rsidRDefault="00000000" w14:paraId="000001A6">
            <w:pPr>
              <w:spacing w:line="276" w:lineRule="auto"/>
              <w:ind w:left="40" w:firstLine="0"/>
              <w:jc w:val="both"/>
              <w:rPr>
                <w:color w:val="000000"/>
                <w:sz w:val="10"/>
                <w:szCs w:val="10"/>
              </w:rPr>
            </w:pPr>
            <w:r w:rsidRPr="00000000" w:rsidDel="00000000" w:rsidR="00000000">
              <w:rPr>
                <w:color w:val="000000"/>
                <w:sz w:val="10"/>
                <w:szCs w:val="10"/>
                <w:rtl w:val="0"/>
              </w:rPr>
              <w:t xml:space="preserve"> </w:t>
            </w:r>
          </w:p>
          <w:p w:rsidRPr="00000000" w:rsidR="00000000" w:rsidDel="00000000" w:rsidP="00000000" w:rsidRDefault="00000000" w14:paraId="000001A7">
            <w:pPr>
              <w:widowControl w:val="0"/>
              <w:spacing w:line="276" w:lineRule="auto"/>
              <w:ind w:left="40" w:firstLine="0"/>
              <w:jc w:val="both"/>
              <w:rPr>
                <w:color w:val="000000"/>
              </w:rPr>
            </w:pPr>
            <w:r w:rsidRPr="00000000" w:rsidDel="00000000" w:rsidR="00000000">
              <w:rPr>
                <w:color w:val="000000"/>
                <w:rtl w:val="0"/>
              </w:rPr>
              <w:t xml:space="preserve">During the Case Analysis stage, the TM Analyst will efficiently dispose of cases that can readily be closed i.e. the TM Analyst considers the subjects’ activity to be in line with expected behaviours. TM Analyst may conduct a more in-depth review, gathering additional details through external research, to determine whether the alerted activity poses potential financial crime risk. Once the Case Analysis is complete, the TM Analyst documents their findings and concludes to either close the case as no potential financial crime risk was identified or to escalate to Financial Crime Investigations, as appropriate. </w:t>
            </w:r>
          </w:p>
          <w:p w:rsidRPr="00000000" w:rsidR="00000000" w:rsidDel="00000000" w:rsidP="00000000" w:rsidRDefault="00000000" w14:paraId="000001A8">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76" w:lineRule="auto"/>
              <w:ind w:left="40" w:right="0" w:firstLine="0"/>
              <w:jc w:val="both"/>
              <w:rPr>
                <w:color w:val="000000"/>
                <w:sz w:val="10"/>
                <w:szCs w:val="10"/>
              </w:rPr>
            </w:pPr>
            <w:r w:rsidRPr="00000000" w:rsidDel="00000000" w:rsidR="00000000">
              <w:rPr>
                <w:rtl w:val="0"/>
              </w:rPr>
            </w:r>
          </w:p>
          <w:p w:rsidRPr="00000000" w:rsidR="00000000" w:rsidDel="00000000" w:rsidP="00000000" w:rsidRDefault="00000000" w14:paraId="000001A9">
            <w:pPr>
              <w:widowControl w:val="0"/>
              <w:spacing w:line="276" w:lineRule="auto"/>
              <w:ind w:left="40" w:firstLine="0"/>
              <w:jc w:val="both"/>
              <w:rPr>
                <w:color w:val="000000"/>
              </w:rPr>
            </w:pPr>
            <w:r w:rsidRPr="00000000" w:rsidDel="00000000" w:rsidR="00000000">
              <w:rPr>
                <w:color w:val="000000"/>
                <w:rtl w:val="0"/>
              </w:rPr>
              <w:t xml:space="preserve">Where a case is closed as presenting no Transaction Monitoring/AML risk however KYC deficiencies are identified, the TM Analyst escalates the case to the Risk team or other relevant Binance Team for further review.</w:t>
            </w:r>
          </w:p>
          <w:p w:rsidRPr="00000000" w:rsidR="00000000" w:rsidDel="00000000" w:rsidP="00000000" w:rsidRDefault="00000000" w14:paraId="000001AA">
            <w:pPr>
              <w:spacing w:line="276" w:lineRule="auto"/>
              <w:ind w:left="40" w:firstLine="0"/>
              <w:jc w:val="both"/>
              <w:rPr>
                <w:color w:val="000000"/>
                <w:sz w:val="6"/>
                <w:szCs w:val="6"/>
              </w:rPr>
            </w:pPr>
            <w:r w:rsidRPr="00000000" w:rsidDel="00000000" w:rsidR="00000000">
              <w:rPr>
                <w:rtl w:val="0"/>
              </w:rPr>
            </w:r>
          </w:p>
          <w:p w:rsidRPr="00000000" w:rsidR="00000000" w:rsidDel="00000000" w:rsidP="00000000" w:rsidRDefault="00000000" w14:paraId="000001AB">
            <w:pPr>
              <w:widowControl w:val="0"/>
              <w:spacing w:line="276" w:lineRule="auto"/>
              <w:ind w:left="40" w:firstLine="0"/>
              <w:jc w:val="both"/>
              <w:rPr>
                <w:color w:val="000000"/>
              </w:rPr>
            </w:pPr>
            <w:r w:rsidRPr="00000000" w:rsidDel="00000000" w:rsidR="00000000">
              <w:rPr>
                <w:color w:val="000000"/>
                <w:rtl w:val="0"/>
              </w:rPr>
              <w:t xml:space="preserve">Throughout the ACS documentation, TM Analysts are expected to exercise knowledge, gained through both training and experience, of Binance products, customer types, financial crime typologies and country-specific financial crime risks.  </w:t>
            </w:r>
          </w:p>
        </w:tc>
      </w:tr>
      <w:tr>
        <w:trPr>
          <w:cantSplit w:val="0"/>
          <w:trHeight w:val="748" w:hRule="atLeast"/>
          <w:tblHeader w:val="0"/>
        </w:trPr>
        <w:tc>
          <w:tcPr>
            <w:shd w:val="clear" w:fill="auto"/>
            <w:tcMar>
              <w:top w:w="40.0" w:type="dxa"/>
              <w:left w:w="100.0" w:type="dxa"/>
              <w:bottom w:w="100.0" w:type="dxa"/>
              <w:right w:w="40.0" w:type="dxa"/>
            </w:tcMar>
          </w:tcPr>
          <w:p w:rsidRPr="00000000" w:rsidR="00000000" w:rsidDel="00000000" w:rsidP="00000000" w:rsidRDefault="00000000" w14:paraId="000001AC">
            <w:pPr>
              <w:pBdr>
                <w:between w:val="none" w:color="000000" w:sz="0" w:space="0"/>
              </w:pBdr>
              <w:rPr>
                <w:b w:val="1"/>
                <w:bCs w:val="1"/>
                <w:color w:val="000000"/>
              </w:rPr>
            </w:pPr>
            <w:r w:rsidRPr="00000000" w:rsidDel="00000000" w:rsidR="00000000">
              <w:rPr>
                <w:b w:val="1"/>
                <w:bCs w:val="1"/>
                <w:color w:val="000000"/>
                <w:rtl w:val="0"/>
              </w:rPr>
              <w:t xml:space="preserve">Off-Chain TM Analyst / FTM Analyst</w:t>
            </w:r>
          </w:p>
        </w:tc>
        <w:tc>
          <w:tcPr>
            <w:shd w:val="clear" w:fill="auto"/>
            <w:tcMar>
              <w:top w:w="43.2" w:type="dxa"/>
              <w:left w:w="43.2" w:type="dxa"/>
              <w:bottom w:w="43.2" w:type="dxa"/>
              <w:right w:w="43.2" w:type="dxa"/>
            </w:tcMar>
          </w:tcPr>
          <w:p w:rsidRPr="00000000" w:rsidR="00000000" w:rsidDel="00000000" w:rsidP="00000000" w:rsidRDefault="00000000" w14:paraId="000001AD">
            <w:pPr>
              <w:widowControl w:val="0"/>
              <w:pBdr>
                <w:between w:val="none" w:color="000000" w:sz="0" w:space="0"/>
              </w:pBdr>
              <w:spacing w:line="276" w:lineRule="auto"/>
              <w:jc w:val="both"/>
              <w:rPr>
                <w:color w:val="000000"/>
              </w:rPr>
            </w:pPr>
            <w:r w:rsidRPr="00000000" w:rsidDel="00000000" w:rsidR="00000000">
              <w:rPr>
                <w:color w:val="000000"/>
                <w:rtl w:val="0"/>
              </w:rPr>
              <w:t xml:space="preserve">Analyst who reviews Off-Chain TM Alerts.</w:t>
            </w:r>
          </w:p>
        </w:tc>
      </w:tr>
      <w:tr>
        <w:trPr>
          <w:cantSplit w:val="0"/>
          <w:trHeight w:val="604" w:hRule="atLeast"/>
          <w:tblHeader w:val="0"/>
        </w:trPr>
        <w:tc>
          <w:tcPr>
            <w:shd w:val="clear" w:fill="auto"/>
            <w:tcMar>
              <w:top w:w="40.0" w:type="dxa"/>
              <w:left w:w="100.0" w:type="dxa"/>
              <w:bottom w:w="100.0" w:type="dxa"/>
              <w:right w:w="40.0" w:type="dxa"/>
            </w:tcMar>
          </w:tcPr>
          <w:p w:rsidRPr="00000000" w:rsidR="00000000" w:rsidDel="00000000" w:rsidP="00000000" w:rsidRDefault="00000000" w14:paraId="000001AE">
            <w:pPr>
              <w:pBdr>
                <w:between w:val="none" w:color="000000" w:sz="0" w:space="0"/>
              </w:pBdr>
              <w:rPr>
                <w:b w:val="1"/>
                <w:bCs w:val="1"/>
                <w:color w:val="000000"/>
              </w:rPr>
            </w:pPr>
            <w:r w:rsidRPr="00000000" w:rsidDel="00000000" w:rsidR="00000000">
              <w:rPr>
                <w:b w:val="1"/>
                <w:bCs w:val="1"/>
                <w:color w:val="000000"/>
                <w:rtl w:val="0"/>
              </w:rPr>
              <w:t xml:space="preserve">On-Chain TM Analyst / CTM Analyst</w:t>
            </w:r>
          </w:p>
        </w:tc>
        <w:tc>
          <w:tcPr>
            <w:shd w:val="clear" w:fill="auto"/>
            <w:tcMar>
              <w:top w:w="43.2" w:type="dxa"/>
              <w:left w:w="43.2" w:type="dxa"/>
              <w:bottom w:w="43.2" w:type="dxa"/>
              <w:right w:w="43.2" w:type="dxa"/>
            </w:tcMar>
          </w:tcPr>
          <w:p w:rsidRPr="00000000" w:rsidR="00000000" w:rsidDel="00000000" w:rsidP="00000000" w:rsidRDefault="00000000" w14:paraId="000001AF">
            <w:pPr>
              <w:pBdr>
                <w:between w:val="none" w:color="000000" w:sz="0" w:space="0"/>
              </w:pBdr>
              <w:spacing w:line="276" w:lineRule="auto"/>
              <w:jc w:val="both"/>
              <w:rPr>
                <w:color w:val="000000"/>
              </w:rPr>
            </w:pPr>
            <w:r w:rsidRPr="00000000" w:rsidDel="00000000" w:rsidR="00000000">
              <w:rPr>
                <w:color w:val="000000"/>
                <w:rtl w:val="0"/>
              </w:rPr>
              <w:t xml:space="preserve">Analyst who reviews On-Chain TM Alerts.</w:t>
            </w:r>
          </w:p>
        </w:tc>
      </w:tr>
      <w:tr>
        <w:trPr>
          <w:cantSplit w:val="0"/>
          <w:trHeight w:val="541" w:hRule="atLeast"/>
          <w:tblHeader w:val="0"/>
        </w:trPr>
        <w:tc>
          <w:tcPr>
            <w:shd w:val="clear" w:fill="auto"/>
            <w:tcMar>
              <w:top w:w="40.0" w:type="dxa"/>
              <w:left w:w="100.0" w:type="dxa"/>
              <w:bottom w:w="100.0" w:type="dxa"/>
              <w:right w:w="40.0" w:type="dxa"/>
            </w:tcMar>
          </w:tcPr>
          <w:p w:rsidRPr="00000000" w:rsidR="00000000" w:rsidDel="00000000" w:rsidP="00000000" w:rsidRDefault="00000000" w14:paraId="000001B0">
            <w:pPr>
              <w:ind w:left="20" w:firstLine="0"/>
              <w:rPr>
                <w:color w:val="000000"/>
              </w:rPr>
            </w:pPr>
            <w:r w:rsidRPr="00000000" w:rsidDel="00000000" w:rsidR="00000000">
              <w:rPr>
                <w:b w:val="1"/>
                <w:bCs w:val="1"/>
                <w:color w:val="000000"/>
                <w:rtl w:val="0"/>
              </w:rPr>
              <w:t xml:space="preserve">QA – Quality Assurance</w:t>
            </w:r>
            <w:r w:rsidRPr="00000000" w:rsidDel="00000000" w:rsidR="00000000">
              <w:rPr>
                <w:rtl w:val="0"/>
              </w:rPr>
            </w:r>
          </w:p>
        </w:tc>
        <w:tc>
          <w:tcPr>
            <w:shd w:val="clear" w:fill="auto"/>
            <w:tcMar>
              <w:top w:w="43.2" w:type="dxa"/>
              <w:left w:w="43.2" w:type="dxa"/>
              <w:bottom w:w="43.2" w:type="dxa"/>
              <w:right w:w="43.2" w:type="dxa"/>
            </w:tcMar>
          </w:tcPr>
          <w:p w:rsidRPr="00000000" w:rsidR="00000000" w:rsidDel="00000000" w:rsidP="00000000" w:rsidRDefault="00000000" w14:paraId="000001B1">
            <w:pPr>
              <w:spacing w:line="276" w:lineRule="auto"/>
              <w:ind w:left="40" w:firstLine="0"/>
              <w:jc w:val="both"/>
              <w:rPr>
                <w:color w:val="000000"/>
              </w:rPr>
            </w:pPr>
            <w:r w:rsidRPr="00000000" w:rsidDel="00000000" w:rsidR="00000000">
              <w:rPr>
                <w:color w:val="000000"/>
                <w:rtl w:val="0"/>
              </w:rPr>
              <w:t xml:space="preserve">QA conducts quality sampling of solved cases and provides reports and feedback to TM operations based on their findings. This is a function external to the Transaction Monitoring Business Unit.</w:t>
            </w:r>
          </w:p>
        </w:tc>
      </w:tr>
      <w:tr>
        <w:trPr>
          <w:cantSplit w:val="0"/>
          <w:trHeight w:val="1195" w:hRule="atLeast"/>
          <w:tblHeader w:val="0"/>
        </w:trPr>
        <w:tc>
          <w:tcPr>
            <w:shd w:val="clear" w:fill="auto"/>
            <w:tcMar>
              <w:top w:w="40.0" w:type="dxa"/>
              <w:left w:w="100.0" w:type="dxa"/>
              <w:bottom w:w="100.0" w:type="dxa"/>
              <w:right w:w="40.0" w:type="dxa"/>
            </w:tcMar>
          </w:tcPr>
          <w:p w:rsidRPr="00000000" w:rsidR="00000000" w:rsidDel="00000000" w:rsidP="00000000" w:rsidRDefault="00000000" w14:paraId="000001B2">
            <w:pPr>
              <w:ind w:left="20" w:firstLine="0"/>
              <w:rPr>
                <w:color w:val="000000"/>
              </w:rPr>
            </w:pPr>
            <w:r w:rsidRPr="00000000" w:rsidDel="00000000" w:rsidR="00000000">
              <w:rPr>
                <w:b w:val="1"/>
                <w:bCs w:val="1"/>
                <w:color w:val="000000"/>
                <w:rtl w:val="0"/>
              </w:rPr>
              <w:t xml:space="preserve">QC – Quality Check / L2 TM Analyst</w:t>
            </w:r>
            <w:r w:rsidRPr="00000000" w:rsidDel="00000000" w:rsidR="00000000">
              <w:rPr>
                <w:rtl w:val="0"/>
              </w:rPr>
            </w:r>
          </w:p>
        </w:tc>
        <w:tc>
          <w:tcPr>
            <w:shd w:val="clear" w:fill="auto"/>
            <w:tcMar>
              <w:top w:w="43.2" w:type="dxa"/>
              <w:left w:w="43.2" w:type="dxa"/>
              <w:bottom w:w="43.2" w:type="dxa"/>
              <w:right w:w="43.2" w:type="dxa"/>
            </w:tcMar>
          </w:tcPr>
          <w:p w:rsidRPr="00000000" w:rsidR="00000000" w:rsidDel="00000000" w:rsidP="00000000" w:rsidRDefault="00000000" w14:paraId="000001B3">
            <w:pPr>
              <w:spacing w:line="276" w:lineRule="auto"/>
              <w:ind w:left="40" w:firstLine="0"/>
              <w:jc w:val="both"/>
              <w:rPr>
                <w:color w:val="000000"/>
              </w:rPr>
            </w:pPr>
            <w:r w:rsidRPr="00000000" w:rsidDel="00000000" w:rsidR="00000000">
              <w:rPr>
                <w:color w:val="000000"/>
                <w:rtl w:val="0"/>
              </w:rPr>
              <w:t xml:space="preserve">QC conducts supervisory review sampling of cases concluded (recommended) by TM Analysts and solves the case. QC Analyst provides feedback to TM Analysts and may return the case for rectification. This is an in-house function that ensures 4-eyes due diligence and maintains quality standards and is conducted by senior TM Analysts.</w:t>
            </w:r>
          </w:p>
        </w:tc>
      </w:tr>
      <w:tr>
        <w:trPr>
          <w:cantSplit w:val="0"/>
          <w:trHeight w:val="1195" w:hRule="atLeast"/>
          <w:tblHeader w:val="0"/>
        </w:trPr>
        <w:tc>
          <w:tcPr>
            <w:shd w:val="clear" w:fill="auto"/>
            <w:tcMar>
              <w:top w:w="40.0" w:type="dxa"/>
              <w:left w:w="100.0" w:type="dxa"/>
              <w:bottom w:w="100.0" w:type="dxa"/>
              <w:right w:w="40.0" w:type="dxa"/>
            </w:tcMar>
          </w:tcPr>
          <w:p w:rsidRPr="00000000" w:rsidR="00000000" w:rsidDel="00000000" w:rsidP="00000000" w:rsidRDefault="00000000" w14:paraId="000001B4">
            <w:pPr>
              <w:ind w:left="20" w:firstLine="0"/>
              <w:rPr>
                <w:b w:val="1"/>
                <w:bCs w:val="1"/>
                <w:color w:val="000000"/>
              </w:rPr>
            </w:pPr>
            <w:r w:rsidRPr="00000000" w:rsidDel="00000000" w:rsidR="00000000">
              <w:rPr>
                <w:b w:val="1"/>
                <w:bCs w:val="1"/>
                <w:color w:val="000000"/>
                <w:rtl w:val="0"/>
              </w:rPr>
              <w:t xml:space="preserve">FCI Investigator (L2)</w:t>
            </w:r>
          </w:p>
        </w:tc>
        <w:tc>
          <w:tcPr>
            <w:shd w:val="clear" w:fill="auto"/>
            <w:tcMar>
              <w:top w:w="43.2" w:type="dxa"/>
              <w:left w:w="43.2" w:type="dxa"/>
              <w:bottom w:w="43.2" w:type="dxa"/>
              <w:right w:w="43.2" w:type="dxa"/>
            </w:tcMar>
          </w:tcPr>
          <w:p w:rsidRPr="00000000" w:rsidR="00000000" w:rsidDel="00000000" w:rsidP="00000000" w:rsidRDefault="00000000" w14:paraId="000001B5">
            <w:pPr>
              <w:spacing w:line="276" w:lineRule="auto"/>
              <w:ind w:left="20" w:firstLine="0"/>
              <w:jc w:val="both"/>
              <w:rPr>
                <w:color w:val="000000"/>
              </w:rPr>
            </w:pPr>
            <w:r w:rsidRPr="00000000" w:rsidDel="00000000" w:rsidR="00000000">
              <w:rPr>
                <w:color w:val="000000"/>
                <w:rtl w:val="0"/>
              </w:rPr>
              <w:t xml:space="preserve">FCI Investigator conducts advance investigation on escalated cases with a holistic review on the escalated accounts, complete the ICR recommendation of the next course of action prior to escalating to an MLRO for possible external SAR filing if applicable.</w:t>
            </w:r>
          </w:p>
        </w:tc>
      </w:tr>
      <w:tr>
        <w:trPr>
          <w:cantSplit w:val="0"/>
          <w:trHeight w:val="532" w:hRule="atLeast"/>
          <w:tblHeader w:val="0"/>
        </w:trPr>
        <w:tc>
          <w:tcPr>
            <w:shd w:val="clear" w:fill="auto"/>
            <w:tcMar>
              <w:top w:w="40.0" w:type="dxa"/>
              <w:left w:w="100.0" w:type="dxa"/>
              <w:bottom w:w="100.0" w:type="dxa"/>
              <w:right w:w="40.0" w:type="dxa"/>
            </w:tcMar>
          </w:tcPr>
          <w:p w:rsidRPr="00000000" w:rsidR="00000000" w:rsidDel="00000000" w:rsidP="00000000" w:rsidRDefault="00000000" w14:paraId="000001B6">
            <w:pPr>
              <w:ind w:left="20" w:firstLine="0"/>
              <w:rPr>
                <w:b w:val="1"/>
                <w:bCs w:val="1"/>
                <w:color w:val="000000"/>
              </w:rPr>
            </w:pPr>
            <w:r w:rsidRPr="00000000" w:rsidDel="00000000" w:rsidR="00000000">
              <w:rPr>
                <w:b w:val="1"/>
                <w:bCs w:val="1"/>
                <w:color w:val="000000"/>
                <w:rtl w:val="0"/>
              </w:rPr>
              <w:t xml:space="preserve">Money Laundering Reporting Officer (MLRO) (L3)</w:t>
            </w:r>
          </w:p>
        </w:tc>
        <w:tc>
          <w:tcPr>
            <w:shd w:val="clear" w:fill="auto"/>
            <w:tcMar>
              <w:top w:w="43.2" w:type="dxa"/>
              <w:left w:w="43.2" w:type="dxa"/>
              <w:bottom w:w="43.2" w:type="dxa"/>
              <w:right w:w="43.2" w:type="dxa"/>
            </w:tcMar>
          </w:tcPr>
          <w:p w:rsidRPr="00000000" w:rsidR="00000000" w:rsidDel="00000000" w:rsidP="00000000" w:rsidRDefault="00000000" w14:paraId="000001B7">
            <w:pPr>
              <w:spacing w:line="276" w:lineRule="auto"/>
              <w:ind w:left="20" w:firstLine="0"/>
              <w:jc w:val="both"/>
              <w:rPr>
                <w:color w:val="000000"/>
              </w:rPr>
            </w:pPr>
            <w:r w:rsidRPr="00000000" w:rsidDel="00000000" w:rsidR="00000000">
              <w:rPr>
                <w:color w:val="000000"/>
                <w:rtl w:val="0"/>
              </w:rPr>
              <w:t xml:space="preserve">The appointed person who manages the external SAR reporting process based on localized AML and CTF regulations under a Binance registered entity.</w:t>
            </w:r>
          </w:p>
        </w:tc>
      </w:tr>
    </w:tbl>
    <w:p w:rsidRPr="00000000" w:rsidR="00000000" w:rsidDel="00000000" w:rsidP="00000000" w:rsidRDefault="00000000" w14:paraId="000001B8">
      <w:pPr>
        <w:pStyle w:val="Heading1"/>
        <w:numPr>
          <w:ilvl w:val="0"/>
          <w:numId w:val="25"/>
        </w:numPr>
        <w:spacing w:after="240" w:lineRule="auto"/>
        <w:ind w:left="720"/>
        <w:jc w:val="both"/>
        <w:rPr/>
      </w:pPr>
      <w:bookmarkStart w:name="_heading=h.26in1rg" w:colFirst="0" w:colLast="0" w:id="90"/>
      <w:bookmarkEnd w:id="90"/>
      <w:r w:rsidRPr="00000000" w:rsidDel="00000000" w:rsidR="00000000">
        <w:rPr>
          <w:rFonts w:ascii="Arial" w:hAnsi="Arial" w:eastAsia="Arial" w:cs="Arial"/>
          <w:smallCaps w:val="1"/>
          <w:sz w:val="28"/>
          <w:szCs w:val="28"/>
          <w:rtl w:val="0"/>
        </w:rPr>
        <w:t xml:space="preserve">APPROACH TO OFF-CHAIN TRANSACTION MONITORING AND ON-CHAIN TRANSACTION SCREENING INVESTIGATION</w:t>
      </w:r>
    </w:p>
    <w:p w:rsidRPr="00000000" w:rsidR="00000000" w:rsidDel="00000000" w:rsidP="00000000" w:rsidRDefault="00000000" w14:paraId="000001B9">
      <w:pPr>
        <w:pStyle w:val="Heading2"/>
        <w:numPr>
          <w:ilvl w:val="1"/>
          <w:numId w:val="25"/>
        </w:numPr>
        <w:spacing w:after="240" w:lineRule="auto"/>
        <w:ind w:left="720"/>
        <w:jc w:val="both"/>
        <w:rPr>
          <w:sz w:val="26"/>
          <w:szCs w:val="26"/>
        </w:rPr>
      </w:pPr>
      <w:bookmarkStart w:name="_heading=h.nasdqugdl6zl" w:colFirst="0" w:colLast="0" w:id="91"/>
      <w:bookmarkEnd w:id="91"/>
      <w:r w:rsidRPr="00000000" w:rsidDel="00000000" w:rsidR="00000000">
        <w:rPr>
          <w:rFonts w:ascii="Arial" w:hAnsi="Arial" w:eastAsia="Arial" w:cs="Arial"/>
          <w:sz w:val="24"/>
          <w:szCs w:val="24"/>
          <w:u w:val="single"/>
          <w:rtl w:val="0"/>
        </w:rPr>
        <w:t xml:space="preserve">Review of customer profile</w:t>
      </w:r>
      <w:r w:rsidRPr="00000000" w:rsidDel="00000000" w:rsidR="00000000">
        <w:rPr>
          <w:rtl w:val="0"/>
        </w:rPr>
      </w:r>
    </w:p>
    <w:p w:rsidRPr="00000000" w:rsidR="00000000" w:rsidDel="00000000" w:rsidP="00000000" w:rsidRDefault="00000000" w14:paraId="000001BA">
      <w:pPr>
        <w:numPr>
          <w:ilvl w:val="2"/>
          <w:numId w:val="25"/>
        </w:numPr>
        <w:spacing w:after="240" w:lineRule="auto"/>
        <w:ind w:left="720" w:hanging="720"/>
        <w:jc w:val="both"/>
        <w:rPr/>
      </w:pPr>
      <w:bookmarkStart w:name="_heading=h.v0lma1rrntdc" w:colFirst="0" w:colLast="0" w:id="92"/>
      <w:bookmarkEnd w:id="92"/>
      <w:r w:rsidRPr="00000000" w:rsidDel="00000000" w:rsidR="00000000">
        <w:rPr>
          <w:rtl w:val="0"/>
        </w:rPr>
        <w:t xml:space="preserve">To ensure a comprehensive understanding of the customer's profile and evaluate potential ML/TF risks, Analysts may choose to examine current CDD materials including, but not limited to, proof of identity, address, declared source of wealth, and Customer Risk Rating (CRR) to guide their decision-making and alert adjudication process. Further details can be found in Binance Group’s Global AML/CTF Policy. This holistic review of the customer’s profile will allow Analysts to come to an overall risk assessment of the customer.</w:t>
      </w:r>
    </w:p>
    <w:p w:rsidRPr="00000000" w:rsidR="00000000" w:rsidDel="00000000" w:rsidP="00000000" w:rsidRDefault="00000000" w14:paraId="000001BB">
      <w:pPr>
        <w:spacing w:after="240" w:lineRule="auto"/>
        <w:ind w:firstLine="720"/>
        <w:jc w:val="both"/>
        <w:rPr>
          <w:b w:val="1"/>
          <w:bCs w:val="1"/>
          <w:u w:val="single"/>
        </w:rPr>
      </w:pPr>
      <w:bookmarkStart w:name="_heading=h.jfrnc4f6666e" w:colFirst="0" w:colLast="0" w:id="93"/>
      <w:bookmarkEnd w:id="93"/>
      <w:r w:rsidRPr="00000000" w:rsidDel="00000000" w:rsidR="00000000">
        <w:rPr>
          <w:b w:val="1"/>
          <w:bCs w:val="1"/>
          <w:u w:val="single"/>
          <w:rtl w:val="0"/>
        </w:rPr>
        <w:t xml:space="preserve">Understand Your Customer(s)</w:t>
      </w:r>
    </w:p>
    <w:p w:rsidRPr="00000000" w:rsidR="00000000" w:rsidDel="00000000" w:rsidP="00000000" w:rsidRDefault="00000000" w14:paraId="000001BC">
      <w:pPr>
        <w:numPr>
          <w:ilvl w:val="2"/>
          <w:numId w:val="25"/>
        </w:numPr>
        <w:spacing w:after="240" w:lineRule="auto"/>
        <w:ind w:left="720" w:hanging="720"/>
        <w:jc w:val="both"/>
        <w:rPr/>
      </w:pPr>
      <w:bookmarkStart w:name="_heading=h.222krzue1o1o" w:colFirst="0" w:colLast="0" w:id="94"/>
      <w:bookmarkEnd w:id="94"/>
      <w:r w:rsidRPr="00000000" w:rsidDel="00000000" w:rsidR="00000000">
        <w:rPr>
          <w:rtl w:val="0"/>
        </w:rPr>
        <w:t xml:space="preserve">KYC for customer subjects or external (profile) information for party subjects must be collected and reviewed – the Analyst must adopt the Understand Your Customer(s) (UYC) principle:</w:t>
      </w:r>
    </w:p>
    <w:p w:rsidRPr="00000000" w:rsidR="00000000" w:rsidDel="00000000" w:rsidP="00000000" w:rsidRDefault="00000000" w14:paraId="000001BD">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left"/>
        <w:rPr>
          <w:rFonts w:ascii="Arial" w:hAnsi="Arial" w:eastAsia="Arial" w:cs="Arial"/>
          <w:i w:val="0"/>
          <w:iCs w:val="0"/>
          <w:smallCaps w:val="0"/>
          <w:strike w:val="0"/>
          <w:color w:val="000000"/>
          <w:sz w:val="22"/>
          <w:szCs w:val="22"/>
          <w:shd w:val="clear" w:fill="auto"/>
          <w:vertAlign w:val="baseline"/>
        </w:rPr>
      </w:pPr>
      <w:bookmarkStart w:name="_heading=h.8vunq2ius40z" w:colFirst="0" w:colLast="0" w:id="95"/>
      <w:bookmarkEnd w:id="95"/>
      <w:r w:rsidRPr="00000000" w:rsidDel="00000000" w:rsidR="00000000">
        <w:rPr>
          <w:i w:val="0"/>
          <w:iCs w:val="0"/>
          <w:smallCaps w:val="0"/>
          <w:strike w:val="0"/>
          <w:color w:val="000000"/>
          <w:sz w:val="22"/>
          <w:szCs w:val="22"/>
          <w:u w:val="none"/>
          <w:shd w:val="clear" w:fill="auto"/>
          <w:vertAlign w:val="baseline"/>
          <w:rtl w:val="0"/>
        </w:rPr>
        <w:t xml:space="preserve">To evaluate or assess if the subject KYC or profile information is in accordance with, or explains alerted transactions;</w:t>
      </w:r>
    </w:p>
    <w:p w:rsidRPr="00000000" w:rsidR="00000000" w:rsidDel="00000000" w:rsidP="00000000" w:rsidRDefault="00000000" w14:paraId="000001BE">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left"/>
        <w:rPr>
          <w:rFonts w:ascii="Arial" w:hAnsi="Arial" w:eastAsia="Arial" w:cs="Arial"/>
          <w:i w:val="0"/>
          <w:iCs w:val="0"/>
          <w:smallCaps w:val="0"/>
          <w:strike w:val="0"/>
          <w:color w:val="000000"/>
          <w:sz w:val="22"/>
          <w:szCs w:val="22"/>
          <w:shd w:val="clear" w:fill="auto"/>
          <w:vertAlign w:val="baseline"/>
        </w:rPr>
      </w:pPr>
      <w:bookmarkStart w:name="_heading=h.sqfx50dmpdh1" w:colFirst="0" w:colLast="0" w:id="96"/>
      <w:bookmarkEnd w:id="96"/>
      <w:r w:rsidRPr="00000000" w:rsidDel="00000000" w:rsidR="00000000">
        <w:rPr>
          <w:i w:val="0"/>
          <w:iCs w:val="0"/>
          <w:smallCaps w:val="0"/>
          <w:strike w:val="0"/>
          <w:color w:val="000000"/>
          <w:sz w:val="22"/>
          <w:szCs w:val="22"/>
          <w:u w:val="none"/>
          <w:shd w:val="clear" w:fill="auto"/>
          <w:vertAlign w:val="baseline"/>
          <w:rtl w:val="0"/>
        </w:rPr>
        <w:t xml:space="preserve">To assess whether the account activities are in line with the given KYC profile and the Analyst understands the customer profile; and</w:t>
      </w:r>
    </w:p>
    <w:p w:rsidRPr="00000000" w:rsidR="00000000" w:rsidDel="00000000" w:rsidP="00000000" w:rsidRDefault="00000000" w14:paraId="000001BF">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bookmarkStart w:name="_heading=h.krgr2amz1jch" w:colFirst="0" w:colLast="0" w:id="97"/>
      <w:bookmarkEnd w:id="97"/>
      <w:r w:rsidRPr="00000000" w:rsidDel="00000000" w:rsidR="00000000">
        <w:rPr>
          <w:i w:val="0"/>
          <w:iCs w:val="0"/>
          <w:smallCaps w:val="0"/>
          <w:strike w:val="0"/>
          <w:color w:val="000000"/>
          <w:sz w:val="22"/>
          <w:szCs w:val="22"/>
          <w:u w:val="none"/>
          <w:shd w:val="clear" w:fill="auto"/>
          <w:vertAlign w:val="baseline"/>
          <w:rtl w:val="0"/>
        </w:rPr>
        <w:t xml:space="preserve">To understand any potential risk associated with the subject, e.g. resident/non-resident, purpose of account/wallet, relationship with Binance, association with any high risk countries, or any other high risk indicators.</w:t>
      </w:r>
    </w:p>
    <w:p w:rsidRPr="00000000" w:rsidR="00000000" w:rsidDel="00000000" w:rsidP="00000000" w:rsidRDefault="00000000" w14:paraId="000001C0">
      <w:pPr>
        <w:numPr>
          <w:ilvl w:val="2"/>
          <w:numId w:val="25"/>
        </w:numPr>
        <w:spacing w:after="240" w:lineRule="auto"/>
        <w:ind w:left="720" w:hanging="720"/>
        <w:jc w:val="both"/>
        <w:rPr/>
      </w:pPr>
      <w:bookmarkStart w:name="_heading=h.30ep8udj1ua" w:colFirst="0" w:colLast="0" w:id="98"/>
      <w:bookmarkEnd w:id="98"/>
      <w:r w:rsidRPr="00000000" w:rsidDel="00000000" w:rsidR="00000000">
        <w:rPr>
          <w:rtl w:val="0"/>
        </w:rPr>
        <w:t xml:space="preserve">The user's KYC details should be pre-populated into the ACS (for off-chain TM case review) or Analyst Review (for on-chain TM alerts review).  </w:t>
      </w:r>
    </w:p>
    <w:p w:rsidRPr="00000000" w:rsidR="00000000" w:rsidDel="00000000" w:rsidP="00000000" w:rsidRDefault="00000000" w14:paraId="000001C1">
      <w:pPr>
        <w:spacing w:after="240" w:lineRule="auto"/>
        <w:ind w:firstLine="720"/>
        <w:jc w:val="both"/>
        <w:rPr>
          <w:b w:val="1"/>
          <w:bCs w:val="1"/>
          <w:u w:val="single"/>
        </w:rPr>
      </w:pPr>
      <w:bookmarkStart w:name="_heading=h.2x36c7uaon8a" w:colFirst="0" w:colLast="0" w:id="99"/>
      <w:bookmarkEnd w:id="99"/>
      <w:r w:rsidRPr="00000000" w:rsidDel="00000000" w:rsidR="00000000">
        <w:rPr>
          <w:b w:val="1"/>
          <w:bCs w:val="1"/>
          <w:u w:val="single"/>
          <w:rtl w:val="0"/>
        </w:rPr>
        <w:t xml:space="preserve">KYC / Profile Information Review</w:t>
      </w:r>
    </w:p>
    <w:p w:rsidRPr="00000000" w:rsidR="00000000" w:rsidDel="00000000" w:rsidP="00000000" w:rsidRDefault="00000000" w14:paraId="000001C2">
      <w:pPr>
        <w:numPr>
          <w:ilvl w:val="2"/>
          <w:numId w:val="25"/>
        </w:numPr>
        <w:spacing w:after="240" w:lineRule="auto"/>
        <w:ind w:left="720" w:hanging="720"/>
        <w:jc w:val="both"/>
        <w:rPr/>
      </w:pPr>
      <w:r w:rsidRPr="00000000" w:rsidDel="00000000" w:rsidR="00000000">
        <w:rPr>
          <w:rtl w:val="0"/>
        </w:rPr>
        <w:t xml:space="preserve">The KYC information or externally collected information must be reviewed and understood in context.  The relevance of certain information depends on the type of account and alerted behaviour being observed and should allow the Analyst to understand the alerted customer(s). This includes considering the following factors:</w:t>
      </w:r>
    </w:p>
    <w:p w:rsidRPr="00000000" w:rsidR="00000000" w:rsidDel="00000000" w:rsidP="00000000" w:rsidRDefault="00000000" w14:paraId="000001C3">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Who is/are the subject(s)?</w:t>
      </w:r>
    </w:p>
    <w:p w:rsidRPr="00000000" w:rsidR="00000000" w:rsidDel="00000000" w:rsidP="00000000" w:rsidRDefault="00000000" w14:paraId="000001C4">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What is the expected transactional activity of the subject?</w:t>
      </w:r>
    </w:p>
    <w:p w:rsidRPr="00000000" w:rsidR="00000000" w:rsidDel="00000000" w:rsidP="00000000" w:rsidRDefault="00000000" w14:paraId="000001C5">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What is the purpose of the account/wallet?</w:t>
      </w:r>
    </w:p>
    <w:p w:rsidRPr="00000000" w:rsidR="00000000" w:rsidDel="00000000" w:rsidP="00000000" w:rsidRDefault="00000000" w14:paraId="000001C6">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Is all relevant/up to date KYC/CDD information on our customer available?</w:t>
      </w:r>
    </w:p>
    <w:p w:rsidRPr="00000000" w:rsidR="00000000" w:rsidDel="00000000" w:rsidP="00000000" w:rsidRDefault="00000000" w14:paraId="000001C7">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Are there any concerns related to the subject based on the KYC or profile information?</w:t>
      </w:r>
    </w:p>
    <w:p w:rsidRPr="00000000" w:rsidR="00000000" w:rsidDel="00000000" w:rsidP="00000000" w:rsidRDefault="00000000" w14:paraId="000001C8">
      <w:pPr>
        <w:numPr>
          <w:ilvl w:val="2"/>
          <w:numId w:val="25"/>
        </w:numPr>
        <w:spacing w:after="240" w:lineRule="auto"/>
        <w:ind w:left="720" w:hanging="720"/>
        <w:jc w:val="both"/>
        <w:rPr/>
      </w:pPr>
      <w:bookmarkStart w:name="_heading=h.ij5j6j5gwqfz" w:colFirst="0" w:colLast="0" w:id="100"/>
      <w:bookmarkEnd w:id="100"/>
      <w:r w:rsidRPr="00000000" w:rsidDel="00000000" w:rsidR="00000000">
        <w:rPr>
          <w:rtl w:val="0"/>
        </w:rPr>
        <w:t xml:space="preserve">The table below sets out guidance on the KYC / Profile Information:</w:t>
      </w:r>
    </w:p>
    <w:tbl>
      <w:tblPr>
        <w:tblStyle w:val="Table11"/>
        <w:tblW w:w="9870.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
      <w:tblGrid>
        <w:gridCol w:w="2250"/>
        <w:gridCol w:w="7620"/>
        <w:tblGridChange w:id="0">
          <w:tblGrid>
            <w:gridCol w:w="2250"/>
            <w:gridCol w:w="7620"/>
          </w:tblGrid>
        </w:tblGridChange>
      </w:tblGrid>
      <w:tr>
        <w:trPr>
          <w:cantSplit w:val="0"/>
          <w:trHeight w:val="432.978515625" w:hRule="atLeast"/>
          <w:tblHeader w:val="0"/>
        </w:trPr>
        <w:tc>
          <w:tcPr>
            <w:tcBorders>
              <w:top w:val="single" w:color="000000" w:sz="6" w:space="0"/>
              <w:left w:val="single" w:color="000000" w:sz="6" w:space="0"/>
              <w:bottom w:val="single" w:color="000000" w:sz="6" w:space="0"/>
              <w:right w:val="single" w:color="000000" w:sz="6" w:space="0"/>
            </w:tcBorders>
            <w:shd w:val="clear" w:fill="f7cbac"/>
            <w:tcMar>
              <w:top w:w="20.0" w:type="dxa"/>
              <w:left w:w="120.0" w:type="dxa"/>
              <w:bottom w:w="100.0" w:type="dxa"/>
              <w:right w:w="0.0" w:type="dxa"/>
            </w:tcMar>
            <w:vAlign w:val="center"/>
          </w:tcPr>
          <w:p w:rsidRPr="00000000" w:rsidR="00000000" w:rsidDel="00000000" w:rsidP="00000000" w:rsidRDefault="00000000" w14:paraId="000001C9">
            <w:pPr>
              <w:spacing w:after="0" w:line="240" w:lineRule="auto"/>
              <w:ind w:left="-20" w:firstLine="0"/>
              <w:rPr>
                <w:b w:val="1"/>
                <w:bCs w:val="1"/>
              </w:rPr>
            </w:pPr>
            <w:r w:rsidRPr="00000000" w:rsidDel="00000000" w:rsidR="00000000">
              <w:rPr>
                <w:b w:val="1"/>
                <w:bCs w:val="1"/>
                <w:rtl w:val="0"/>
              </w:rPr>
              <w:t xml:space="preserve">KYC Information</w:t>
            </w:r>
          </w:p>
        </w:tc>
        <w:tc>
          <w:tcPr>
            <w:tcBorders>
              <w:top w:val="single" w:color="000000" w:sz="6" w:space="0"/>
              <w:left w:val="nil" w:color="000000" w:sz="0" w:space="0"/>
              <w:bottom w:val="single" w:color="000000" w:sz="6" w:space="0"/>
              <w:right w:val="single" w:color="000000" w:sz="6" w:space="0"/>
            </w:tcBorders>
            <w:shd w:val="clear" w:fill="f7cbac"/>
            <w:tcMar>
              <w:top w:w="20.0" w:type="dxa"/>
              <w:left w:w="120.0" w:type="dxa"/>
              <w:bottom w:w="100.0" w:type="dxa"/>
              <w:right w:w="0.0" w:type="dxa"/>
            </w:tcMar>
            <w:vAlign w:val="center"/>
          </w:tcPr>
          <w:p w:rsidRPr="00000000" w:rsidR="00000000" w:rsidDel="00000000" w:rsidP="00000000" w:rsidRDefault="00000000" w14:paraId="000001CA">
            <w:pPr>
              <w:spacing w:after="0" w:line="240" w:lineRule="auto"/>
              <w:ind w:left="-20" w:firstLine="0"/>
              <w:rPr>
                <w:b w:val="1"/>
                <w:bCs w:val="1"/>
              </w:rPr>
            </w:pPr>
            <w:r w:rsidRPr="00000000" w:rsidDel="00000000" w:rsidR="00000000">
              <w:rPr>
                <w:b w:val="1"/>
                <w:bCs w:val="1"/>
                <w:rtl w:val="0"/>
              </w:rPr>
              <w:t xml:space="preserve">Guidance</w:t>
            </w:r>
          </w:p>
        </w:tc>
      </w:tr>
      <w:tr>
        <w:trPr>
          <w:cantSplit w:val="0"/>
          <w:tblHeader w:val="0"/>
        </w:trPr>
        <w:tc>
          <w:tcPr>
            <w:tcBorders>
              <w:top w:val="nil" w:color="000000" w:sz="0" w:space="0"/>
              <w:left w:val="single" w:color="000000" w:sz="6" w:space="0"/>
              <w:bottom w:val="single" w:color="000000" w:sz="6" w:space="0"/>
              <w:right w:val="single" w:color="000000" w:sz="6" w:space="0"/>
            </w:tcBorders>
            <w:tcMar>
              <w:top w:w="20.0" w:type="dxa"/>
              <w:left w:w="120.0" w:type="dxa"/>
              <w:bottom w:w="100.0" w:type="dxa"/>
              <w:right w:w="0.0" w:type="dxa"/>
            </w:tcMar>
          </w:tcPr>
          <w:p w:rsidRPr="00000000" w:rsidR="00000000" w:rsidDel="00000000" w:rsidP="00000000" w:rsidRDefault="00000000" w14:paraId="000001CB">
            <w:pPr>
              <w:spacing w:after="0" w:line="276" w:lineRule="auto"/>
              <w:ind w:left="-40" w:right="60" w:firstLine="0"/>
              <w:rPr>
                <w:b w:val="1"/>
                <w:bCs w:val="1"/>
              </w:rPr>
            </w:pPr>
            <w:r w:rsidRPr="00000000" w:rsidDel="00000000" w:rsidR="00000000">
              <w:rPr>
                <w:b w:val="1"/>
                <w:bCs w:val="1"/>
                <w:rtl w:val="0"/>
              </w:rPr>
              <w:t xml:space="preserve">Credit Turn-over / revenue</w:t>
            </w:r>
          </w:p>
        </w:tc>
        <w:tc>
          <w:tcPr>
            <w:tcBorders>
              <w:top w:val="nil" w:color="000000" w:sz="0" w:space="0"/>
              <w:left w:val="nil" w:color="000000" w:sz="0" w:space="0"/>
              <w:bottom w:val="single" w:color="000000" w:sz="6" w:space="0"/>
              <w:right w:val="single" w:color="000000" w:sz="6" w:space="0"/>
            </w:tcBorders>
            <w:tcMar>
              <w:top w:w="20.0" w:type="dxa"/>
              <w:left w:w="120.0" w:type="dxa"/>
              <w:bottom w:w="100.0" w:type="dxa"/>
              <w:right w:w="0.0" w:type="dxa"/>
            </w:tcMar>
          </w:tcPr>
          <w:p w:rsidRPr="00000000" w:rsidR="00000000" w:rsidDel="00000000" w:rsidP="00000000" w:rsidRDefault="00000000" w14:paraId="000001CC">
            <w:pPr>
              <w:spacing w:after="0" w:line="276" w:lineRule="auto"/>
              <w:ind w:left="-40" w:right="105" w:firstLine="0"/>
              <w:jc w:val="both"/>
              <w:rPr/>
            </w:pPr>
            <w:r w:rsidRPr="00000000" w:rsidDel="00000000" w:rsidR="00000000">
              <w:rPr>
                <w:rtl w:val="0"/>
              </w:rPr>
              <w:t xml:space="preserve">Reveals the total credits and debits made in and out of the account/wallet.  Helps explain the activity on the customer’s account/wallet including the values and the amounts.</w:t>
            </w:r>
          </w:p>
        </w:tc>
      </w:tr>
      <w:tr>
        <w:trPr>
          <w:cantSplit w:val="0"/>
          <w:tblHeader w:val="0"/>
        </w:trPr>
        <w:tc>
          <w:tcPr>
            <w:tcBorders>
              <w:top w:val="nil" w:color="000000" w:sz="0" w:space="0"/>
              <w:left w:val="single" w:color="000000" w:sz="6" w:space="0"/>
              <w:bottom w:val="single" w:color="000000" w:sz="6" w:space="0"/>
              <w:right w:val="single" w:color="000000" w:sz="6" w:space="0"/>
            </w:tcBorders>
            <w:tcMar>
              <w:top w:w="40.0" w:type="dxa"/>
              <w:left w:w="120.0" w:type="dxa"/>
              <w:bottom w:w="100.0" w:type="dxa"/>
              <w:right w:w="60.0" w:type="dxa"/>
            </w:tcMar>
          </w:tcPr>
          <w:p w:rsidRPr="00000000" w:rsidR="00000000" w:rsidDel="00000000" w:rsidP="00000000" w:rsidRDefault="00000000" w14:paraId="000001CD">
            <w:pPr>
              <w:spacing w:after="0" w:line="276" w:lineRule="auto"/>
              <w:ind w:left="-40" w:right="60" w:firstLine="0"/>
              <w:rPr>
                <w:b w:val="1"/>
                <w:bCs w:val="1"/>
              </w:rPr>
            </w:pPr>
            <w:r w:rsidRPr="00000000" w:rsidDel="00000000" w:rsidR="00000000">
              <w:rPr>
                <w:b w:val="1"/>
                <w:bCs w:val="1"/>
                <w:rtl w:val="0"/>
              </w:rPr>
              <w:t xml:space="preserve">Current Addresses  </w:t>
            </w:r>
          </w:p>
        </w:tc>
        <w:tc>
          <w:tcPr>
            <w:tcBorders>
              <w:top w:val="nil" w:color="000000" w:sz="0" w:space="0"/>
              <w:left w:val="nil" w:color="000000" w:sz="0" w:space="0"/>
              <w:bottom w:val="single" w:color="000000" w:sz="6" w:space="0"/>
              <w:right w:val="single" w:color="000000" w:sz="6" w:space="0"/>
            </w:tcBorders>
            <w:tcMar>
              <w:top w:w="40.0" w:type="dxa"/>
              <w:left w:w="120.0" w:type="dxa"/>
              <w:bottom w:w="100.0" w:type="dxa"/>
              <w:right w:w="60.0" w:type="dxa"/>
            </w:tcMar>
          </w:tcPr>
          <w:p w:rsidRPr="00000000" w:rsidR="00000000" w:rsidDel="00000000" w:rsidP="00000000" w:rsidRDefault="00000000" w14:paraId="000001CE">
            <w:pPr>
              <w:spacing w:after="0" w:line="276" w:lineRule="auto"/>
              <w:ind w:left="-40" w:firstLine="0"/>
              <w:jc w:val="both"/>
              <w:rPr/>
            </w:pPr>
            <w:r w:rsidRPr="00000000" w:rsidDel="00000000" w:rsidR="00000000">
              <w:rPr>
                <w:rtl w:val="0"/>
              </w:rPr>
              <w:t xml:space="preserve">Address and Country of Residency: helps us understand where the customer resides on a permanent basis and assess geographical risk inherent to the user's location. Country of Residency also determines what jurisdiction’s procedures the user's account falls under.</w:t>
            </w:r>
          </w:p>
        </w:tc>
      </w:tr>
      <w:tr>
        <w:trPr>
          <w:cantSplit w:val="0"/>
          <w:tblHeader w:val="0"/>
        </w:trPr>
        <w:tc>
          <w:tcPr>
            <w:tcBorders>
              <w:top w:val="nil" w:color="000000" w:sz="0" w:space="0"/>
              <w:left w:val="single" w:color="000000" w:sz="6" w:space="0"/>
              <w:bottom w:val="single" w:color="000000" w:sz="6" w:space="0"/>
              <w:right w:val="single" w:color="000000" w:sz="6" w:space="0"/>
            </w:tcBorders>
            <w:tcMar>
              <w:top w:w="20.0" w:type="dxa"/>
              <w:left w:w="120.0" w:type="dxa"/>
              <w:bottom w:w="100.0" w:type="dxa"/>
              <w:right w:w="0.0" w:type="dxa"/>
            </w:tcMar>
          </w:tcPr>
          <w:p w:rsidRPr="00000000" w:rsidR="00000000" w:rsidDel="00000000" w:rsidP="00000000" w:rsidRDefault="00000000" w14:paraId="000001CF">
            <w:pPr>
              <w:spacing w:after="0" w:line="276" w:lineRule="auto"/>
              <w:ind w:left="-20" w:right="60" w:firstLine="0"/>
              <w:rPr>
                <w:b w:val="1"/>
                <w:bCs w:val="1"/>
              </w:rPr>
            </w:pPr>
            <w:r w:rsidRPr="00000000" w:rsidDel="00000000" w:rsidR="00000000">
              <w:rPr>
                <w:b w:val="1"/>
                <w:bCs w:val="1"/>
                <w:rtl w:val="0"/>
              </w:rPr>
              <w:t xml:space="preserve">Customer Name</w:t>
            </w:r>
          </w:p>
        </w:tc>
        <w:tc>
          <w:tcPr>
            <w:tcBorders>
              <w:top w:val="nil" w:color="000000" w:sz="0" w:space="0"/>
              <w:left w:val="nil" w:color="000000" w:sz="0" w:space="0"/>
              <w:bottom w:val="single" w:color="000000" w:sz="6" w:space="0"/>
              <w:right w:val="single" w:color="000000" w:sz="6" w:space="0"/>
            </w:tcBorders>
            <w:tcMar>
              <w:top w:w="20.0" w:type="dxa"/>
              <w:left w:w="120.0" w:type="dxa"/>
              <w:bottom w:w="100.0" w:type="dxa"/>
              <w:right w:w="0.0" w:type="dxa"/>
            </w:tcMar>
          </w:tcPr>
          <w:p w:rsidRPr="00000000" w:rsidR="00000000" w:rsidDel="00000000" w:rsidP="00000000" w:rsidRDefault="00000000" w14:paraId="000001D0">
            <w:pPr>
              <w:spacing w:after="0" w:line="276" w:lineRule="auto"/>
              <w:ind w:left="-20" w:right="105" w:firstLine="0"/>
              <w:jc w:val="both"/>
              <w:rPr/>
            </w:pPr>
            <w:r w:rsidRPr="00000000" w:rsidDel="00000000" w:rsidR="00000000">
              <w:rPr>
                <w:rtl w:val="0"/>
              </w:rPr>
              <w:t xml:space="preserve">The Customer Name is part of the Basic CDD information for any alert to process further for any investigation. The name field can also be used in the course of the investigation to confirm activity on the customer’s accounts/wallets, i.e. if payments are being made to or from the same party.  The Customer Name is also used when undertaking external adverse media searches.  </w:t>
            </w:r>
          </w:p>
        </w:tc>
      </w:tr>
      <w:tr>
        <w:trPr>
          <w:cantSplit w:val="0"/>
          <w:tblHeader w:val="0"/>
        </w:trPr>
        <w:tc>
          <w:tcPr>
            <w:tcBorders>
              <w:top w:val="nil" w:color="000000" w:sz="0" w:space="0"/>
              <w:left w:val="single" w:color="000000" w:sz="6" w:space="0"/>
              <w:bottom w:val="single" w:color="000000" w:sz="6" w:space="0"/>
              <w:right w:val="single" w:color="000000" w:sz="6" w:space="0"/>
            </w:tcBorders>
            <w:tcMar>
              <w:top w:w="20.0" w:type="dxa"/>
              <w:left w:w="120.0" w:type="dxa"/>
              <w:bottom w:w="100.0" w:type="dxa"/>
              <w:right w:w="0.0" w:type="dxa"/>
            </w:tcMar>
          </w:tcPr>
          <w:p w:rsidRPr="00000000" w:rsidR="00000000" w:rsidDel="00000000" w:rsidP="00000000" w:rsidRDefault="00000000" w14:paraId="000001D1">
            <w:pPr>
              <w:spacing w:after="0" w:line="276" w:lineRule="auto"/>
              <w:ind w:left="-20" w:right="60" w:firstLine="0"/>
              <w:rPr>
                <w:b w:val="1"/>
                <w:bCs w:val="1"/>
              </w:rPr>
            </w:pPr>
            <w:r w:rsidRPr="00000000" w:rsidDel="00000000" w:rsidR="00000000">
              <w:rPr>
                <w:b w:val="1"/>
                <w:bCs w:val="1"/>
                <w:rtl w:val="0"/>
              </w:rPr>
              <w:t xml:space="preserve">Customer Risk Rating (CRR) &amp; Category</w:t>
            </w:r>
          </w:p>
        </w:tc>
        <w:tc>
          <w:tcPr>
            <w:tcBorders>
              <w:top w:val="nil" w:color="000000" w:sz="0" w:space="0"/>
              <w:left w:val="nil" w:color="000000" w:sz="0" w:space="0"/>
              <w:bottom w:val="single" w:color="000000" w:sz="6" w:space="0"/>
              <w:right w:val="single" w:color="000000" w:sz="6" w:space="0"/>
            </w:tcBorders>
            <w:tcMar>
              <w:top w:w="20.0" w:type="dxa"/>
              <w:left w:w="120.0" w:type="dxa"/>
              <w:bottom w:w="100.0" w:type="dxa"/>
              <w:right w:w="0.0" w:type="dxa"/>
            </w:tcMar>
          </w:tcPr>
          <w:p w:rsidRPr="00000000" w:rsidR="00000000" w:rsidDel="00000000" w:rsidP="00000000" w:rsidRDefault="00000000" w14:paraId="000001D2">
            <w:pPr>
              <w:spacing w:after="0" w:line="276" w:lineRule="auto"/>
              <w:ind w:left="-20" w:right="105" w:firstLine="0"/>
              <w:jc w:val="both"/>
              <w:rPr/>
            </w:pPr>
            <w:r w:rsidRPr="00000000" w:rsidDel="00000000" w:rsidR="00000000">
              <w:rPr>
                <w:rtl w:val="0"/>
              </w:rPr>
              <w:t xml:space="preserve">This defines the customer risk rating and potential PEP status.</w:t>
            </w:r>
          </w:p>
        </w:tc>
      </w:tr>
      <w:tr>
        <w:trPr>
          <w:cantSplit w:val="0"/>
          <w:tblHeader w:val="0"/>
        </w:trPr>
        <w:tc>
          <w:tcPr>
            <w:tcBorders>
              <w:top w:val="nil" w:color="000000" w:sz="0" w:space="0"/>
              <w:left w:val="single" w:color="000000" w:sz="6" w:space="0"/>
              <w:bottom w:val="single" w:color="000000" w:sz="6" w:space="0"/>
              <w:right w:val="single" w:color="000000" w:sz="6" w:space="0"/>
            </w:tcBorders>
            <w:tcMar>
              <w:top w:w="40.0" w:type="dxa"/>
              <w:left w:w="120.0" w:type="dxa"/>
              <w:bottom w:w="100.0" w:type="dxa"/>
              <w:right w:w="60.0" w:type="dxa"/>
            </w:tcMar>
          </w:tcPr>
          <w:p w:rsidRPr="00000000" w:rsidR="00000000" w:rsidDel="00000000" w:rsidP="00000000" w:rsidRDefault="00000000" w14:paraId="000001D3">
            <w:pPr>
              <w:spacing w:after="0" w:line="276" w:lineRule="auto"/>
              <w:ind w:left="-40" w:right="60" w:firstLine="0"/>
              <w:rPr>
                <w:b w:val="1"/>
                <w:bCs w:val="1"/>
              </w:rPr>
            </w:pPr>
            <w:r w:rsidRPr="00000000" w:rsidDel="00000000" w:rsidR="00000000">
              <w:rPr>
                <w:b w:val="1"/>
                <w:bCs w:val="1"/>
                <w:rtl w:val="0"/>
              </w:rPr>
              <w:t xml:space="preserve">Date of Birth</w:t>
            </w:r>
          </w:p>
          <w:p w:rsidRPr="00000000" w:rsidR="00000000" w:rsidDel="00000000" w:rsidP="00000000" w:rsidRDefault="00000000" w14:paraId="000001D4">
            <w:pPr>
              <w:spacing w:after="0" w:line="276" w:lineRule="auto"/>
              <w:ind w:left="-40" w:right="60" w:firstLine="0"/>
              <w:rPr>
                <w:b w:val="1"/>
                <w:bCs w:val="1"/>
              </w:rPr>
            </w:pPr>
            <w:r w:rsidRPr="00000000" w:rsidDel="00000000" w:rsidR="00000000">
              <w:rPr>
                <w:b w:val="1"/>
                <w:bCs w:val="1"/>
                <w:rtl w:val="0"/>
              </w:rPr>
              <w:t xml:space="preserve"> </w:t>
            </w:r>
          </w:p>
        </w:tc>
        <w:tc>
          <w:tcPr>
            <w:tcBorders>
              <w:top w:val="nil" w:color="000000" w:sz="0" w:space="0"/>
              <w:left w:val="nil" w:color="000000" w:sz="0" w:space="0"/>
              <w:bottom w:val="single" w:color="000000" w:sz="6" w:space="0"/>
              <w:right w:val="single" w:color="000000" w:sz="6" w:space="0"/>
            </w:tcBorders>
            <w:tcMar>
              <w:top w:w="40.0" w:type="dxa"/>
              <w:left w:w="120.0" w:type="dxa"/>
              <w:bottom w:w="100.0" w:type="dxa"/>
              <w:right w:w="60.0" w:type="dxa"/>
            </w:tcMar>
          </w:tcPr>
          <w:p w:rsidRPr="00000000" w:rsidR="00000000" w:rsidDel="00000000" w:rsidP="00000000" w:rsidRDefault="00000000" w14:paraId="000001D5">
            <w:pPr>
              <w:spacing w:after="0" w:line="276" w:lineRule="auto"/>
              <w:ind w:left="-40" w:right="75" w:firstLine="0"/>
              <w:jc w:val="both"/>
              <w:rPr/>
            </w:pPr>
            <w:r w:rsidRPr="00000000" w:rsidDel="00000000" w:rsidR="00000000">
              <w:rPr>
                <w:rtl w:val="0"/>
              </w:rPr>
              <w:t xml:space="preserve">This helps us to analyse the present age of the customer and whether it correlates with the types of transactions undertaken in the account/wallet. </w:t>
            </w:r>
          </w:p>
        </w:tc>
      </w:tr>
      <w:tr>
        <w:trPr>
          <w:cantSplit w:val="0"/>
          <w:tblHeader w:val="0"/>
        </w:trPr>
        <w:tc>
          <w:tcPr>
            <w:tcBorders>
              <w:top w:val="nil" w:color="000000" w:sz="0" w:space="0"/>
              <w:left w:val="single" w:color="000000" w:sz="6" w:space="0"/>
              <w:bottom w:val="single" w:color="000000" w:sz="6" w:space="0"/>
              <w:right w:val="single" w:color="000000" w:sz="6" w:space="0"/>
            </w:tcBorders>
            <w:tcMar>
              <w:top w:w="20.0" w:type="dxa"/>
              <w:left w:w="120.0" w:type="dxa"/>
              <w:bottom w:w="100.0" w:type="dxa"/>
              <w:right w:w="0.0" w:type="dxa"/>
            </w:tcMar>
          </w:tcPr>
          <w:p w:rsidRPr="00000000" w:rsidR="00000000" w:rsidDel="00000000" w:rsidP="00000000" w:rsidRDefault="00000000" w14:paraId="000001D6">
            <w:pPr>
              <w:spacing w:after="0" w:line="276" w:lineRule="auto"/>
              <w:ind w:left="-40" w:right="60" w:firstLine="0"/>
              <w:rPr>
                <w:b w:val="1"/>
                <w:bCs w:val="1"/>
              </w:rPr>
            </w:pPr>
            <w:r w:rsidRPr="00000000" w:rsidDel="00000000" w:rsidR="00000000">
              <w:rPr>
                <w:b w:val="1"/>
                <w:bCs w:val="1"/>
                <w:rtl w:val="0"/>
              </w:rPr>
              <w:t xml:space="preserve">Employment Status / Occupation</w:t>
            </w:r>
          </w:p>
          <w:p w:rsidRPr="00000000" w:rsidR="00000000" w:rsidDel="00000000" w:rsidP="00000000" w:rsidRDefault="00000000" w14:paraId="000001D7">
            <w:pPr>
              <w:spacing w:after="0" w:line="276" w:lineRule="auto"/>
              <w:ind w:left="-40" w:right="60" w:firstLine="0"/>
              <w:rPr>
                <w:b w:val="1"/>
                <w:bCs w:val="1"/>
              </w:rPr>
            </w:pPr>
            <w:r w:rsidRPr="00000000" w:rsidDel="00000000" w:rsidR="00000000">
              <w:rPr>
                <w:b w:val="1"/>
                <w:bCs w:val="1"/>
                <w:rtl w:val="0"/>
              </w:rPr>
              <w:t xml:space="preserve"> </w:t>
            </w:r>
          </w:p>
        </w:tc>
        <w:tc>
          <w:tcPr>
            <w:tcBorders>
              <w:top w:val="nil" w:color="000000" w:sz="0" w:space="0"/>
              <w:left w:val="nil" w:color="000000" w:sz="0" w:space="0"/>
              <w:bottom w:val="single" w:color="000000" w:sz="6" w:space="0"/>
              <w:right w:val="single" w:color="000000" w:sz="6" w:space="0"/>
            </w:tcBorders>
            <w:tcMar>
              <w:top w:w="20.0" w:type="dxa"/>
              <w:left w:w="120.0" w:type="dxa"/>
              <w:bottom w:w="100.0" w:type="dxa"/>
              <w:right w:w="0.0" w:type="dxa"/>
            </w:tcMar>
          </w:tcPr>
          <w:p w:rsidRPr="00000000" w:rsidR="00000000" w:rsidDel="00000000" w:rsidP="00000000" w:rsidRDefault="00000000" w14:paraId="000001D8">
            <w:pPr>
              <w:spacing w:after="0" w:line="276" w:lineRule="auto"/>
              <w:ind w:left="-40" w:right="105" w:firstLine="0"/>
              <w:jc w:val="both"/>
              <w:rPr/>
            </w:pPr>
            <w:r w:rsidRPr="00000000" w:rsidDel="00000000" w:rsidR="00000000">
              <w:rPr>
                <w:rtl w:val="0"/>
              </w:rPr>
              <w:t xml:space="preserve">Occupation means a customer's usual or principal work or business. It can tell us if they are employed with a company or self-employed. </w:t>
            </w:r>
          </w:p>
          <w:p w:rsidRPr="00000000" w:rsidR="00000000" w:rsidDel="00000000" w:rsidP="00000000" w:rsidRDefault="00000000" w14:paraId="000001D9">
            <w:pPr>
              <w:spacing w:after="0" w:line="276" w:lineRule="auto"/>
              <w:ind w:left="-40" w:right="105" w:firstLine="0"/>
              <w:jc w:val="both"/>
              <w:rPr/>
            </w:pPr>
            <w:r w:rsidRPr="00000000" w:rsidDel="00000000" w:rsidR="00000000">
              <w:rPr>
                <w:rtl w:val="0"/>
              </w:rPr>
              <w:t xml:space="preserve">Occupation is one of the main criteria which helps explain customer activity.</w:t>
            </w:r>
          </w:p>
          <w:p w:rsidRPr="00000000" w:rsidR="00000000" w:rsidDel="00000000" w:rsidP="00000000" w:rsidRDefault="00000000" w14:paraId="000001DA">
            <w:pPr>
              <w:spacing w:after="0" w:line="276" w:lineRule="auto"/>
              <w:ind w:left="-40" w:right="105" w:firstLine="0"/>
              <w:jc w:val="both"/>
              <w:rPr/>
            </w:pPr>
            <w:r w:rsidRPr="00000000" w:rsidDel="00000000" w:rsidR="00000000">
              <w:rPr>
                <w:rtl w:val="0"/>
              </w:rPr>
              <w:t xml:space="preserve">Occupation and income (where available) should be considered when assessing transactional behaviour, value of transactions, i.e. whether it corresponds with declared income or expected income for this type of occupation. </w:t>
            </w:r>
          </w:p>
          <w:p w:rsidRPr="00000000" w:rsidR="00000000" w:rsidDel="00000000" w:rsidP="00000000" w:rsidRDefault="00000000" w14:paraId="000001DB">
            <w:pPr>
              <w:spacing w:after="0" w:line="276" w:lineRule="auto"/>
              <w:ind w:left="-40" w:right="105" w:firstLine="0"/>
              <w:jc w:val="both"/>
              <w:rPr/>
            </w:pPr>
            <w:r w:rsidRPr="00000000" w:rsidDel="00000000" w:rsidR="00000000">
              <w:rPr>
                <w:rtl w:val="0"/>
              </w:rPr>
              <w:t xml:space="preserve">As part of the analysis process, analysts should apply judgement when reviewing a customer alert whose employment status may have changed.  For example, an RFI response may provide details that the customer has a new job which is not reflected in the KYC. When a change in employment of this nature is determined as part of the investigation, the alerted transactions can be discounted if they are in line with the new profile.</w:t>
            </w:r>
          </w:p>
        </w:tc>
      </w:tr>
      <w:tr>
        <w:trPr>
          <w:cantSplit w:val="0"/>
          <w:tblHeader w:val="0"/>
        </w:trPr>
        <w:tc>
          <w:tcPr>
            <w:tcBorders>
              <w:top w:val="nil" w:color="000000" w:sz="0" w:space="0"/>
              <w:left w:val="single" w:color="000000" w:sz="6" w:space="0"/>
              <w:bottom w:val="single" w:color="000000" w:sz="6" w:space="0"/>
              <w:right w:val="single" w:color="000000" w:sz="6" w:space="0"/>
            </w:tcBorders>
            <w:tcMar>
              <w:top w:w="20.0" w:type="dxa"/>
              <w:left w:w="120.0" w:type="dxa"/>
              <w:bottom w:w="100.0" w:type="dxa"/>
              <w:right w:w="0.0" w:type="dxa"/>
            </w:tcMar>
          </w:tcPr>
          <w:p w:rsidRPr="00000000" w:rsidR="00000000" w:rsidDel="00000000" w:rsidP="00000000" w:rsidRDefault="00000000" w14:paraId="000001DC">
            <w:pPr>
              <w:spacing w:after="0" w:line="276" w:lineRule="auto"/>
              <w:ind w:left="-40" w:right="60" w:firstLine="0"/>
              <w:rPr>
                <w:b w:val="1"/>
                <w:bCs w:val="1"/>
              </w:rPr>
            </w:pPr>
            <w:r w:rsidRPr="00000000" w:rsidDel="00000000" w:rsidR="00000000">
              <w:rPr>
                <w:b w:val="1"/>
                <w:bCs w:val="1"/>
                <w:rtl w:val="0"/>
              </w:rPr>
              <w:t xml:space="preserve">Identification documents</w:t>
            </w:r>
          </w:p>
        </w:tc>
        <w:tc>
          <w:tcPr>
            <w:tcBorders>
              <w:top w:val="nil" w:color="000000" w:sz="0" w:space="0"/>
              <w:left w:val="nil" w:color="000000" w:sz="0" w:space="0"/>
              <w:bottom w:val="single" w:color="000000" w:sz="6" w:space="0"/>
              <w:right w:val="single" w:color="000000" w:sz="6" w:space="0"/>
            </w:tcBorders>
            <w:tcMar>
              <w:top w:w="20.0" w:type="dxa"/>
              <w:left w:w="120.0" w:type="dxa"/>
              <w:bottom w:w="100.0" w:type="dxa"/>
              <w:right w:w="0.0" w:type="dxa"/>
            </w:tcMar>
          </w:tcPr>
          <w:p w:rsidRPr="00000000" w:rsidR="00000000" w:rsidDel="00000000" w:rsidP="00000000" w:rsidRDefault="00000000" w14:paraId="000001DD">
            <w:pPr>
              <w:spacing w:after="0" w:line="276" w:lineRule="auto"/>
              <w:ind w:left="-40" w:right="105" w:firstLine="0"/>
              <w:jc w:val="both"/>
              <w:rPr/>
            </w:pPr>
            <w:r w:rsidRPr="00000000" w:rsidDel="00000000" w:rsidR="00000000">
              <w:rPr>
                <w:rtl w:val="0"/>
              </w:rPr>
              <w:t xml:space="preserve">Documents provided by the customer to identify themselves as part of the KYC verification process during account registration. It is important to confirm whether the user was properly identified. Missing or inconsistent information in this field should be a “high risk indicator”.</w:t>
            </w:r>
          </w:p>
        </w:tc>
      </w:tr>
      <w:tr>
        <w:trPr>
          <w:cantSplit w:val="0"/>
          <w:tblHeader w:val="0"/>
        </w:trPr>
        <w:tc>
          <w:tcPr>
            <w:tcBorders>
              <w:top w:val="nil" w:color="000000" w:sz="0" w:space="0"/>
              <w:left w:val="single" w:color="000000" w:sz="6" w:space="0"/>
              <w:bottom w:val="single" w:color="000000" w:sz="6" w:space="0"/>
              <w:right w:val="single" w:color="000000" w:sz="6" w:space="0"/>
            </w:tcBorders>
            <w:tcMar>
              <w:top w:w="40.0" w:type="dxa"/>
              <w:left w:w="120.0" w:type="dxa"/>
              <w:bottom w:w="100.0" w:type="dxa"/>
              <w:right w:w="60.0" w:type="dxa"/>
            </w:tcMar>
          </w:tcPr>
          <w:p w:rsidRPr="00000000" w:rsidR="00000000" w:rsidDel="00000000" w:rsidP="00000000" w:rsidRDefault="00000000" w14:paraId="000001DE">
            <w:pPr>
              <w:spacing w:after="0" w:line="276" w:lineRule="auto"/>
              <w:ind w:left="-40" w:firstLine="0"/>
              <w:rPr>
                <w:b w:val="1"/>
                <w:bCs w:val="1"/>
              </w:rPr>
            </w:pPr>
            <w:r w:rsidRPr="00000000" w:rsidDel="00000000" w:rsidR="00000000">
              <w:rPr>
                <w:b w:val="1"/>
                <w:bCs w:val="1"/>
                <w:rtl w:val="0"/>
              </w:rPr>
              <w:t xml:space="preserve">Nationality /</w:t>
            </w:r>
          </w:p>
          <w:p w:rsidRPr="00000000" w:rsidR="00000000" w:rsidDel="00000000" w:rsidP="00000000" w:rsidRDefault="00000000" w14:paraId="000001DF">
            <w:pPr>
              <w:spacing w:after="0" w:line="276" w:lineRule="auto"/>
              <w:ind w:left="-40" w:firstLine="0"/>
              <w:rPr>
                <w:b w:val="1"/>
                <w:bCs w:val="1"/>
              </w:rPr>
            </w:pPr>
            <w:r w:rsidRPr="00000000" w:rsidDel="00000000" w:rsidR="00000000">
              <w:rPr>
                <w:b w:val="1"/>
                <w:bCs w:val="1"/>
                <w:rtl w:val="0"/>
              </w:rPr>
              <w:t xml:space="preserve">Multi nationality</w:t>
            </w:r>
          </w:p>
        </w:tc>
        <w:tc>
          <w:tcPr>
            <w:tcBorders>
              <w:top w:val="nil" w:color="000000" w:sz="0" w:space="0"/>
              <w:left w:val="nil" w:color="000000" w:sz="0" w:space="0"/>
              <w:bottom w:val="single" w:color="000000" w:sz="6" w:space="0"/>
              <w:right w:val="single" w:color="000000" w:sz="6" w:space="0"/>
            </w:tcBorders>
            <w:tcMar>
              <w:top w:w="40.0" w:type="dxa"/>
              <w:left w:w="120.0" w:type="dxa"/>
              <w:bottom w:w="100.0" w:type="dxa"/>
              <w:right w:w="60.0" w:type="dxa"/>
            </w:tcMar>
          </w:tcPr>
          <w:p w:rsidRPr="00000000" w:rsidR="00000000" w:rsidDel="00000000" w:rsidP="00000000" w:rsidRDefault="00000000" w14:paraId="000001E0">
            <w:pPr>
              <w:spacing w:after="0" w:line="276" w:lineRule="auto"/>
              <w:ind w:left="-40" w:firstLine="0"/>
              <w:jc w:val="both"/>
              <w:rPr/>
            </w:pPr>
            <w:r w:rsidRPr="00000000" w:rsidDel="00000000" w:rsidR="00000000">
              <w:rPr>
                <w:rtl w:val="0"/>
              </w:rPr>
              <w:t xml:space="preserve">Allows an assessment of geographical risk inherent to account and recognise regional transactional specifics, as well as to understand connections to other counterparties, such as cross-border interactions, including those with users from high-risk countries,</w:t>
            </w:r>
          </w:p>
          <w:p w:rsidRPr="00000000" w:rsidR="00000000" w:rsidDel="00000000" w:rsidP="00000000" w:rsidRDefault="00000000" w14:paraId="000001E1">
            <w:pPr>
              <w:spacing w:after="0" w:line="276" w:lineRule="auto"/>
              <w:ind w:left="-40" w:firstLine="0"/>
              <w:jc w:val="both"/>
              <w:rPr/>
            </w:pPr>
            <w:r w:rsidRPr="00000000" w:rsidDel="00000000" w:rsidR="00000000">
              <w:rPr>
                <w:rtl w:val="0"/>
              </w:rPr>
              <w:t xml:space="preserve">It is important to understand the differences between residence, nationality and location of activity.</w:t>
            </w:r>
          </w:p>
        </w:tc>
      </w:tr>
      <w:tr>
        <w:trPr>
          <w:cantSplit w:val="0"/>
          <w:tblHeader w:val="0"/>
        </w:trPr>
        <w:tc>
          <w:tcPr>
            <w:tcBorders>
              <w:top w:val="nil" w:color="000000" w:sz="0" w:space="0"/>
              <w:left w:val="single" w:color="000000" w:sz="6" w:space="0"/>
              <w:bottom w:val="single" w:color="000000" w:sz="6" w:space="0"/>
              <w:right w:val="single" w:color="000000" w:sz="6" w:space="0"/>
            </w:tcBorders>
            <w:tcMar>
              <w:top w:w="20.0" w:type="dxa"/>
              <w:left w:w="120.0" w:type="dxa"/>
              <w:bottom w:w="100.0" w:type="dxa"/>
              <w:right w:w="0.0" w:type="dxa"/>
            </w:tcMar>
          </w:tcPr>
          <w:p w:rsidRPr="00000000" w:rsidR="00000000" w:rsidDel="00000000" w:rsidP="00000000" w:rsidRDefault="00000000" w14:paraId="000001E2">
            <w:pPr>
              <w:spacing w:after="0" w:line="276" w:lineRule="auto"/>
              <w:ind w:left="-40" w:firstLine="0"/>
              <w:rPr>
                <w:b w:val="1"/>
                <w:bCs w:val="1"/>
              </w:rPr>
            </w:pPr>
            <w:r w:rsidRPr="00000000" w:rsidDel="00000000" w:rsidR="00000000">
              <w:rPr>
                <w:b w:val="1"/>
                <w:bCs w:val="1"/>
                <w:rtl w:val="0"/>
              </w:rPr>
              <w:t xml:space="preserve">Onboarding Date</w:t>
            </w:r>
          </w:p>
        </w:tc>
        <w:tc>
          <w:tcPr>
            <w:tcBorders>
              <w:top w:val="nil" w:color="000000" w:sz="0" w:space="0"/>
              <w:left w:val="nil" w:color="000000" w:sz="0" w:space="0"/>
              <w:bottom w:val="single" w:color="000000" w:sz="6" w:space="0"/>
              <w:right w:val="single" w:color="000000" w:sz="6" w:space="0"/>
            </w:tcBorders>
            <w:tcMar>
              <w:top w:w="20.0" w:type="dxa"/>
              <w:left w:w="120.0" w:type="dxa"/>
              <w:bottom w:w="100.0" w:type="dxa"/>
              <w:right w:w="0.0" w:type="dxa"/>
            </w:tcMar>
          </w:tcPr>
          <w:p w:rsidRPr="00000000" w:rsidR="00000000" w:rsidDel="00000000" w:rsidP="00000000" w:rsidRDefault="00000000" w14:paraId="000001E3">
            <w:pPr>
              <w:spacing w:after="0" w:line="276" w:lineRule="auto"/>
              <w:ind w:left="-40" w:right="105" w:firstLine="0"/>
              <w:jc w:val="both"/>
              <w:rPr/>
            </w:pPr>
            <w:r w:rsidRPr="00000000" w:rsidDel="00000000" w:rsidR="00000000">
              <w:rPr>
                <w:rtl w:val="0"/>
              </w:rPr>
              <w:t xml:space="preserve">A new account/wallet can indicate a higher risk, as a relationship / customer profile has not been established, however, longevity does not  itself discount risk.</w:t>
            </w:r>
          </w:p>
        </w:tc>
      </w:tr>
      <w:tr>
        <w:trPr>
          <w:cantSplit w:val="0"/>
          <w:tblHeader w:val="0"/>
        </w:trPr>
        <w:tc>
          <w:tcPr>
            <w:tcBorders>
              <w:top w:val="nil" w:color="000000" w:sz="0" w:space="0"/>
              <w:left w:val="single" w:color="000000" w:sz="6" w:space="0"/>
              <w:bottom w:val="single" w:color="000000" w:sz="6" w:space="0"/>
              <w:right w:val="single" w:color="000000" w:sz="6" w:space="0"/>
            </w:tcBorders>
            <w:tcMar>
              <w:top w:w="20.0" w:type="dxa"/>
              <w:left w:w="120.0" w:type="dxa"/>
              <w:bottom w:w="100.0" w:type="dxa"/>
              <w:right w:w="0.0" w:type="dxa"/>
            </w:tcMar>
          </w:tcPr>
          <w:p w:rsidRPr="00000000" w:rsidR="00000000" w:rsidDel="00000000" w:rsidP="00000000" w:rsidRDefault="00000000" w14:paraId="000001E4">
            <w:pPr>
              <w:spacing w:after="0" w:line="276" w:lineRule="auto"/>
              <w:ind w:left="-20" w:firstLine="0"/>
              <w:rPr>
                <w:b w:val="1"/>
                <w:bCs w:val="1"/>
              </w:rPr>
            </w:pPr>
            <w:r w:rsidRPr="00000000" w:rsidDel="00000000" w:rsidR="00000000">
              <w:rPr>
                <w:b w:val="1"/>
                <w:bCs w:val="1"/>
                <w:rtl w:val="0"/>
              </w:rPr>
              <w:t xml:space="preserve">Purpose of the account/wallet</w:t>
            </w:r>
          </w:p>
        </w:tc>
        <w:tc>
          <w:tcPr>
            <w:tcBorders>
              <w:top w:val="nil" w:color="000000" w:sz="0" w:space="0"/>
              <w:left w:val="nil" w:color="000000" w:sz="0" w:space="0"/>
              <w:bottom w:val="single" w:color="000000" w:sz="6" w:space="0"/>
              <w:right w:val="single" w:color="000000" w:sz="6" w:space="0"/>
            </w:tcBorders>
            <w:tcMar>
              <w:top w:w="20.0" w:type="dxa"/>
              <w:left w:w="120.0" w:type="dxa"/>
              <w:bottom w:w="100.0" w:type="dxa"/>
              <w:right w:w="0.0" w:type="dxa"/>
            </w:tcMar>
          </w:tcPr>
          <w:p w:rsidRPr="00000000" w:rsidR="00000000" w:rsidDel="00000000" w:rsidP="00000000" w:rsidRDefault="00000000" w14:paraId="000001E5">
            <w:pPr>
              <w:spacing w:after="0" w:line="276" w:lineRule="auto"/>
              <w:ind w:left="-20" w:right="105" w:firstLine="0"/>
              <w:jc w:val="both"/>
              <w:rPr/>
            </w:pPr>
            <w:r w:rsidRPr="00000000" w:rsidDel="00000000" w:rsidR="00000000">
              <w:rPr>
                <w:rtl w:val="0"/>
              </w:rPr>
              <w:t xml:space="preserve">The purpose of the account/wallet should provide the context to determine if the alerted transactions are in line with expected activity.</w:t>
            </w:r>
          </w:p>
        </w:tc>
      </w:tr>
      <w:tr>
        <w:trPr>
          <w:cantSplit w:val="0"/>
          <w:tblHeader w:val="0"/>
        </w:trPr>
        <w:tc>
          <w:tcPr>
            <w:tcBorders>
              <w:top w:val="nil" w:color="000000" w:sz="0" w:space="0"/>
              <w:left w:val="single" w:color="000000" w:sz="6" w:space="0"/>
              <w:bottom w:val="single" w:color="000000" w:sz="6" w:space="0"/>
              <w:right w:val="single" w:color="000000" w:sz="6" w:space="0"/>
            </w:tcBorders>
            <w:tcMar>
              <w:top w:w="40.0" w:type="dxa"/>
              <w:left w:w="120.0" w:type="dxa"/>
              <w:bottom w:w="100.0" w:type="dxa"/>
              <w:right w:w="60.0" w:type="dxa"/>
            </w:tcMar>
          </w:tcPr>
          <w:p w:rsidRPr="00000000" w:rsidR="00000000" w:rsidDel="00000000" w:rsidP="00000000" w:rsidRDefault="00000000" w14:paraId="000001E6">
            <w:pPr>
              <w:spacing w:after="0" w:line="276" w:lineRule="auto"/>
              <w:ind w:left="-40" w:firstLine="0"/>
              <w:rPr>
                <w:b w:val="1"/>
                <w:bCs w:val="1"/>
              </w:rPr>
            </w:pPr>
            <w:r w:rsidRPr="00000000" w:rsidDel="00000000" w:rsidR="00000000">
              <w:rPr>
                <w:b w:val="1"/>
                <w:bCs w:val="1"/>
                <w:rtl w:val="0"/>
              </w:rPr>
              <w:t xml:space="preserve">Risk Ratings</w:t>
            </w:r>
          </w:p>
        </w:tc>
        <w:tc>
          <w:tcPr>
            <w:tcBorders>
              <w:top w:val="nil" w:color="000000" w:sz="0" w:space="0"/>
              <w:left w:val="nil" w:color="000000" w:sz="0" w:space="0"/>
              <w:bottom w:val="single" w:color="000000" w:sz="6" w:space="0"/>
              <w:right w:val="single" w:color="000000" w:sz="6" w:space="0"/>
            </w:tcBorders>
            <w:tcMar>
              <w:top w:w="40.0" w:type="dxa"/>
              <w:left w:w="120.0" w:type="dxa"/>
              <w:bottom w:w="100.0" w:type="dxa"/>
              <w:right w:w="60.0" w:type="dxa"/>
            </w:tcMar>
          </w:tcPr>
          <w:p w:rsidRPr="00000000" w:rsidR="00000000" w:rsidDel="00000000" w:rsidP="00000000" w:rsidRDefault="00000000" w14:paraId="000001E7">
            <w:pPr>
              <w:spacing w:after="0" w:line="276" w:lineRule="auto"/>
              <w:ind w:left="-40" w:right="45" w:firstLine="0"/>
              <w:jc w:val="both"/>
              <w:rPr/>
            </w:pPr>
            <w:r w:rsidRPr="00000000" w:rsidDel="00000000" w:rsidR="00000000">
              <w:rPr>
                <w:rtl w:val="0"/>
              </w:rPr>
              <w:t xml:space="preserve">Where a customer risk rating exists this should also be considered.  The enhanced due diligence information that we hold on our internal systems should be reviewed. i.e, information about the source of wealth, reason for the high risk categorisation etc, based on the merit of the case.</w:t>
            </w:r>
          </w:p>
        </w:tc>
      </w:tr>
      <w:tr>
        <w:trPr>
          <w:cantSplit w:val="0"/>
          <w:tblHeader w:val="0"/>
        </w:trPr>
        <w:tc>
          <w:tcPr>
            <w:tcBorders>
              <w:top w:val="nil" w:color="000000" w:sz="0" w:space="0"/>
              <w:left w:val="single" w:color="000000" w:sz="6" w:space="0"/>
              <w:bottom w:val="single" w:color="000000" w:sz="6" w:space="0"/>
              <w:right w:val="single" w:color="000000" w:sz="6" w:space="0"/>
            </w:tcBorders>
            <w:tcMar>
              <w:top w:w="40.0" w:type="dxa"/>
              <w:left w:w="120.0" w:type="dxa"/>
              <w:bottom w:w="100.0" w:type="dxa"/>
              <w:right w:w="60.0" w:type="dxa"/>
            </w:tcMar>
          </w:tcPr>
          <w:p w:rsidRPr="00000000" w:rsidR="00000000" w:rsidDel="00000000" w:rsidP="00000000" w:rsidRDefault="00000000" w14:paraId="000001E8">
            <w:pPr>
              <w:spacing w:after="0" w:line="276" w:lineRule="auto"/>
              <w:ind w:left="-40" w:firstLine="0"/>
              <w:rPr>
                <w:b w:val="1"/>
                <w:bCs w:val="1"/>
              </w:rPr>
            </w:pPr>
            <w:r w:rsidRPr="00000000" w:rsidDel="00000000" w:rsidR="00000000">
              <w:rPr>
                <w:b w:val="1"/>
                <w:bCs w:val="1"/>
                <w:rtl w:val="0"/>
              </w:rPr>
              <w:t xml:space="preserve">Source of Funds</w:t>
            </w:r>
          </w:p>
        </w:tc>
        <w:tc>
          <w:tcPr>
            <w:tcBorders>
              <w:top w:val="nil" w:color="000000" w:sz="0" w:space="0"/>
              <w:left w:val="nil" w:color="000000" w:sz="0" w:space="0"/>
              <w:bottom w:val="single" w:color="000000" w:sz="6" w:space="0"/>
              <w:right w:val="single" w:color="000000" w:sz="6" w:space="0"/>
            </w:tcBorders>
            <w:tcMar>
              <w:top w:w="40.0" w:type="dxa"/>
              <w:left w:w="120.0" w:type="dxa"/>
              <w:bottom w:w="100.0" w:type="dxa"/>
              <w:right w:w="60.0" w:type="dxa"/>
            </w:tcMar>
          </w:tcPr>
          <w:p w:rsidRPr="00000000" w:rsidR="00000000" w:rsidDel="00000000" w:rsidP="00000000" w:rsidRDefault="00000000" w14:paraId="000001E9">
            <w:pPr>
              <w:spacing w:after="0" w:line="276" w:lineRule="auto"/>
              <w:ind w:left="-40" w:right="45" w:firstLine="0"/>
              <w:rPr/>
            </w:pPr>
            <w:r w:rsidRPr="00000000" w:rsidDel="00000000" w:rsidR="00000000">
              <w:rPr>
                <w:rtl w:val="0"/>
              </w:rPr>
              <w:t xml:space="preserve">Source of funds means the origin of customer's funds which relate to a Transaction or service and includes how such funds are connected to a customer's Source of Wealth. </w:t>
            </w:r>
          </w:p>
        </w:tc>
      </w:tr>
      <w:tr>
        <w:trPr>
          <w:cantSplit w:val="0"/>
          <w:tblHeader w:val="0"/>
        </w:trPr>
        <w:tc>
          <w:tcPr>
            <w:tcBorders>
              <w:top w:val="nil" w:color="000000" w:sz="0" w:space="0"/>
              <w:left w:val="single" w:color="000000" w:sz="6" w:space="0"/>
              <w:bottom w:val="single" w:color="000000" w:sz="6" w:space="0"/>
              <w:right w:val="single" w:color="000000" w:sz="6" w:space="0"/>
            </w:tcBorders>
            <w:tcMar>
              <w:top w:w="20.0" w:type="dxa"/>
              <w:left w:w="120.0" w:type="dxa"/>
              <w:bottom w:w="100.0" w:type="dxa"/>
              <w:right w:w="0.0" w:type="dxa"/>
            </w:tcMar>
          </w:tcPr>
          <w:p w:rsidRPr="00000000" w:rsidR="00000000" w:rsidDel="00000000" w:rsidP="00000000" w:rsidRDefault="00000000" w14:paraId="000001EA">
            <w:pPr>
              <w:spacing w:after="0" w:line="276" w:lineRule="auto"/>
              <w:ind w:left="-20" w:firstLine="0"/>
              <w:rPr>
                <w:b w:val="1"/>
                <w:bCs w:val="1"/>
              </w:rPr>
            </w:pPr>
            <w:r w:rsidRPr="00000000" w:rsidDel="00000000" w:rsidR="00000000">
              <w:rPr>
                <w:b w:val="1"/>
                <w:bCs w:val="1"/>
                <w:rtl w:val="0"/>
              </w:rPr>
              <w:t xml:space="preserve">Source of Wealth and Net-Worth</w:t>
            </w:r>
          </w:p>
        </w:tc>
        <w:tc>
          <w:tcPr>
            <w:tcBorders>
              <w:top w:val="nil" w:color="000000" w:sz="0" w:space="0"/>
              <w:left w:val="nil" w:color="000000" w:sz="0" w:space="0"/>
              <w:bottom w:val="single" w:color="000000" w:sz="6" w:space="0"/>
              <w:right w:val="single" w:color="000000" w:sz="6" w:space="0"/>
            </w:tcBorders>
            <w:tcMar>
              <w:top w:w="20.0" w:type="dxa"/>
              <w:left w:w="120.0" w:type="dxa"/>
              <w:bottom w:w="100.0" w:type="dxa"/>
              <w:right w:w="0.0" w:type="dxa"/>
            </w:tcMar>
          </w:tcPr>
          <w:p w:rsidRPr="00000000" w:rsidR="00000000" w:rsidDel="00000000" w:rsidP="00000000" w:rsidRDefault="00000000" w14:paraId="000001EB">
            <w:pPr>
              <w:spacing w:after="0" w:line="276" w:lineRule="auto"/>
              <w:ind w:left="-20" w:right="105" w:firstLine="0"/>
              <w:rPr/>
            </w:pPr>
            <w:r w:rsidRPr="00000000" w:rsidDel="00000000" w:rsidR="00000000">
              <w:rPr>
                <w:rtl w:val="0"/>
              </w:rPr>
              <w:t xml:space="preserve">Source of wealth means how the customer's global wealth or net worth is or </w:t>
            </w:r>
          </w:p>
          <w:p w:rsidRPr="00000000" w:rsidR="00000000" w:rsidDel="00000000" w:rsidP="00000000" w:rsidRDefault="00000000" w14:paraId="000001EC">
            <w:pPr>
              <w:spacing w:after="0" w:line="276" w:lineRule="auto"/>
              <w:ind w:left="-20" w:right="105" w:firstLine="0"/>
              <w:jc w:val="both"/>
              <w:rPr/>
            </w:pPr>
            <w:r w:rsidRPr="00000000" w:rsidDel="00000000" w:rsidR="00000000">
              <w:rPr>
                <w:rtl w:val="0"/>
              </w:rPr>
              <w:t xml:space="preserve">was acquired or accumulated. Source of wealth verification helps to understand the customer profile.  The information about the source of wealth should be reviewed and documented in a brief, consistent manner pointing to the main components of wealth helping to contextualize the customer's profile and alerted transactions.  </w:t>
            </w:r>
          </w:p>
        </w:tc>
      </w:tr>
    </w:tbl>
    <w:p w:rsidRPr="00000000" w:rsidR="00000000" w:rsidDel="00000000" w:rsidP="00000000" w:rsidRDefault="00000000" w14:paraId="000001ED">
      <w:pPr>
        <w:spacing w:after="0" w:line="254" w:lineRule="auto"/>
        <w:ind w:left="-1440" w:firstLine="0"/>
        <w:rPr>
          <w:b w:val="1"/>
          <w:bCs w:val="1"/>
          <w:highlight w:val="lightGray"/>
        </w:rPr>
      </w:pPr>
      <w:r w:rsidRPr="00000000" w:rsidDel="00000000" w:rsidR="00000000">
        <w:rPr>
          <w:b w:val="1"/>
          <w:bCs w:val="1"/>
          <w:highlight w:val="lightGray"/>
          <w:rtl w:val="0"/>
        </w:rPr>
        <w:t xml:space="preserve"> </w:t>
      </w:r>
    </w:p>
    <w:p w:rsidRPr="00000000" w:rsidR="00000000" w:rsidDel="00000000" w:rsidP="00000000" w:rsidRDefault="00000000" w14:paraId="000001EE">
      <w:pPr>
        <w:pStyle w:val="Heading2"/>
        <w:numPr>
          <w:ilvl w:val="1"/>
          <w:numId w:val="25"/>
        </w:numPr>
        <w:rPr/>
      </w:pPr>
      <w:bookmarkStart w:name="_heading=h.umpvkexpnbdo" w:colFirst="0" w:colLast="0" w:id="101"/>
      <w:bookmarkEnd w:id="101"/>
      <w:r w:rsidRPr="00000000" w:rsidDel="00000000" w:rsidR="00000000">
        <w:rPr>
          <w:rFonts w:ascii="Arial" w:hAnsi="Arial" w:eastAsia="Arial" w:cs="Arial"/>
          <w:sz w:val="24"/>
          <w:szCs w:val="24"/>
          <w:rtl w:val="0"/>
        </w:rPr>
        <w:t xml:space="preserve">Expected Customer Behavior Model</w:t>
      </w:r>
    </w:p>
    <w:p w:rsidRPr="00000000" w:rsidR="00000000" w:rsidDel="00000000" w:rsidP="00000000" w:rsidRDefault="00000000" w14:paraId="000001EF">
      <w:pPr>
        <w:spacing w:before="200" w:after="0" w:line="276" w:lineRule="auto"/>
        <w:jc w:val="both"/>
        <w:rPr>
          <w:highlight w:val="white"/>
        </w:rPr>
      </w:pPr>
      <w:r w:rsidRPr="00000000" w:rsidDel="00000000" w:rsidR="00000000">
        <w:rPr>
          <w:highlight w:val="white"/>
          <w:rtl w:val="0"/>
        </w:rPr>
        <w:t xml:space="preserve">Expected behavior refers to the anticipated actions and patterns of a customer based on historical data, declared information, and other relevant factors. This model helps identify deviations from typical behavior, which may indicate potential risks or opportunities. The Analyst should take a holistic approach when reviewing a user’s transactions and profile, considering all relevant information to gain a comprehensive understanding. A risk-based methodology should then be applied to prioritize and guide decision-making, ensuring that higher-risk cases receive appropriate focus while maintaining compliance and efficiency.</w:t>
      </w:r>
    </w:p>
    <w:p w:rsidRPr="00000000" w:rsidR="00000000" w:rsidDel="00000000" w:rsidP="00000000" w:rsidRDefault="00000000" w14:paraId="000001F0">
      <w:pPr>
        <w:spacing w:before="200" w:line="276" w:lineRule="auto"/>
        <w:jc w:val="both"/>
        <w:rPr>
          <w:sz w:val="20"/>
          <w:szCs w:val="20"/>
        </w:rPr>
      </w:pPr>
      <w:r w:rsidRPr="00000000" w:rsidDel="00000000" w:rsidR="00000000">
        <w:rPr>
          <w:highlight w:val="white"/>
          <w:rtl w:val="0"/>
        </w:rPr>
        <w:t xml:space="preserve">In instances where users have not submitted a Compliance questionnaire (As per Retail KYC Program</w:t>
      </w:r>
      <w:r w:rsidRPr="00000000" w:rsidDel="00000000" w:rsidR="00000000">
        <w:rPr>
          <w:highlight w:val="white"/>
          <w:vertAlign w:val="superscript"/>
        </w:rPr>
        <w:footnoteReference w:customMarkFollows="0" w:id="1"/>
      </w:r>
      <w:r w:rsidRPr="00000000" w:rsidDel="00000000" w:rsidR="00000000">
        <w:rPr>
          <w:highlight w:val="white"/>
          <w:rtl w:val="0"/>
        </w:rPr>
        <w:t xml:space="preserve"> Compliance questions are only mandatory for customers that are residents in EU, SEPA countries including French overseas territories, Australia, New Zealand), critical information such as anticipated transaction volumes, account purpose, or employment status may be incomplete or unavailable. So the Analyst should refer to information available in the user's profile, open sources, or consider issuing RFI in order to obtain necessary information.</w:t>
      </w:r>
      <w:r w:rsidRPr="00000000" w:rsidDel="00000000" w:rsidR="00000000">
        <w:rPr>
          <w:rtl w:val="0"/>
        </w:rPr>
      </w:r>
    </w:p>
    <w:sdt>
      <w:sdtPr>
        <w:lock w:val="contentLocked"/>
        <w:id w:val="-12876850"/>
        <w:tag w:val="goog_rdk_3"/>
      </w:sdtPr>
      <w:sdtContent>
        <w:tbl>
          <w:tblPr>
            <w:tblStyle w:val="Table12"/>
            <w:tblpPr w:leftFromText="180" w:rightFromText="180" w:topFromText="180" w:bottomFromText="180" w:vertAnchor="text" w:horzAnchor="text" w:tblpX="0" w:tblpY="0"/>
            <w:tblW w:w="9525.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1965"/>
            <w:gridCol w:w="3045"/>
            <w:gridCol w:w="4515"/>
            <w:tblGridChange w:id="0">
              <w:tblGrid>
                <w:gridCol w:w="1965"/>
                <w:gridCol w:w="3045"/>
                <w:gridCol w:w="4515"/>
              </w:tblGrid>
            </w:tblGridChange>
          </w:tblGrid>
          <w:tr>
            <w:trPr>
              <w:cantSplit w:val="0"/>
              <w:tblHeader w:val="0"/>
            </w:trPr>
            <w:tc>
              <w:tcPr>
                <w:shd w:val="clear" w:fill="f7cbac"/>
              </w:tcPr>
              <w:p w:rsidRPr="00000000" w:rsidR="00000000" w:rsidDel="00000000" w:rsidP="00000000" w:rsidRDefault="00000000" w14:paraId="000001F1">
                <w:pPr>
                  <w:widowControl w:val="0"/>
                  <w:spacing w:after="0" w:line="240" w:lineRule="auto"/>
                  <w:rPr>
                    <w:b w:val="1"/>
                    <w:bCs w:val="1"/>
                  </w:rPr>
                </w:pPr>
                <w:r w:rsidRPr="00000000" w:rsidDel="00000000" w:rsidR="00000000">
                  <w:rPr>
                    <w:b w:val="1"/>
                    <w:bCs w:val="1"/>
                    <w:rtl w:val="0"/>
                  </w:rPr>
                  <w:t xml:space="preserve">Component</w:t>
                </w:r>
              </w:p>
            </w:tc>
            <w:tc>
              <w:tcPr>
                <w:shd w:val="clear" w:fill="f7cbac"/>
              </w:tcPr>
              <w:p w:rsidRPr="00000000" w:rsidR="00000000" w:rsidDel="00000000" w:rsidP="00000000" w:rsidRDefault="00000000" w14:paraId="000001F2">
                <w:pPr>
                  <w:widowControl w:val="0"/>
                  <w:spacing w:after="0" w:line="240" w:lineRule="auto"/>
                  <w:rPr>
                    <w:b w:val="1"/>
                    <w:bCs w:val="1"/>
                  </w:rPr>
                </w:pPr>
                <w:r w:rsidRPr="00000000" w:rsidDel="00000000" w:rsidR="00000000">
                  <w:rPr>
                    <w:b w:val="1"/>
                    <w:bCs w:val="1"/>
                    <w:rtl w:val="0"/>
                  </w:rPr>
                  <w:t xml:space="preserve">Expected Behavior</w:t>
                </w:r>
              </w:p>
            </w:tc>
            <w:tc>
              <w:tcPr>
                <w:shd w:val="clear" w:fill="f7cbac"/>
              </w:tcPr>
              <w:p w:rsidRPr="00000000" w:rsidR="00000000" w:rsidDel="00000000" w:rsidP="00000000" w:rsidRDefault="00000000" w14:paraId="000001F3">
                <w:pPr>
                  <w:widowControl w:val="0"/>
                  <w:spacing w:after="0" w:line="240" w:lineRule="auto"/>
                  <w:rPr>
                    <w:b w:val="1"/>
                    <w:bCs w:val="1"/>
                  </w:rPr>
                </w:pPr>
                <w:r w:rsidRPr="00000000" w:rsidDel="00000000" w:rsidR="00000000">
                  <w:rPr>
                    <w:b w:val="1"/>
                    <w:bCs w:val="1"/>
                    <w:rtl w:val="0"/>
                  </w:rPr>
                  <w:t xml:space="preserve">Metric</w:t>
                </w:r>
              </w:p>
            </w:tc>
          </w:tr>
          <w:tr>
            <w:trPr>
              <w:cantSplit w:val="0"/>
              <w:tblHeader w:val="0"/>
            </w:trPr>
            <w:tc>
              <w:tcPr/>
              <w:p w:rsidRPr="00000000" w:rsidR="00000000" w:rsidDel="00000000" w:rsidP="00000000" w:rsidRDefault="00000000" w14:paraId="000001F4">
                <w:pPr>
                  <w:widowControl w:val="0"/>
                  <w:spacing w:after="0" w:line="240" w:lineRule="auto"/>
                  <w:rPr>
                    <w:sz w:val="20"/>
                    <w:szCs w:val="20"/>
                  </w:rPr>
                </w:pPr>
                <w:r w:rsidRPr="00000000" w:rsidDel="00000000" w:rsidR="00000000">
                  <w:rPr>
                    <w:sz w:val="20"/>
                    <w:szCs w:val="20"/>
                    <w:rtl w:val="0"/>
                  </w:rPr>
                  <w:t xml:space="preserve">Expected Volume</w:t>
                </w:r>
              </w:p>
              <w:p w:rsidRPr="00000000" w:rsidR="00000000" w:rsidDel="00000000" w:rsidP="00000000" w:rsidRDefault="00000000" w14:paraId="000001F5">
                <w:pPr>
                  <w:widowControl w:val="0"/>
                  <w:spacing w:after="0" w:line="240" w:lineRule="auto"/>
                  <w:rPr>
                    <w:i w:val="1"/>
                    <w:iCs w:val="1"/>
                    <w:sz w:val="18"/>
                    <w:szCs w:val="18"/>
                  </w:rPr>
                </w:pPr>
                <w:r w:rsidRPr="00000000" w:rsidDel="00000000" w:rsidR="00000000">
                  <w:rPr>
                    <w:rtl w:val="0"/>
                  </w:rPr>
                </w:r>
              </w:p>
            </w:tc>
            <w:tc>
              <w:tcPr/>
              <w:p w:rsidRPr="00000000" w:rsidR="00000000" w:rsidDel="00000000" w:rsidP="00000000" w:rsidRDefault="00000000" w14:paraId="000001F6">
                <w:pPr>
                  <w:widowControl w:val="0"/>
                  <w:spacing w:after="0" w:line="240" w:lineRule="auto"/>
                  <w:rPr>
                    <w:sz w:val="20"/>
                    <w:szCs w:val="20"/>
                  </w:rPr>
                </w:pPr>
                <w:r w:rsidRPr="00000000" w:rsidDel="00000000" w:rsidR="00000000">
                  <w:rPr>
                    <w:sz w:val="20"/>
                    <w:szCs w:val="20"/>
                    <w:rtl w:val="0"/>
                  </w:rPr>
                  <w:t xml:space="preserve">Deposit volume should align with declared financial statement</w:t>
                </w:r>
              </w:p>
            </w:tc>
            <w:tc>
              <w:tcPr/>
              <w:p w:rsidRPr="00000000" w:rsidR="00000000" w:rsidDel="00000000" w:rsidP="00000000" w:rsidRDefault="00000000" w14:paraId="000001F7">
                <w:pPr>
                  <w:widowControl w:val="0"/>
                  <w:spacing w:after="0" w:line="240" w:lineRule="auto"/>
                  <w:jc w:val="both"/>
                  <w:rPr>
                    <w:sz w:val="20"/>
                    <w:szCs w:val="20"/>
                  </w:rPr>
                </w:pPr>
                <w:r w:rsidRPr="00000000" w:rsidDel="00000000" w:rsidR="00000000">
                  <w:rPr>
                    <w:sz w:val="20"/>
                    <w:szCs w:val="20"/>
                    <w:rtl w:val="0"/>
                  </w:rPr>
                  <w:t xml:space="preserve">Compare actual deposit volumes both  highest single deposit and overall total yearly deposit to declared volumes; assess how many times actual volume exceeds expectations. Ideally this should not exceed over 3 times of declared financial volume. The possibility of funds being recycled or re-deposited should also be taken into account.</w:t>
                </w:r>
              </w:p>
            </w:tc>
          </w:tr>
          <w:tr>
            <w:trPr>
              <w:cantSplit w:val="0"/>
              <w:tblHeader w:val="0"/>
            </w:trPr>
            <w:tc>
              <w:tcPr/>
              <w:p w:rsidRPr="00000000" w:rsidR="00000000" w:rsidDel="00000000" w:rsidP="00000000" w:rsidRDefault="00000000" w14:paraId="000001F8">
                <w:pPr>
                  <w:widowControl w:val="0"/>
                  <w:spacing w:after="0" w:line="240" w:lineRule="auto"/>
                  <w:rPr>
                    <w:sz w:val="20"/>
                    <w:szCs w:val="20"/>
                  </w:rPr>
                </w:pPr>
                <w:r w:rsidRPr="00000000" w:rsidDel="00000000" w:rsidR="00000000">
                  <w:rPr>
                    <w:sz w:val="20"/>
                    <w:szCs w:val="20"/>
                    <w:rtl w:val="0"/>
                  </w:rPr>
                  <w:t xml:space="preserve">Account Purpose</w:t>
                </w:r>
              </w:p>
            </w:tc>
            <w:tc>
              <w:tcPr/>
              <w:p w:rsidRPr="00000000" w:rsidR="00000000" w:rsidDel="00000000" w:rsidP="00000000" w:rsidRDefault="00000000" w14:paraId="000001F9">
                <w:pPr>
                  <w:widowControl w:val="0"/>
                  <w:spacing w:after="0" w:line="240" w:lineRule="auto"/>
                  <w:rPr>
                    <w:sz w:val="20"/>
                    <w:szCs w:val="20"/>
                  </w:rPr>
                </w:pPr>
                <w:r w:rsidRPr="00000000" w:rsidDel="00000000" w:rsidR="00000000">
                  <w:rPr>
                    <w:sz w:val="20"/>
                    <w:szCs w:val="20"/>
                    <w:rtl w:val="0"/>
                  </w:rPr>
                  <w:t xml:space="preserve">Account usage should match its declared purpose</w:t>
                </w:r>
              </w:p>
            </w:tc>
            <w:tc>
              <w:tcPr/>
              <w:p w:rsidRPr="00000000" w:rsidR="00000000" w:rsidDel="00000000" w:rsidP="00000000" w:rsidRDefault="00000000" w14:paraId="000001FA">
                <w:pPr>
                  <w:widowControl w:val="0"/>
                  <w:spacing w:after="0" w:line="240" w:lineRule="auto"/>
                  <w:rPr>
                    <w:sz w:val="20"/>
                    <w:szCs w:val="20"/>
                  </w:rPr>
                </w:pPr>
                <w:r w:rsidRPr="00000000" w:rsidDel="00000000" w:rsidR="00000000">
                  <w:rPr>
                    <w:sz w:val="20"/>
                    <w:szCs w:val="20"/>
                    <w:rtl w:val="0"/>
                  </w:rPr>
                  <w:t xml:space="preserve">Monitor account activity for consistency with declared purpose*, for example:</w:t>
                </w:r>
              </w:p>
              <w:p w:rsidRPr="00000000" w:rsidR="00000000" w:rsidDel="00000000" w:rsidP="00000000" w:rsidRDefault="00000000" w14:paraId="000001FB">
                <w:pPr>
                  <w:widowControl w:val="0"/>
                  <w:numPr>
                    <w:ilvl w:val="0"/>
                    <w:numId w:val="34"/>
                  </w:numPr>
                  <w:spacing w:after="0" w:line="240" w:lineRule="auto"/>
                  <w:ind w:left="360" w:hanging="360"/>
                  <w:jc w:val="both"/>
                  <w:rPr>
                    <w:sz w:val="20"/>
                    <w:szCs w:val="20"/>
                  </w:rPr>
                </w:pPr>
                <w:r w:rsidRPr="00000000" w:rsidDel="00000000" w:rsidR="00000000">
                  <w:rPr>
                    <w:sz w:val="20"/>
                    <w:szCs w:val="20"/>
                    <w:rtl w:val="0"/>
                  </w:rPr>
                  <w:t xml:space="preserve">For account usage purposes "trading" an expected behaviour would be frequent buy/sell transactions on spot or derivatives markets and/or regular inflows/outflows aligned with trading cycles.</w:t>
                </w:r>
              </w:p>
              <w:p w:rsidRPr="00000000" w:rsidR="00000000" w:rsidDel="00000000" w:rsidP="00000000" w:rsidRDefault="00000000" w14:paraId="000001FC">
                <w:pPr>
                  <w:widowControl w:val="0"/>
                  <w:spacing w:after="0" w:line="240" w:lineRule="auto"/>
                  <w:jc w:val="both"/>
                  <w:rPr>
                    <w:sz w:val="20"/>
                    <w:szCs w:val="20"/>
                  </w:rPr>
                </w:pPr>
                <w:r w:rsidRPr="00000000" w:rsidDel="00000000" w:rsidR="00000000">
                  <w:rPr>
                    <w:sz w:val="20"/>
                    <w:szCs w:val="20"/>
                    <w:rtl w:val="0"/>
                  </w:rPr>
                  <w:t xml:space="preserve">An inconsistency, as an example, would be if the user declares their purpose as investment but shows frequent high-volume trading activity. </w:t>
                </w:r>
              </w:p>
              <w:p w:rsidRPr="00000000" w:rsidR="00000000" w:rsidDel="00000000" w:rsidP="00000000" w:rsidRDefault="00000000" w14:paraId="000001FD">
                <w:pPr>
                  <w:widowControl w:val="0"/>
                  <w:spacing w:before="200" w:after="0" w:line="240" w:lineRule="auto"/>
                  <w:rPr>
                    <w:sz w:val="20"/>
                    <w:szCs w:val="20"/>
                  </w:rPr>
                </w:pPr>
                <w:r w:rsidRPr="00000000" w:rsidDel="00000000" w:rsidR="00000000">
                  <w:rPr>
                    <w:i w:val="1"/>
                    <w:iCs w:val="1"/>
                    <w:sz w:val="20"/>
                    <w:szCs w:val="20"/>
                    <w:rtl w:val="0"/>
                  </w:rPr>
                  <w:t xml:space="preserve">*refer to p.2.6.1 of current document for the details</w:t>
                </w:r>
                <w:r w:rsidRPr="00000000" w:rsidDel="00000000" w:rsidR="00000000">
                  <w:rPr>
                    <w:rtl w:val="0"/>
                  </w:rPr>
                </w:r>
              </w:p>
            </w:tc>
          </w:tr>
          <w:tr>
            <w:trPr>
              <w:cantSplit w:val="0"/>
              <w:tblHeader w:val="0"/>
            </w:trPr>
            <w:tc>
              <w:tcPr/>
              <w:p w:rsidRPr="00000000" w:rsidR="00000000" w:rsidDel="00000000" w:rsidP="00000000" w:rsidRDefault="00000000" w14:paraId="000001FE">
                <w:pPr>
                  <w:widowControl w:val="0"/>
                  <w:spacing w:after="0" w:line="240" w:lineRule="auto"/>
                  <w:rPr>
                    <w:sz w:val="20"/>
                    <w:szCs w:val="20"/>
                  </w:rPr>
                </w:pPr>
                <w:r w:rsidRPr="00000000" w:rsidDel="00000000" w:rsidR="00000000">
                  <w:rPr>
                    <w:sz w:val="20"/>
                    <w:szCs w:val="20"/>
                    <w:rtl w:val="0"/>
                  </w:rPr>
                  <w:t xml:space="preserve">Employment Status</w:t>
                </w:r>
                <w:r w:rsidRPr="00000000" w:rsidDel="00000000" w:rsidR="00000000">
                  <w:rPr>
                    <w:sz w:val="20"/>
                    <w:szCs w:val="20"/>
                    <w:rtl w:val="0"/>
                  </w:rPr>
                  <w:t xml:space="preserve">/Industry</w:t>
                </w:r>
              </w:p>
            </w:tc>
            <w:tc>
              <w:tcPr/>
              <w:p w:rsidRPr="00000000" w:rsidR="00000000" w:rsidDel="00000000" w:rsidP="00000000" w:rsidRDefault="00000000" w14:paraId="000001FF">
                <w:pPr>
                  <w:widowControl w:val="0"/>
                  <w:spacing w:after="0" w:line="240" w:lineRule="auto"/>
                  <w:rPr>
                    <w:sz w:val="20"/>
                    <w:szCs w:val="20"/>
                  </w:rPr>
                </w:pPr>
                <w:r w:rsidRPr="00000000" w:rsidDel="00000000" w:rsidR="00000000">
                  <w:rPr>
                    <w:sz w:val="20"/>
                    <w:szCs w:val="20"/>
                    <w:rtl w:val="0"/>
                  </w:rPr>
                  <w:t xml:space="preserve">Financial activity should be consistent with employment status</w:t>
                </w:r>
              </w:p>
            </w:tc>
            <w:tc>
              <w:tcPr/>
              <w:p w:rsidRPr="00000000" w:rsidR="00000000" w:rsidDel="00000000" w:rsidP="00000000" w:rsidRDefault="00000000" w14:paraId="00000200">
                <w:pPr>
                  <w:widowControl w:val="0"/>
                  <w:spacing w:after="0" w:line="240" w:lineRule="auto"/>
                  <w:jc w:val="both"/>
                  <w:rPr>
                    <w:sz w:val="20"/>
                    <w:szCs w:val="20"/>
                  </w:rPr>
                </w:pPr>
                <w:r w:rsidRPr="00000000" w:rsidDel="00000000" w:rsidR="00000000">
                  <w:rPr>
                    <w:sz w:val="20"/>
                    <w:szCs w:val="20"/>
                    <w:rtl w:val="0"/>
                  </w:rPr>
                  <w:t xml:space="preserve">Assess transaction volumes against typical income levels for the declared employment status:</w:t>
                </w:r>
              </w:p>
              <w:p w:rsidRPr="00000000" w:rsidR="00000000" w:rsidDel="00000000" w:rsidP="00000000" w:rsidRDefault="00000000" w14:paraId="00000201">
                <w:pPr>
                  <w:keepNext w:val="0"/>
                  <w:keepLines w:val="0"/>
                  <w:widowControl w:val="0"/>
                  <w:numPr>
                    <w:ilvl w:val="0"/>
                    <w:numId w:val="34"/>
                  </w:numPr>
                  <w:pBdr>
                    <w:top w:val="nil" w:sz="0" w:space="0"/>
                    <w:left w:val="nil" w:sz="0" w:space="0"/>
                    <w:bottom w:val="nil" w:sz="0" w:space="0"/>
                    <w:right w:val="nil" w:sz="0" w:space="0"/>
                    <w:between w:val="nil" w:sz="0" w:space="0"/>
                  </w:pBdr>
                  <w:shd w:val="clear" w:fill="auto"/>
                  <w:spacing w:before="0" w:after="0" w:line="240" w:lineRule="auto"/>
                  <w:ind w:left="360" w:right="0" w:hanging="360"/>
                  <w:jc w:val="both"/>
                  <w:rPr>
                    <w:sz w:val="20"/>
                    <w:szCs w:val="20"/>
                  </w:rPr>
                </w:pPr>
                <w:r w:rsidRPr="00000000" w:rsidDel="00000000" w:rsidR="00000000">
                  <w:rPr>
                    <w:sz w:val="20"/>
                    <w:szCs w:val="20"/>
                    <w:rtl w:val="0"/>
                  </w:rPr>
                  <w:t xml:space="preserve">Students and unemployed</w:t>
                </w:r>
                <w:r w:rsidRPr="00000000" w:rsidDel="00000000" w:rsidR="00000000">
                  <w:rPr>
                    <w:sz w:val="20"/>
                    <w:szCs w:val="20"/>
                    <w:rtl w:val="0"/>
                  </w:rPr>
                  <w:t xml:space="preserve"> users generally expected to have lower transaction volumes and smaller transaction sizes.</w:t>
                </w:r>
              </w:p>
              <w:p w:rsidRPr="00000000" w:rsidR="00000000" w:rsidDel="00000000" w:rsidP="00000000" w:rsidRDefault="00000000" w14:paraId="00000202">
                <w:pPr>
                  <w:keepNext w:val="0"/>
                  <w:keepLines w:val="0"/>
                  <w:widowControl w:val="0"/>
                  <w:numPr>
                    <w:ilvl w:val="0"/>
                    <w:numId w:val="34"/>
                  </w:numPr>
                  <w:pBdr>
                    <w:top w:val="nil" w:sz="0" w:space="0"/>
                    <w:left w:val="nil" w:sz="0" w:space="0"/>
                    <w:bottom w:val="nil" w:sz="0" w:space="0"/>
                    <w:right w:val="nil" w:sz="0" w:space="0"/>
                    <w:between w:val="nil" w:sz="0" w:space="0"/>
                  </w:pBdr>
                  <w:shd w:val="clear" w:fill="auto"/>
                  <w:spacing w:before="0" w:after="0" w:line="240" w:lineRule="auto"/>
                  <w:ind w:left="360" w:right="0" w:hanging="360"/>
                  <w:jc w:val="both"/>
                  <w:rPr>
                    <w:sz w:val="20"/>
                    <w:szCs w:val="20"/>
                  </w:rPr>
                </w:pPr>
                <w:r w:rsidRPr="00000000" w:rsidDel="00000000" w:rsidR="00000000">
                  <w:rPr>
                    <w:sz w:val="20"/>
                    <w:szCs w:val="20"/>
                    <w:rtl w:val="0"/>
                  </w:rPr>
                  <w:t xml:space="preserve">Self-employed users</w:t>
                </w:r>
                <w:r w:rsidRPr="00000000" w:rsidDel="00000000" w:rsidR="00000000">
                  <w:rPr>
                    <w:sz w:val="20"/>
                    <w:szCs w:val="20"/>
                    <w:rtl w:val="0"/>
                  </w:rPr>
                  <w:t xml:space="preserve"> may have more variables and sometimes higher volumes, but activity should align with their declared business and income.</w:t>
                </w:r>
              </w:p>
              <w:p w:rsidRPr="00000000" w:rsidR="00000000" w:rsidDel="00000000" w:rsidP="00000000" w:rsidRDefault="00000000" w14:paraId="00000203">
                <w:pPr>
                  <w:keepNext w:val="0"/>
                  <w:keepLines w:val="0"/>
                  <w:widowControl w:val="0"/>
                  <w:numPr>
                    <w:ilvl w:val="0"/>
                    <w:numId w:val="34"/>
                  </w:numPr>
                  <w:pBdr>
                    <w:top w:val="nil" w:sz="0" w:space="0"/>
                    <w:left w:val="nil" w:sz="0" w:space="0"/>
                    <w:bottom w:val="nil" w:sz="0" w:space="0"/>
                    <w:right w:val="nil" w:sz="0" w:space="0"/>
                    <w:between w:val="nil" w:sz="0" w:space="0"/>
                  </w:pBdr>
                  <w:shd w:val="clear" w:fill="auto"/>
                  <w:spacing w:before="0" w:after="0" w:line="240" w:lineRule="auto"/>
                  <w:ind w:left="360" w:right="0" w:hanging="360"/>
                  <w:jc w:val="both"/>
                  <w:rPr>
                    <w:sz w:val="20"/>
                    <w:szCs w:val="20"/>
                  </w:rPr>
                </w:pPr>
                <w:r w:rsidRPr="00000000" w:rsidDel="00000000" w:rsidR="00000000">
                  <w:rPr>
                    <w:sz w:val="20"/>
                    <w:szCs w:val="20"/>
                    <w:rtl w:val="0"/>
                  </w:rPr>
                  <w:t xml:space="preserve">Employed users</w:t>
                </w:r>
                <w:r w:rsidRPr="00000000" w:rsidDel="00000000" w:rsidR="00000000">
                  <w:rPr>
                    <w:sz w:val="20"/>
                    <w:szCs w:val="20"/>
                    <w:rtl w:val="0"/>
                  </w:rPr>
                  <w:t xml:space="preserve"> typically show regular inflows consistent with salary payments and moderate investment or payment activity.</w:t>
                </w:r>
              </w:p>
              <w:p w:rsidRPr="00000000" w:rsidR="00000000" w:rsidDel="00000000" w:rsidP="00000000" w:rsidRDefault="00000000" w14:paraId="00000204">
                <w:pPr>
                  <w:widowControl w:val="0"/>
                  <w:spacing w:after="0" w:line="240" w:lineRule="auto"/>
                  <w:jc w:val="both"/>
                  <w:rPr>
                    <w:sz w:val="20"/>
                    <w:szCs w:val="20"/>
                  </w:rPr>
                </w:pPr>
                <w:r w:rsidRPr="00000000" w:rsidDel="00000000" w:rsidR="00000000">
                  <w:rPr>
                    <w:sz w:val="20"/>
                    <w:szCs w:val="20"/>
                    <w:rtl w:val="0"/>
                  </w:rPr>
                  <w:t xml:space="preserve">Any transaction behavior inconsistent with the expected profile (e.g., large unexplained deposits, frequent high-value transfers) may trigger enhanced due diligence or requests for additional information.</w:t>
                </w:r>
              </w:p>
            </w:tc>
          </w:tr>
          <w:tr>
            <w:trPr>
              <w:cantSplit w:val="0"/>
              <w:tblHeader w:val="0"/>
            </w:trPr>
            <w:tc>
              <w:tcPr/>
              <w:p w:rsidRPr="00000000" w:rsidR="00000000" w:rsidDel="00000000" w:rsidP="00000000" w:rsidRDefault="00000000" w14:paraId="00000205">
                <w:pPr>
                  <w:widowControl w:val="0"/>
                  <w:spacing w:after="0" w:line="240" w:lineRule="auto"/>
                  <w:rPr>
                    <w:sz w:val="20"/>
                    <w:szCs w:val="20"/>
                  </w:rPr>
                </w:pPr>
                <w:r w:rsidRPr="00000000" w:rsidDel="00000000" w:rsidR="00000000">
                  <w:rPr>
                    <w:sz w:val="20"/>
                    <w:szCs w:val="20"/>
                    <w:rtl w:val="0"/>
                  </w:rPr>
                  <w:t xml:space="preserve">Employment Industry</w:t>
                </w:r>
              </w:p>
            </w:tc>
            <w:tc>
              <w:tcPr/>
              <w:p w:rsidRPr="00000000" w:rsidR="00000000" w:rsidDel="00000000" w:rsidP="00000000" w:rsidRDefault="00000000" w14:paraId="00000206">
                <w:pPr>
                  <w:widowControl w:val="0"/>
                  <w:spacing w:after="0" w:line="240" w:lineRule="auto"/>
                  <w:rPr>
                    <w:sz w:val="20"/>
                    <w:szCs w:val="20"/>
                  </w:rPr>
                </w:pPr>
                <w:r w:rsidRPr="00000000" w:rsidDel="00000000" w:rsidR="00000000">
                  <w:rPr>
                    <w:sz w:val="20"/>
                    <w:szCs w:val="20"/>
                    <w:rtl w:val="0"/>
                  </w:rPr>
                  <w:t xml:space="preserve">Financial activity should be consistent with employment industry</w:t>
                </w:r>
              </w:p>
            </w:tc>
            <w:tc>
              <w:tcPr/>
              <w:p w:rsidRPr="00000000" w:rsidR="00000000" w:rsidDel="00000000" w:rsidP="00000000" w:rsidRDefault="00000000" w14:paraId="00000207">
                <w:pPr>
                  <w:widowControl w:val="0"/>
                  <w:spacing w:after="0" w:line="240" w:lineRule="auto"/>
                  <w:jc w:val="both"/>
                  <w:rPr>
                    <w:sz w:val="20"/>
                    <w:szCs w:val="20"/>
                  </w:rPr>
                </w:pPr>
                <w:r w:rsidRPr="00000000" w:rsidDel="00000000" w:rsidR="00000000">
                  <w:rPr>
                    <w:sz w:val="20"/>
                    <w:szCs w:val="20"/>
                    <w:rtl w:val="0"/>
                  </w:rPr>
                  <w:t xml:space="preserve">Assess transaction pattern against typical industry:</w:t>
                </w:r>
              </w:p>
              <w:p w:rsidRPr="00000000" w:rsidR="00000000" w:rsidDel="00000000" w:rsidP="00000000" w:rsidRDefault="00000000" w14:paraId="00000208">
                <w:pPr>
                  <w:keepNext w:val="0"/>
                  <w:keepLines w:val="0"/>
                  <w:widowControl w:val="0"/>
                  <w:numPr>
                    <w:ilvl w:val="0"/>
                    <w:numId w:val="34"/>
                  </w:numPr>
                  <w:pBdr>
                    <w:top w:val="nil" w:sz="0" w:space="0"/>
                    <w:left w:val="nil" w:sz="0" w:space="0"/>
                    <w:bottom w:val="nil" w:sz="0" w:space="0"/>
                    <w:right w:val="nil" w:sz="0" w:space="0"/>
                    <w:between w:val="nil" w:sz="0" w:space="0"/>
                  </w:pBdr>
                  <w:shd w:val="clear" w:fill="auto"/>
                  <w:spacing w:before="0" w:after="0" w:line="240" w:lineRule="auto"/>
                  <w:ind w:left="360" w:right="0" w:hanging="360"/>
                  <w:jc w:val="both"/>
                  <w:rPr>
                    <w:sz w:val="20"/>
                    <w:szCs w:val="20"/>
                  </w:rPr>
                </w:pPr>
                <w:r w:rsidRPr="00000000" w:rsidDel="00000000" w:rsidR="00000000">
                  <w:rPr>
                    <w:sz w:val="20"/>
                    <w:szCs w:val="20"/>
                    <w:rtl w:val="0"/>
                  </w:rPr>
                  <w:t xml:space="preserve">Technology &amp; Software: </w:t>
                </w:r>
                <w:r w:rsidRPr="00000000" w:rsidDel="00000000" w:rsidR="00000000">
                  <w:rPr>
                    <w:sz w:val="20"/>
                    <w:szCs w:val="20"/>
                    <w:rtl w:val="0"/>
                  </w:rPr>
                  <w:t xml:space="preserve">Frequent payroll payments in crypto,  Payments for SaaS/cloud services, Participation in ICOs, DeFi, Medium-size frequent transactions</w:t>
                </w:r>
              </w:p>
              <w:p w:rsidRPr="00000000" w:rsidR="00000000" w:rsidDel="00000000" w:rsidP="00000000" w:rsidRDefault="00000000" w14:paraId="00000209">
                <w:pPr>
                  <w:keepNext w:val="0"/>
                  <w:keepLines w:val="0"/>
                  <w:widowControl w:val="0"/>
                  <w:numPr>
                    <w:ilvl w:val="0"/>
                    <w:numId w:val="34"/>
                  </w:numPr>
                  <w:pBdr>
                    <w:top w:val="nil" w:sz="0" w:space="0"/>
                    <w:left w:val="nil" w:sz="0" w:space="0"/>
                    <w:bottom w:val="nil" w:sz="0" w:space="0"/>
                    <w:right w:val="nil" w:sz="0" w:space="0"/>
                    <w:between w:val="nil" w:sz="0" w:space="0"/>
                  </w:pBdr>
                  <w:shd w:val="clear" w:fill="auto"/>
                  <w:spacing w:before="0" w:after="0" w:line="240" w:lineRule="auto"/>
                  <w:ind w:left="360" w:right="0" w:hanging="360"/>
                  <w:jc w:val="both"/>
                  <w:rPr>
                    <w:sz w:val="20"/>
                    <w:szCs w:val="20"/>
                  </w:rPr>
                </w:pPr>
                <w:r w:rsidRPr="00000000" w:rsidDel="00000000" w:rsidR="00000000">
                  <w:rPr>
                    <w:sz w:val="20"/>
                    <w:szCs w:val="20"/>
                    <w:rtl w:val="0"/>
                  </w:rPr>
                  <w:t xml:space="preserve">Financial Services &amp; Banking</w:t>
                </w:r>
                <w:r w:rsidRPr="00000000" w:rsidDel="00000000" w:rsidR="00000000">
                  <w:rPr>
                    <w:sz w:val="20"/>
                    <w:szCs w:val="20"/>
                    <w:rtl w:val="0"/>
                  </w:rPr>
                  <w:t xml:space="preserve">: High-value asset management and trading, Stablecoin use for liquidity, Interaction with exchanges and custodians, Regulatory compliance signals</w:t>
                </w:r>
              </w:p>
              <w:p w:rsidRPr="00000000" w:rsidR="00000000" w:rsidDel="00000000" w:rsidP="00000000" w:rsidRDefault="00000000" w14:paraId="0000020A">
                <w:pPr>
                  <w:keepNext w:val="0"/>
                  <w:keepLines w:val="0"/>
                  <w:widowControl w:val="0"/>
                  <w:numPr>
                    <w:ilvl w:val="0"/>
                    <w:numId w:val="34"/>
                  </w:numPr>
                  <w:pBdr>
                    <w:top w:val="nil" w:sz="0" w:space="0"/>
                    <w:left w:val="nil" w:sz="0" w:space="0"/>
                    <w:bottom w:val="nil" w:sz="0" w:space="0"/>
                    <w:right w:val="nil" w:sz="0" w:space="0"/>
                    <w:between w:val="nil" w:sz="0" w:space="0"/>
                  </w:pBdr>
                  <w:shd w:val="clear" w:fill="auto"/>
                  <w:spacing w:before="0" w:after="0" w:line="240" w:lineRule="auto"/>
                  <w:ind w:left="360" w:right="0" w:hanging="360"/>
                  <w:jc w:val="both"/>
                  <w:rPr>
                    <w:sz w:val="20"/>
                    <w:szCs w:val="20"/>
                  </w:rPr>
                </w:pPr>
                <w:r w:rsidRPr="00000000" w:rsidDel="00000000" w:rsidR="00000000">
                  <w:rPr>
                    <w:sz w:val="20"/>
                    <w:szCs w:val="20"/>
                    <w:rtl w:val="0"/>
                  </w:rPr>
                  <w:t xml:space="preserve">Gaming &amp; Entertainment: </w:t>
                </w:r>
                <w:r w:rsidRPr="00000000" w:rsidDel="00000000" w:rsidR="00000000">
                  <w:rPr>
                    <w:sz w:val="20"/>
                    <w:szCs w:val="20"/>
                    <w:rtl w:val="0"/>
                  </w:rPr>
                  <w:t xml:space="preserve">Frequent microtransactions for in-game assets and NFTs, High frequency low-value transactions, NFT marketplace activity</w:t>
                </w:r>
              </w:p>
              <w:p w:rsidRPr="00000000" w:rsidR="00000000" w:rsidDel="00000000" w:rsidP="00000000" w:rsidRDefault="00000000" w14:paraId="0000020B">
                <w:pPr>
                  <w:keepNext w:val="0"/>
                  <w:keepLines w:val="0"/>
                  <w:widowControl w:val="0"/>
                  <w:numPr>
                    <w:ilvl w:val="0"/>
                    <w:numId w:val="34"/>
                  </w:numPr>
                  <w:pBdr>
                    <w:top w:val="nil" w:sz="0" w:space="0"/>
                    <w:left w:val="nil" w:sz="0" w:space="0"/>
                    <w:bottom w:val="nil" w:sz="0" w:space="0"/>
                    <w:right w:val="nil" w:sz="0" w:space="0"/>
                    <w:between w:val="nil" w:sz="0" w:space="0"/>
                  </w:pBdr>
                  <w:shd w:val="clear" w:fill="auto"/>
                  <w:spacing w:before="0" w:after="0" w:line="240" w:lineRule="auto"/>
                  <w:ind w:left="360" w:right="0" w:hanging="360"/>
                  <w:jc w:val="both"/>
                  <w:rPr>
                    <w:sz w:val="20"/>
                    <w:szCs w:val="20"/>
                  </w:rPr>
                </w:pPr>
                <w:r w:rsidRPr="00000000" w:rsidDel="00000000" w:rsidR="00000000">
                  <w:rPr>
                    <w:sz w:val="20"/>
                    <w:szCs w:val="20"/>
                    <w:rtl w:val="0"/>
                  </w:rPr>
                  <w:t xml:space="preserve">Retail &amp; E-commerce: </w:t>
                </w:r>
                <w:r w:rsidRPr="00000000" w:rsidDel="00000000" w:rsidR="00000000">
                  <w:rPr>
                    <w:sz w:val="20"/>
                    <w:szCs w:val="20"/>
                    <w:rtl w:val="0"/>
                  </w:rPr>
                  <w:t xml:space="preserve">Crypto payments for goods/services, Transaction surges during promotions, Stablecoin use to reduce volatility, Integrated payment processors</w:t>
                </w:r>
              </w:p>
              <w:p w:rsidRPr="00000000" w:rsidR="00000000" w:rsidDel="00000000" w:rsidP="00000000" w:rsidRDefault="00000000" w14:paraId="0000020C">
                <w:pPr>
                  <w:keepNext w:val="0"/>
                  <w:keepLines w:val="0"/>
                  <w:widowControl w:val="0"/>
                  <w:numPr>
                    <w:ilvl w:val="0"/>
                    <w:numId w:val="34"/>
                  </w:numPr>
                  <w:pBdr>
                    <w:top w:val="nil" w:sz="0" w:space="0"/>
                    <w:left w:val="nil" w:sz="0" w:space="0"/>
                    <w:bottom w:val="nil" w:sz="0" w:space="0"/>
                    <w:right w:val="nil" w:sz="0" w:space="0"/>
                    <w:between w:val="nil" w:sz="0" w:space="0"/>
                  </w:pBdr>
                  <w:shd w:val="clear" w:fill="auto"/>
                  <w:spacing w:before="0" w:after="0" w:line="240" w:lineRule="auto"/>
                  <w:ind w:left="360" w:right="0" w:hanging="360"/>
                  <w:jc w:val="both"/>
                  <w:rPr>
                    <w:sz w:val="20"/>
                    <w:szCs w:val="20"/>
                  </w:rPr>
                </w:pPr>
                <w:r w:rsidRPr="00000000" w:rsidDel="00000000" w:rsidR="00000000">
                  <w:rPr>
                    <w:sz w:val="20"/>
                    <w:szCs w:val="20"/>
                    <w:rtl w:val="0"/>
                  </w:rPr>
                  <w:t xml:space="preserve">Real Estate: </w:t>
                </w:r>
                <w:r w:rsidRPr="00000000" w:rsidDel="00000000" w:rsidR="00000000">
                  <w:rPr>
                    <w:sz w:val="20"/>
                    <w:szCs w:val="20"/>
                    <w:rtl w:val="0"/>
                  </w:rPr>
                  <w:t xml:space="preserve">Large-value transactions for property deals, Escrow via smart contracts, Tokenized assets and fractional ownership</w:t>
                </w:r>
              </w:p>
              <w:p w:rsidRPr="00000000" w:rsidR="00000000" w:rsidDel="00000000" w:rsidP="00000000" w:rsidRDefault="00000000" w14:paraId="0000020D">
                <w:pPr>
                  <w:keepNext w:val="0"/>
                  <w:keepLines w:val="0"/>
                  <w:widowControl w:val="0"/>
                  <w:numPr>
                    <w:ilvl w:val="0"/>
                    <w:numId w:val="34"/>
                  </w:numPr>
                  <w:pBdr>
                    <w:top w:val="nil" w:sz="0" w:space="0"/>
                    <w:left w:val="nil" w:sz="0" w:space="0"/>
                    <w:bottom w:val="nil" w:sz="0" w:space="0"/>
                    <w:right w:val="nil" w:sz="0" w:space="0"/>
                    <w:between w:val="nil" w:sz="0" w:space="0"/>
                  </w:pBdr>
                  <w:shd w:val="clear" w:fill="auto"/>
                  <w:spacing w:before="0" w:after="0" w:line="240" w:lineRule="auto"/>
                  <w:ind w:left="360" w:right="0" w:hanging="360"/>
                  <w:jc w:val="both"/>
                  <w:rPr>
                    <w:sz w:val="20"/>
                    <w:szCs w:val="20"/>
                  </w:rPr>
                </w:pPr>
                <w:r w:rsidRPr="00000000" w:rsidDel="00000000" w:rsidR="00000000">
                  <w:rPr>
                    <w:sz w:val="20"/>
                    <w:szCs w:val="20"/>
                    <w:rtl w:val="0"/>
                  </w:rPr>
                  <w:t xml:space="preserve">Healthcare &amp; Pharmaceuticals:</w:t>
                </w:r>
                <w:r w:rsidRPr="00000000" w:rsidDel="00000000" w:rsidR="00000000">
                  <w:rPr>
                    <w:sz w:val="20"/>
                    <w:szCs w:val="20"/>
                    <w:rtl w:val="0"/>
                  </w:rPr>
                  <w:t xml:space="preserve"> Blockchain for supply chain transparency, Moderate crypto use in R&amp;D/IP, Privacy-focused transaction patterns</w:t>
                </w:r>
              </w:p>
              <w:p w:rsidRPr="00000000" w:rsidR="00000000" w:rsidDel="00000000" w:rsidP="00000000" w:rsidRDefault="00000000" w14:paraId="0000020E">
                <w:pPr>
                  <w:keepNext w:val="0"/>
                  <w:keepLines w:val="0"/>
                  <w:widowControl w:val="0"/>
                  <w:numPr>
                    <w:ilvl w:val="0"/>
                    <w:numId w:val="34"/>
                  </w:numPr>
                  <w:pBdr>
                    <w:top w:val="nil" w:sz="0" w:space="0"/>
                    <w:left w:val="nil" w:sz="0" w:space="0"/>
                    <w:bottom w:val="nil" w:sz="0" w:space="0"/>
                    <w:right w:val="nil" w:sz="0" w:space="0"/>
                    <w:between w:val="nil" w:sz="0" w:space="0"/>
                  </w:pBdr>
                  <w:shd w:val="clear" w:fill="auto"/>
                  <w:spacing w:before="0" w:after="0" w:line="240" w:lineRule="auto"/>
                  <w:ind w:left="360" w:right="0" w:hanging="360"/>
                  <w:jc w:val="both"/>
                  <w:rPr>
                    <w:sz w:val="20"/>
                    <w:szCs w:val="20"/>
                  </w:rPr>
                </w:pPr>
                <w:r w:rsidRPr="00000000" w:rsidDel="00000000" w:rsidR="00000000">
                  <w:rPr>
                    <w:sz w:val="20"/>
                    <w:szCs w:val="20"/>
                    <w:rtl w:val="0"/>
                  </w:rPr>
                  <w:t xml:space="preserve">Non-Profit &amp; Charities:</w:t>
                </w:r>
                <w:r w:rsidRPr="00000000" w:rsidDel="00000000" w:rsidR="00000000">
                  <w:rPr>
                    <w:sz w:val="20"/>
                    <w:szCs w:val="20"/>
                    <w:rtl w:val="0"/>
                  </w:rPr>
                  <w:t xml:space="preserve"> Crypto donations acceptance, Transparent wallets for donor trust, Periodic large fund disbursements</w:t>
                </w:r>
              </w:p>
            </w:tc>
          </w:tr>
          <w:tr>
            <w:trPr>
              <w:cantSplit w:val="0"/>
              <w:tblHeader w:val="0"/>
            </w:trPr>
            <w:tc>
              <w:tcPr/>
              <w:p w:rsidRPr="00000000" w:rsidR="00000000" w:rsidDel="00000000" w:rsidP="00000000" w:rsidRDefault="00000000" w14:paraId="0000020F">
                <w:pPr>
                  <w:widowControl w:val="0"/>
                  <w:spacing w:after="0" w:line="240" w:lineRule="auto"/>
                  <w:rPr>
                    <w:sz w:val="20"/>
                    <w:szCs w:val="20"/>
                  </w:rPr>
                </w:pPr>
                <w:r w:rsidRPr="00000000" w:rsidDel="00000000" w:rsidR="00000000">
                  <w:rPr>
                    <w:sz w:val="20"/>
                    <w:szCs w:val="20"/>
                    <w:rtl w:val="0"/>
                  </w:rPr>
                  <w:t xml:space="preserve">Geographical Factor</w:t>
                </w:r>
              </w:p>
            </w:tc>
            <w:tc>
              <w:tcPr/>
              <w:p w:rsidRPr="00000000" w:rsidR="00000000" w:rsidDel="00000000" w:rsidP="00000000" w:rsidRDefault="00000000" w14:paraId="00000210">
                <w:pPr>
                  <w:widowControl w:val="0"/>
                  <w:spacing w:after="0" w:line="240" w:lineRule="auto"/>
                  <w:rPr>
                    <w:sz w:val="20"/>
                    <w:szCs w:val="20"/>
                  </w:rPr>
                </w:pPr>
                <w:r w:rsidRPr="00000000" w:rsidDel="00000000" w:rsidR="00000000">
                  <w:rPr>
                    <w:sz w:val="20"/>
                    <w:szCs w:val="20"/>
                    <w:rtl w:val="0"/>
                  </w:rPr>
                  <w:t xml:space="preserve">Financial activity should align with the economic status of the country of residence.</w:t>
                </w:r>
              </w:p>
            </w:tc>
            <w:tc>
              <w:tcPr/>
              <w:p w:rsidRPr="00000000" w:rsidR="00000000" w:rsidDel="00000000" w:rsidP="00000000" w:rsidRDefault="00000000" w14:paraId="00000211">
                <w:pPr>
                  <w:widowControl w:val="0"/>
                  <w:spacing w:after="0" w:line="240" w:lineRule="auto"/>
                  <w:rPr>
                    <w:sz w:val="20"/>
                    <w:szCs w:val="20"/>
                  </w:rPr>
                </w:pPr>
                <w:r w:rsidRPr="00000000" w:rsidDel="00000000" w:rsidR="00000000">
                  <w:rPr>
                    <w:sz w:val="20"/>
                    <w:szCs w:val="20"/>
                    <w:rtl w:val="0"/>
                  </w:rPr>
                  <w:t xml:space="preserve">Evaluate transaction volumes against average annual wages, cost of living, and economic indicators of the country</w:t>
                </w:r>
                <w:r w:rsidRPr="00000000" w:rsidDel="00000000" w:rsidR="00000000">
                  <w:rPr>
                    <w:sz w:val="20"/>
                    <w:szCs w:val="20"/>
                    <w:vertAlign w:val="superscript"/>
                  </w:rPr>
                  <w:footnoteReference w:customMarkFollows="0" w:id="2"/>
                </w:r>
                <w:r w:rsidRPr="00000000" w:rsidDel="00000000" w:rsidR="00000000">
                  <w:rPr>
                    <w:sz w:val="20"/>
                    <w:szCs w:val="20"/>
                    <w:rtl w:val="0"/>
                  </w:rPr>
                  <w:t xml:space="preserve">.</w:t>
                </w:r>
              </w:p>
            </w:tc>
          </w:tr>
          <w:tr>
            <w:trPr>
              <w:cantSplit w:val="0"/>
              <w:tblHeader w:val="0"/>
            </w:trPr>
            <w:tc>
              <w:tcPr/>
              <w:p w:rsidRPr="00000000" w:rsidR="00000000" w:rsidDel="00000000" w:rsidP="00000000" w:rsidRDefault="00000000" w14:paraId="00000212">
                <w:pPr>
                  <w:widowControl w:val="0"/>
                  <w:spacing w:after="0" w:line="240" w:lineRule="auto"/>
                  <w:rPr>
                    <w:sz w:val="20"/>
                    <w:szCs w:val="20"/>
                  </w:rPr>
                </w:pPr>
                <w:r w:rsidRPr="00000000" w:rsidDel="00000000" w:rsidR="00000000">
                  <w:rPr>
                    <w:sz w:val="20"/>
                    <w:szCs w:val="20"/>
                    <w:rtl w:val="0"/>
                  </w:rPr>
                  <w:t xml:space="preserve">User Registration Date</w:t>
                </w:r>
              </w:p>
            </w:tc>
            <w:tc>
              <w:tcPr/>
              <w:p w:rsidRPr="00000000" w:rsidR="00000000" w:rsidDel="00000000" w:rsidP="00000000" w:rsidRDefault="00000000" w14:paraId="00000213">
                <w:pPr>
                  <w:widowControl w:val="0"/>
                  <w:spacing w:after="0" w:line="240" w:lineRule="auto"/>
                  <w:rPr>
                    <w:sz w:val="20"/>
                    <w:szCs w:val="20"/>
                  </w:rPr>
                </w:pPr>
                <w:r w:rsidRPr="00000000" w:rsidDel="00000000" w:rsidR="00000000">
                  <w:rPr>
                    <w:sz w:val="20"/>
                    <w:szCs w:val="20"/>
                    <w:rtl w:val="0"/>
                  </w:rPr>
                  <w:t xml:space="preserve">Long-term users may exhibit larger trading activity due to account tenure.</w:t>
                </w:r>
              </w:p>
            </w:tc>
            <w:tc>
              <w:tcPr/>
              <w:p w:rsidRPr="00000000" w:rsidR="00000000" w:rsidDel="00000000" w:rsidP="00000000" w:rsidRDefault="00000000" w14:paraId="00000214">
                <w:pPr>
                  <w:widowControl w:val="0"/>
                  <w:spacing w:after="0" w:line="240" w:lineRule="auto"/>
                  <w:jc w:val="both"/>
                  <w:rPr>
                    <w:sz w:val="20"/>
                    <w:szCs w:val="20"/>
                  </w:rPr>
                </w:pPr>
                <w:r w:rsidRPr="00000000" w:rsidDel="00000000" w:rsidR="00000000">
                  <w:rPr>
                    <w:sz w:val="20"/>
                    <w:szCs w:val="20"/>
                    <w:rtl w:val="0"/>
                  </w:rPr>
                  <w:t xml:space="preserve">Analyze trading volumes in relation to the account's age and historical activity patterns. For long-term users consider analyzing the initial activity on the account to determine if the transaction volumes could be attributed to early cryptocurrency adoption</w:t>
                </w:r>
              </w:p>
            </w:tc>
          </w:tr>
          <w:tr>
            <w:trPr>
              <w:cantSplit w:val="0"/>
              <w:tblHeader w:val="0"/>
            </w:trPr>
            <w:tc>
              <w:tcPr/>
              <w:p w:rsidRPr="00000000" w:rsidR="00000000" w:rsidDel="00000000" w:rsidP="00000000" w:rsidRDefault="00000000" w14:paraId="00000215">
                <w:pPr>
                  <w:widowControl w:val="0"/>
                  <w:spacing w:after="0" w:line="240" w:lineRule="auto"/>
                  <w:rPr>
                    <w:sz w:val="20"/>
                    <w:szCs w:val="20"/>
                  </w:rPr>
                </w:pPr>
                <w:r w:rsidRPr="00000000" w:rsidDel="00000000" w:rsidR="00000000">
                  <w:rPr>
                    <w:sz w:val="20"/>
                    <w:szCs w:val="20"/>
                    <w:rtl w:val="0"/>
                  </w:rPr>
                  <w:t xml:space="preserve">User Date of Birth (DOB)</w:t>
                </w:r>
              </w:p>
            </w:tc>
            <w:tc>
              <w:tcPr/>
              <w:p w:rsidRPr="00000000" w:rsidR="00000000" w:rsidDel="00000000" w:rsidP="00000000" w:rsidRDefault="00000000" w14:paraId="00000216">
                <w:pPr>
                  <w:widowControl w:val="0"/>
                  <w:spacing w:after="0" w:line="240" w:lineRule="auto"/>
                  <w:rPr>
                    <w:sz w:val="20"/>
                    <w:szCs w:val="20"/>
                  </w:rPr>
                </w:pPr>
                <w:r w:rsidRPr="00000000" w:rsidDel="00000000" w:rsidR="00000000">
                  <w:rPr>
                    <w:sz w:val="20"/>
                    <w:szCs w:val="20"/>
                    <w:rtl w:val="0"/>
                  </w:rPr>
                  <w:t xml:space="preserve">Financial activity should be appropriate for the user's age group.</w:t>
                </w:r>
              </w:p>
            </w:tc>
            <w:tc>
              <w:tcPr/>
              <w:p w:rsidRPr="00000000" w:rsidR="00000000" w:rsidDel="00000000" w:rsidP="00000000" w:rsidRDefault="00000000" w14:paraId="00000217">
                <w:pPr>
                  <w:widowControl w:val="0"/>
                  <w:spacing w:after="0" w:line="240" w:lineRule="auto"/>
                  <w:rPr>
                    <w:sz w:val="20"/>
                    <w:szCs w:val="20"/>
                  </w:rPr>
                </w:pPr>
                <w:r w:rsidRPr="00000000" w:rsidDel="00000000" w:rsidR="00000000">
                  <w:rPr>
                    <w:sz w:val="20"/>
                    <w:szCs w:val="20"/>
                    <w:rtl w:val="0"/>
                  </w:rPr>
                  <w:t xml:space="preserve">Consider age-related factors in transaction analysis*</w:t>
                </w:r>
              </w:p>
              <w:p w:rsidRPr="00000000" w:rsidR="00000000" w:rsidDel="00000000" w:rsidP="00000000" w:rsidRDefault="00000000" w14:paraId="00000218">
                <w:pPr>
                  <w:widowControl w:val="0"/>
                  <w:spacing w:before="200" w:after="0" w:line="240" w:lineRule="auto"/>
                  <w:rPr>
                    <w:i w:val="1"/>
                    <w:iCs w:val="1"/>
                    <w:sz w:val="20"/>
                    <w:szCs w:val="20"/>
                  </w:rPr>
                </w:pPr>
                <w:r w:rsidRPr="00000000" w:rsidDel="00000000" w:rsidR="00000000">
                  <w:rPr>
                    <w:i w:val="1"/>
                    <w:iCs w:val="1"/>
                    <w:sz w:val="20"/>
                    <w:szCs w:val="20"/>
                    <w:rtl w:val="0"/>
                  </w:rPr>
                  <w:t xml:space="preserve">* refer to p.2.6.2 of current document for the details</w:t>
                </w:r>
              </w:p>
            </w:tc>
          </w:tr>
          <w:tr>
            <w:trPr>
              <w:cantSplit w:val="0"/>
              <w:tblHeader w:val="0"/>
            </w:trPr>
            <w:tc>
              <w:tcPr/>
              <w:p w:rsidRPr="00000000" w:rsidR="00000000" w:rsidDel="00000000" w:rsidP="00000000" w:rsidRDefault="00000000" w14:paraId="00000219">
                <w:pPr>
                  <w:widowControl w:val="0"/>
                  <w:spacing w:after="0" w:line="240" w:lineRule="auto"/>
                  <w:rPr>
                    <w:sz w:val="20"/>
                    <w:szCs w:val="20"/>
                  </w:rPr>
                </w:pPr>
                <w:r w:rsidRPr="00000000" w:rsidDel="00000000" w:rsidR="00000000">
                  <w:rPr>
                    <w:sz w:val="20"/>
                    <w:szCs w:val="20"/>
                    <w:rtl w:val="0"/>
                  </w:rPr>
                  <w:t xml:space="preserve">Customer Type</w:t>
                </w:r>
              </w:p>
            </w:tc>
            <w:tc>
              <w:tcPr/>
              <w:p w:rsidRPr="00000000" w:rsidR="00000000" w:rsidDel="00000000" w:rsidP="00000000" w:rsidRDefault="00000000" w14:paraId="0000021A">
                <w:pPr>
                  <w:widowControl w:val="0"/>
                  <w:spacing w:after="0" w:line="240" w:lineRule="auto"/>
                  <w:jc w:val="both"/>
                  <w:rPr>
                    <w:sz w:val="20"/>
                    <w:szCs w:val="20"/>
                  </w:rPr>
                </w:pPr>
                <w:r w:rsidRPr="00000000" w:rsidDel="00000000" w:rsidR="00000000">
                  <w:rPr>
                    <w:sz w:val="20"/>
                    <w:szCs w:val="20"/>
                    <w:rtl w:val="0"/>
                  </w:rPr>
                  <w:t xml:space="preserve">Behavioral expectations may differ significantly based on customer type. Risk-based approach ensures resources focus on deviations that matter most for each customer type.</w:t>
                </w:r>
              </w:p>
              <w:p w:rsidRPr="00000000" w:rsidR="00000000" w:rsidDel="00000000" w:rsidP="00000000" w:rsidRDefault="00000000" w14:paraId="0000021B">
                <w:pPr>
                  <w:widowControl w:val="0"/>
                  <w:spacing w:after="0" w:line="240" w:lineRule="auto"/>
                  <w:rPr>
                    <w:sz w:val="20"/>
                    <w:szCs w:val="20"/>
                  </w:rPr>
                </w:pPr>
                <w:r w:rsidRPr="00000000" w:rsidDel="00000000" w:rsidR="00000000">
                  <w:rPr>
                    <w:rtl w:val="0"/>
                  </w:rPr>
                </w:r>
              </w:p>
              <w:p w:rsidRPr="00000000" w:rsidR="00000000" w:rsidDel="00000000" w:rsidP="00000000" w:rsidRDefault="00000000" w14:paraId="0000021C">
                <w:pPr>
                  <w:widowControl w:val="0"/>
                  <w:spacing w:after="0" w:line="240" w:lineRule="auto"/>
                  <w:rPr>
                    <w:sz w:val="20"/>
                    <w:szCs w:val="20"/>
                  </w:rPr>
                </w:pPr>
                <w:r w:rsidRPr="00000000" w:rsidDel="00000000" w:rsidR="00000000">
                  <w:rPr>
                    <w:rtl w:val="0"/>
                  </w:rPr>
                </w:r>
              </w:p>
            </w:tc>
            <w:tc>
              <w:tcPr/>
              <w:p w:rsidRPr="00000000" w:rsidR="00000000" w:rsidDel="00000000" w:rsidP="00000000" w:rsidRDefault="00000000" w14:paraId="0000021D">
                <w:pPr>
                  <w:widowControl w:val="0"/>
                  <w:spacing w:after="0" w:line="240" w:lineRule="auto"/>
                  <w:jc w:val="both"/>
                  <w:rPr>
                    <w:sz w:val="20"/>
                    <w:szCs w:val="20"/>
                  </w:rPr>
                </w:pPr>
                <w:r w:rsidRPr="00000000" w:rsidDel="00000000" w:rsidR="00000000">
                  <w:rPr>
                    <w:sz w:val="20"/>
                    <w:szCs w:val="20"/>
                    <w:rtl w:val="0"/>
                  </w:rPr>
                  <w:t xml:space="preserve">Individual Retail Customers - private individuals using the platform for personal investment or trading</w:t>
                </w:r>
              </w:p>
              <w:p w:rsidRPr="00000000" w:rsidR="00000000" w:rsidDel="00000000" w:rsidP="00000000" w:rsidRDefault="00000000" w14:paraId="0000021E">
                <w:pPr>
                  <w:keepNext w:val="0"/>
                  <w:keepLines w:val="0"/>
                  <w:widowControl w:val="0"/>
                  <w:numPr>
                    <w:ilvl w:val="0"/>
                    <w:numId w:val="34"/>
                  </w:numPr>
                  <w:pBdr>
                    <w:top w:val="nil" w:sz="0" w:space="0"/>
                    <w:left w:val="nil" w:sz="0" w:space="0"/>
                    <w:bottom w:val="nil" w:sz="0" w:space="0"/>
                    <w:right w:val="nil" w:sz="0" w:space="0"/>
                    <w:between w:val="nil" w:sz="0" w:space="0"/>
                  </w:pBdr>
                  <w:shd w:val="clear" w:fill="auto"/>
                  <w:spacing w:before="0" w:after="0" w:line="240" w:lineRule="auto"/>
                  <w:ind w:left="360" w:right="0" w:hanging="360"/>
                  <w:jc w:val="both"/>
                  <w:rPr>
                    <w:sz w:val="20"/>
                    <w:szCs w:val="20"/>
                  </w:rPr>
                </w:pPr>
                <w:r w:rsidRPr="00000000" w:rsidDel="00000000" w:rsidR="00000000">
                  <w:rPr>
                    <w:sz w:val="20"/>
                    <w:szCs w:val="20"/>
                    <w:rtl w:val="0"/>
                  </w:rPr>
                  <w:t xml:space="preserve">Transactions typically involve buying, selling, or transferring cryptocurrencies</w:t>
                </w:r>
              </w:p>
              <w:p w:rsidRPr="00000000" w:rsidR="00000000" w:rsidDel="00000000" w:rsidP="00000000" w:rsidRDefault="00000000" w14:paraId="0000021F">
                <w:pPr>
                  <w:keepNext w:val="0"/>
                  <w:keepLines w:val="0"/>
                  <w:widowControl w:val="0"/>
                  <w:numPr>
                    <w:ilvl w:val="0"/>
                    <w:numId w:val="34"/>
                  </w:numPr>
                  <w:pBdr>
                    <w:top w:val="nil" w:sz="0" w:space="0"/>
                    <w:left w:val="nil" w:sz="0" w:space="0"/>
                    <w:bottom w:val="nil" w:sz="0" w:space="0"/>
                    <w:right w:val="nil" w:sz="0" w:space="0"/>
                    <w:between w:val="nil" w:sz="0" w:space="0"/>
                  </w:pBdr>
                  <w:shd w:val="clear" w:fill="auto"/>
                  <w:spacing w:before="0" w:after="0" w:line="240" w:lineRule="auto"/>
                  <w:ind w:left="360" w:right="0" w:hanging="360"/>
                  <w:jc w:val="both"/>
                  <w:rPr>
                    <w:sz w:val="20"/>
                    <w:szCs w:val="20"/>
                  </w:rPr>
                </w:pPr>
                <w:r w:rsidRPr="00000000" w:rsidDel="00000000" w:rsidR="00000000">
                  <w:rPr>
                    <w:sz w:val="20"/>
                    <w:szCs w:val="20"/>
                    <w:rtl w:val="0"/>
                  </w:rPr>
                  <w:t xml:space="preserve">Activity aligns with declared investment goals and financial profile</w:t>
                </w:r>
              </w:p>
              <w:p w:rsidRPr="00000000" w:rsidR="00000000" w:rsidDel="00000000" w:rsidP="00000000" w:rsidRDefault="00000000" w14:paraId="00000220">
                <w:pPr>
                  <w:keepNext w:val="0"/>
                  <w:keepLines w:val="0"/>
                  <w:widowControl w:val="0"/>
                  <w:numPr>
                    <w:ilvl w:val="0"/>
                    <w:numId w:val="34"/>
                  </w:numPr>
                  <w:pBdr>
                    <w:top w:val="nil" w:sz="0" w:space="0"/>
                    <w:left w:val="nil" w:sz="0" w:space="0"/>
                    <w:bottom w:val="nil" w:sz="0" w:space="0"/>
                    <w:right w:val="nil" w:sz="0" w:space="0"/>
                    <w:between w:val="nil" w:sz="0" w:space="0"/>
                  </w:pBdr>
                  <w:shd w:val="clear" w:fill="auto"/>
                  <w:spacing w:before="0" w:after="0" w:line="240" w:lineRule="auto"/>
                  <w:ind w:left="360" w:right="0" w:hanging="360"/>
                  <w:jc w:val="both"/>
                  <w:rPr>
                    <w:sz w:val="20"/>
                    <w:szCs w:val="20"/>
                  </w:rPr>
                </w:pPr>
                <w:r w:rsidRPr="00000000" w:rsidDel="00000000" w:rsidR="00000000">
                  <w:rPr>
                    <w:sz w:val="20"/>
                    <w:szCs w:val="20"/>
                    <w:rtl w:val="0"/>
                  </w:rPr>
                  <w:t xml:space="preserve">Limited use of complex or high-risk transaction patterns</w:t>
                </w:r>
              </w:p>
              <w:p w:rsidRPr="00000000" w:rsidR="00000000" w:rsidDel="00000000" w:rsidP="00000000" w:rsidRDefault="00000000" w14:paraId="00000221">
                <w:pPr>
                  <w:widowControl w:val="0"/>
                  <w:spacing w:after="0" w:line="240" w:lineRule="auto"/>
                  <w:jc w:val="both"/>
                  <w:rPr>
                    <w:sz w:val="20"/>
                    <w:szCs w:val="20"/>
                  </w:rPr>
                </w:pPr>
                <w:r w:rsidRPr="00000000" w:rsidDel="00000000" w:rsidR="00000000">
                  <w:rPr>
                    <w:rtl w:val="0"/>
                  </w:rPr>
                </w:r>
              </w:p>
              <w:p w:rsidRPr="00000000" w:rsidR="00000000" w:rsidDel="00000000" w:rsidP="00000000" w:rsidRDefault="00000000" w14:paraId="00000222">
                <w:pPr>
                  <w:widowControl w:val="0"/>
                  <w:spacing w:after="0" w:line="240" w:lineRule="auto"/>
                  <w:jc w:val="both"/>
                  <w:rPr>
                    <w:sz w:val="20"/>
                    <w:szCs w:val="20"/>
                  </w:rPr>
                </w:pPr>
                <w:r w:rsidRPr="00000000" w:rsidDel="00000000" w:rsidR="00000000">
                  <w:rPr>
                    <w:sz w:val="20"/>
                    <w:szCs w:val="20"/>
                    <w:rtl w:val="0"/>
                  </w:rPr>
                  <w:t xml:space="preserve">Corporate/Business Customers </w:t>
                </w:r>
              </w:p>
              <w:p w:rsidRPr="00000000" w:rsidR="00000000" w:rsidDel="00000000" w:rsidP="00000000" w:rsidRDefault="00000000" w14:paraId="00000223">
                <w:pPr>
                  <w:widowControl w:val="0"/>
                  <w:numPr>
                    <w:ilvl w:val="0"/>
                    <w:numId w:val="6"/>
                  </w:numPr>
                  <w:spacing w:after="0" w:line="240" w:lineRule="auto"/>
                  <w:ind w:left="360"/>
                  <w:jc w:val="both"/>
                  <w:rPr>
                    <w:sz w:val="20"/>
                    <w:szCs w:val="20"/>
                  </w:rPr>
                </w:pPr>
                <w:r w:rsidRPr="00000000" w:rsidDel="00000000" w:rsidR="00000000">
                  <w:rPr>
                    <w:sz w:val="20"/>
                    <w:szCs w:val="20"/>
                    <w:rtl w:val="0"/>
                  </w:rPr>
                  <w:t xml:space="preserve">Higher transaction volumes reflecting business operations, such as payroll, vendor payments, or asset management</w:t>
                </w:r>
              </w:p>
              <w:p w:rsidRPr="00000000" w:rsidR="00000000" w:rsidDel="00000000" w:rsidP="00000000" w:rsidRDefault="00000000" w14:paraId="00000224">
                <w:pPr>
                  <w:widowControl w:val="0"/>
                  <w:numPr>
                    <w:ilvl w:val="0"/>
                    <w:numId w:val="3"/>
                  </w:numPr>
                  <w:spacing w:after="0" w:line="240" w:lineRule="auto"/>
                  <w:ind w:left="360"/>
                  <w:jc w:val="both"/>
                  <w:rPr>
                    <w:sz w:val="20"/>
                    <w:szCs w:val="20"/>
                  </w:rPr>
                </w:pPr>
                <w:r w:rsidRPr="00000000" w:rsidDel="00000000" w:rsidR="00000000">
                  <w:rPr>
                    <w:sz w:val="20"/>
                    <w:szCs w:val="20"/>
                    <w:rtl w:val="0"/>
                  </w:rPr>
                  <w:t xml:space="preserve">Transactions may include multiple counterparties and cross-border transfers</w:t>
                </w:r>
              </w:p>
              <w:p w:rsidRPr="00000000" w:rsidR="00000000" w:rsidDel="00000000" w:rsidP="00000000" w:rsidRDefault="00000000" w14:paraId="00000225">
                <w:pPr>
                  <w:widowControl w:val="0"/>
                  <w:numPr>
                    <w:ilvl w:val="0"/>
                    <w:numId w:val="3"/>
                  </w:numPr>
                  <w:spacing w:after="0" w:line="240" w:lineRule="auto"/>
                  <w:ind w:left="360"/>
                  <w:jc w:val="both"/>
                  <w:rPr>
                    <w:sz w:val="20"/>
                    <w:szCs w:val="20"/>
                  </w:rPr>
                </w:pPr>
                <w:r w:rsidRPr="00000000" w:rsidDel="00000000" w:rsidR="00000000">
                  <w:rPr>
                    <w:sz w:val="20"/>
                    <w:szCs w:val="20"/>
                    <w:rtl w:val="0"/>
                  </w:rPr>
                  <w:t xml:space="preserve">Activity consistent with the company’s industry and business model</w:t>
                </w:r>
              </w:p>
              <w:p w:rsidRPr="00000000" w:rsidR="00000000" w:rsidDel="00000000" w:rsidP="00000000" w:rsidRDefault="00000000" w14:paraId="00000226">
                <w:pPr>
                  <w:widowControl w:val="0"/>
                  <w:spacing w:after="0" w:line="240" w:lineRule="auto"/>
                  <w:jc w:val="both"/>
                  <w:rPr>
                    <w:sz w:val="20"/>
                    <w:szCs w:val="20"/>
                  </w:rPr>
                </w:pPr>
                <w:r w:rsidRPr="00000000" w:rsidDel="00000000" w:rsidR="00000000">
                  <w:rPr>
                    <w:rtl w:val="0"/>
                  </w:rPr>
                </w:r>
              </w:p>
              <w:p w:rsidRPr="00000000" w:rsidR="00000000" w:rsidDel="00000000" w:rsidP="00000000" w:rsidRDefault="00000000" w14:paraId="00000227">
                <w:pPr>
                  <w:widowControl w:val="0"/>
                  <w:spacing w:after="0" w:line="240" w:lineRule="auto"/>
                  <w:jc w:val="both"/>
                  <w:rPr>
                    <w:sz w:val="20"/>
                    <w:szCs w:val="20"/>
                  </w:rPr>
                </w:pPr>
                <w:r w:rsidRPr="00000000" w:rsidDel="00000000" w:rsidR="00000000">
                  <w:rPr>
                    <w:sz w:val="20"/>
                    <w:szCs w:val="20"/>
                    <w:rtl w:val="0"/>
                  </w:rPr>
                  <w:t xml:space="preserve">Institutional Customers (Professional entities such as asset managers, financial institutions or professional brokers)</w:t>
                </w:r>
              </w:p>
              <w:p w:rsidRPr="00000000" w:rsidR="00000000" w:rsidDel="00000000" w:rsidP="00000000" w:rsidRDefault="00000000" w14:paraId="00000228">
                <w:pPr>
                  <w:widowControl w:val="0"/>
                  <w:numPr>
                    <w:ilvl w:val="0"/>
                    <w:numId w:val="5"/>
                  </w:numPr>
                  <w:spacing w:after="0" w:line="240" w:lineRule="auto"/>
                  <w:ind w:left="360"/>
                  <w:jc w:val="both"/>
                  <w:rPr>
                    <w:sz w:val="20"/>
                    <w:szCs w:val="20"/>
                  </w:rPr>
                </w:pPr>
                <w:r w:rsidRPr="00000000" w:rsidDel="00000000" w:rsidR="00000000">
                  <w:rPr>
                    <w:sz w:val="20"/>
                    <w:szCs w:val="20"/>
                    <w:rtl w:val="0"/>
                  </w:rPr>
                  <w:t xml:space="preserve">Large-volume and high-frequency transactions reflecting trading strategies or asset management.</w:t>
                </w:r>
              </w:p>
              <w:p w:rsidRPr="00000000" w:rsidR="00000000" w:rsidDel="00000000" w:rsidP="00000000" w:rsidRDefault="00000000" w14:paraId="00000229">
                <w:pPr>
                  <w:widowControl w:val="0"/>
                  <w:numPr>
                    <w:ilvl w:val="0"/>
                    <w:numId w:val="5"/>
                  </w:numPr>
                  <w:spacing w:after="0" w:line="240" w:lineRule="auto"/>
                  <w:ind w:left="360"/>
                  <w:jc w:val="both"/>
                  <w:rPr>
                    <w:sz w:val="20"/>
                    <w:szCs w:val="20"/>
                  </w:rPr>
                </w:pPr>
                <w:r w:rsidRPr="00000000" w:rsidDel="00000000" w:rsidR="00000000">
                  <w:rPr>
                    <w:sz w:val="20"/>
                    <w:szCs w:val="20"/>
                    <w:rtl w:val="0"/>
                  </w:rPr>
                  <w:t xml:space="preserve">Use of advanced trading tools, derivatives, or algorithmic trading.</w:t>
                </w:r>
              </w:p>
              <w:p w:rsidRPr="00000000" w:rsidR="00000000" w:rsidDel="00000000" w:rsidP="00000000" w:rsidRDefault="00000000" w14:paraId="0000022A">
                <w:pPr>
                  <w:widowControl w:val="0"/>
                  <w:numPr>
                    <w:ilvl w:val="0"/>
                    <w:numId w:val="5"/>
                  </w:numPr>
                  <w:spacing w:after="0" w:line="240" w:lineRule="auto"/>
                  <w:ind w:left="360"/>
                  <w:jc w:val="both"/>
                  <w:rPr>
                    <w:sz w:val="20"/>
                    <w:szCs w:val="20"/>
                  </w:rPr>
                </w:pPr>
                <w:r w:rsidRPr="00000000" w:rsidDel="00000000" w:rsidR="00000000">
                  <w:rPr>
                    <w:sz w:val="20"/>
                    <w:szCs w:val="20"/>
                    <w:rtl w:val="0"/>
                  </w:rPr>
                  <w:t xml:space="preserve">Transactions often involve multiple currencies and counterparties globally</w:t>
                </w:r>
              </w:p>
              <w:p w:rsidRPr="00000000" w:rsidR="00000000" w:rsidDel="00000000" w:rsidP="00000000" w:rsidRDefault="00000000" w14:paraId="0000022B">
                <w:pPr>
                  <w:widowControl w:val="0"/>
                  <w:spacing w:after="0" w:line="240" w:lineRule="auto"/>
                  <w:jc w:val="both"/>
                  <w:rPr>
                    <w:sz w:val="20"/>
                    <w:szCs w:val="20"/>
                  </w:rPr>
                </w:pPr>
                <w:r w:rsidRPr="00000000" w:rsidDel="00000000" w:rsidR="00000000">
                  <w:rPr>
                    <w:rtl w:val="0"/>
                  </w:rPr>
                </w:r>
              </w:p>
              <w:p w:rsidRPr="00000000" w:rsidR="00000000" w:rsidDel="00000000" w:rsidP="00000000" w:rsidRDefault="00000000" w14:paraId="0000022C">
                <w:pPr>
                  <w:widowControl w:val="0"/>
                  <w:spacing w:after="0" w:line="240" w:lineRule="auto"/>
                  <w:jc w:val="both"/>
                  <w:rPr>
                    <w:sz w:val="20"/>
                    <w:szCs w:val="20"/>
                  </w:rPr>
                </w:pPr>
                <w:r w:rsidRPr="00000000" w:rsidDel="00000000" w:rsidR="00000000">
                  <w:rPr>
                    <w:sz w:val="20"/>
                    <w:szCs w:val="20"/>
                    <w:rtl w:val="0"/>
                  </w:rPr>
                  <w:t xml:space="preserve">Politically Exposed Persons (PEPs)</w:t>
                </w:r>
              </w:p>
              <w:p w:rsidRPr="00000000" w:rsidR="00000000" w:rsidDel="00000000" w:rsidP="00000000" w:rsidRDefault="00000000" w14:paraId="0000022D">
                <w:pPr>
                  <w:widowControl w:val="0"/>
                  <w:numPr>
                    <w:ilvl w:val="0"/>
                    <w:numId w:val="8"/>
                  </w:numPr>
                  <w:spacing w:after="0" w:line="240" w:lineRule="auto"/>
                  <w:ind w:left="360"/>
                  <w:jc w:val="both"/>
                  <w:rPr>
                    <w:sz w:val="20"/>
                    <w:szCs w:val="20"/>
                  </w:rPr>
                </w:pPr>
                <w:r w:rsidRPr="00000000" w:rsidDel="00000000" w:rsidR="00000000">
                  <w:rPr>
                    <w:sz w:val="20"/>
                    <w:szCs w:val="20"/>
                    <w:rtl w:val="0"/>
                  </w:rPr>
                  <w:t xml:space="preserve">Transactions may be similar to other individuals but require enhanced scrutiny</w:t>
                </w:r>
              </w:p>
              <w:p w:rsidRPr="00000000" w:rsidR="00000000" w:rsidDel="00000000" w:rsidP="00000000" w:rsidRDefault="00000000" w14:paraId="0000022E">
                <w:pPr>
                  <w:widowControl w:val="0"/>
                  <w:numPr>
                    <w:ilvl w:val="0"/>
                    <w:numId w:val="8"/>
                  </w:numPr>
                  <w:spacing w:after="0" w:line="240" w:lineRule="auto"/>
                  <w:ind w:left="360"/>
                  <w:jc w:val="both"/>
                  <w:rPr>
                    <w:sz w:val="20"/>
                    <w:szCs w:val="20"/>
                  </w:rPr>
                </w:pPr>
                <w:r w:rsidRPr="00000000" w:rsidDel="00000000" w:rsidR="00000000">
                  <w:rPr>
                    <w:sz w:val="20"/>
                    <w:szCs w:val="20"/>
                    <w:rtl w:val="0"/>
                  </w:rPr>
                  <w:t xml:space="preserve">Activity should be consistent with known income sources and public profile (may be obtained from open sources)</w:t>
                </w:r>
              </w:p>
              <w:p w:rsidRPr="00000000" w:rsidR="00000000" w:rsidDel="00000000" w:rsidP="00000000" w:rsidRDefault="00000000" w14:paraId="0000022F">
                <w:pPr>
                  <w:widowControl w:val="0"/>
                  <w:numPr>
                    <w:ilvl w:val="0"/>
                    <w:numId w:val="8"/>
                  </w:numPr>
                  <w:spacing w:after="0" w:line="240" w:lineRule="auto"/>
                  <w:ind w:left="360"/>
                  <w:jc w:val="both"/>
                  <w:rPr>
                    <w:sz w:val="20"/>
                    <w:szCs w:val="20"/>
                  </w:rPr>
                </w:pPr>
                <w:r w:rsidRPr="00000000" w:rsidDel="00000000" w:rsidR="00000000">
                  <w:rPr>
                    <w:sz w:val="20"/>
                    <w:szCs w:val="20"/>
                    <w:rtl w:val="0"/>
                  </w:rPr>
                  <w:t xml:space="preserve">Unusual or large transactions, especially cross-border, warrant closer review.</w:t>
                </w:r>
              </w:p>
              <w:p w:rsidRPr="00000000" w:rsidR="00000000" w:rsidDel="00000000" w:rsidP="00000000" w:rsidRDefault="00000000" w14:paraId="00000230">
                <w:pPr>
                  <w:widowControl w:val="0"/>
                  <w:numPr>
                    <w:ilvl w:val="0"/>
                    <w:numId w:val="8"/>
                  </w:numPr>
                  <w:spacing w:after="0" w:line="240" w:lineRule="auto"/>
                  <w:ind w:left="360"/>
                  <w:jc w:val="both"/>
                  <w:rPr>
                    <w:sz w:val="20"/>
                    <w:szCs w:val="20"/>
                  </w:rPr>
                </w:pPr>
                <w:r w:rsidRPr="00000000" w:rsidDel="00000000" w:rsidR="00000000">
                  <w:rPr>
                    <w:sz w:val="20"/>
                    <w:szCs w:val="20"/>
                    <w:rtl w:val="0"/>
                  </w:rPr>
                  <w:t xml:space="preserve">Transparency and documentation are critical</w:t>
                </w:r>
              </w:p>
              <w:p w:rsidRPr="00000000" w:rsidR="00000000" w:rsidDel="00000000" w:rsidP="00000000" w:rsidRDefault="00000000" w14:paraId="00000231">
                <w:pPr>
                  <w:widowControl w:val="0"/>
                  <w:spacing w:after="0" w:line="240" w:lineRule="auto"/>
                  <w:jc w:val="both"/>
                  <w:rPr>
                    <w:sz w:val="20"/>
                    <w:szCs w:val="20"/>
                  </w:rPr>
                </w:pPr>
                <w:r w:rsidRPr="00000000" w:rsidDel="00000000" w:rsidR="00000000">
                  <w:rPr>
                    <w:rtl w:val="0"/>
                  </w:rPr>
                </w:r>
              </w:p>
              <w:p w:rsidRPr="00000000" w:rsidR="00000000" w:rsidDel="00000000" w:rsidP="00000000" w:rsidRDefault="00000000" w14:paraId="00000232">
                <w:pPr>
                  <w:widowControl w:val="0"/>
                  <w:spacing w:after="0" w:line="240" w:lineRule="auto"/>
                  <w:jc w:val="both"/>
                  <w:rPr>
                    <w:sz w:val="20"/>
                    <w:szCs w:val="20"/>
                  </w:rPr>
                </w:pPr>
                <w:r w:rsidRPr="00000000" w:rsidDel="00000000" w:rsidR="00000000">
                  <w:rPr>
                    <w:sz w:val="20"/>
                    <w:szCs w:val="20"/>
                    <w:rtl w:val="0"/>
                  </w:rPr>
                  <w:t xml:space="preserve">Non-Profit Organizations (NPOs)</w:t>
                </w:r>
              </w:p>
              <w:p w:rsidRPr="00000000" w:rsidR="00000000" w:rsidDel="00000000" w:rsidP="00000000" w:rsidRDefault="00000000" w14:paraId="00000233">
                <w:pPr>
                  <w:widowControl w:val="0"/>
                  <w:numPr>
                    <w:ilvl w:val="0"/>
                    <w:numId w:val="38"/>
                  </w:numPr>
                  <w:spacing w:after="0" w:line="240" w:lineRule="auto"/>
                  <w:ind w:left="360"/>
                  <w:jc w:val="both"/>
                  <w:rPr>
                    <w:sz w:val="20"/>
                    <w:szCs w:val="20"/>
                  </w:rPr>
                </w:pPr>
                <w:r w:rsidRPr="00000000" w:rsidDel="00000000" w:rsidR="00000000">
                  <w:rPr>
                    <w:sz w:val="20"/>
                    <w:szCs w:val="20"/>
                    <w:rtl w:val="0"/>
                  </w:rPr>
                  <w:t xml:space="preserve">Transaction volumes consistent with fundraising, grants, and operational expenses.</w:t>
                </w:r>
              </w:p>
              <w:p w:rsidRPr="00000000" w:rsidR="00000000" w:rsidDel="00000000" w:rsidP="00000000" w:rsidRDefault="00000000" w14:paraId="00000234">
                <w:pPr>
                  <w:widowControl w:val="0"/>
                  <w:numPr>
                    <w:ilvl w:val="0"/>
                    <w:numId w:val="38"/>
                  </w:numPr>
                  <w:spacing w:after="0" w:line="240" w:lineRule="auto"/>
                  <w:ind w:left="360"/>
                  <w:jc w:val="both"/>
                  <w:rPr>
                    <w:sz w:val="20"/>
                    <w:szCs w:val="20"/>
                  </w:rPr>
                </w:pPr>
                <w:r w:rsidRPr="00000000" w:rsidDel="00000000" w:rsidR="00000000">
                  <w:rPr>
                    <w:sz w:val="20"/>
                    <w:szCs w:val="20"/>
                    <w:rtl w:val="0"/>
                  </w:rPr>
                  <w:t xml:space="preserve">Activity should align with the organization’s mission and funding sources.</w:t>
                </w:r>
              </w:p>
              <w:p w:rsidRPr="00000000" w:rsidR="00000000" w:rsidDel="00000000" w:rsidP="00000000" w:rsidRDefault="00000000" w14:paraId="00000235">
                <w:pPr>
                  <w:widowControl w:val="0"/>
                  <w:numPr>
                    <w:ilvl w:val="0"/>
                    <w:numId w:val="38"/>
                  </w:numPr>
                  <w:spacing w:after="0" w:line="240" w:lineRule="auto"/>
                  <w:ind w:left="360"/>
                  <w:jc w:val="both"/>
                  <w:rPr>
                    <w:sz w:val="20"/>
                    <w:szCs w:val="20"/>
                  </w:rPr>
                </w:pPr>
                <w:r w:rsidRPr="00000000" w:rsidDel="00000000" w:rsidR="00000000">
                  <w:rPr>
                    <w:sz w:val="20"/>
                    <w:szCs w:val="20"/>
                    <w:rtl w:val="0"/>
                  </w:rPr>
                  <w:t xml:space="preserve">Limited use of complex or high-risk transaction types.</w:t>
                </w:r>
              </w:p>
              <w:p w:rsidRPr="00000000" w:rsidR="00000000" w:rsidDel="00000000" w:rsidP="00000000" w:rsidRDefault="00000000" w14:paraId="00000236">
                <w:pPr>
                  <w:widowControl w:val="0"/>
                  <w:spacing w:after="0" w:line="240" w:lineRule="auto"/>
                  <w:jc w:val="both"/>
                  <w:rPr>
                    <w:sz w:val="20"/>
                    <w:szCs w:val="20"/>
                  </w:rPr>
                </w:pPr>
                <w:r w:rsidRPr="00000000" w:rsidDel="00000000" w:rsidR="00000000">
                  <w:rPr>
                    <w:sz w:val="20"/>
                    <w:szCs w:val="20"/>
                    <w:rtl w:val="0"/>
                  </w:rPr>
                  <w:t xml:space="preserve">Virtual Asset Service Providers (VASPs)</w:t>
                </w:r>
              </w:p>
              <w:p w:rsidRPr="00000000" w:rsidR="00000000" w:rsidDel="00000000" w:rsidP="00000000" w:rsidRDefault="00000000" w14:paraId="00000237">
                <w:pPr>
                  <w:widowControl w:val="0"/>
                  <w:numPr>
                    <w:ilvl w:val="0"/>
                    <w:numId w:val="9"/>
                  </w:numPr>
                  <w:spacing w:after="0" w:line="240" w:lineRule="auto"/>
                  <w:ind w:left="360"/>
                  <w:jc w:val="both"/>
                  <w:rPr>
                    <w:sz w:val="20"/>
                    <w:szCs w:val="20"/>
                  </w:rPr>
                </w:pPr>
                <w:r w:rsidRPr="00000000" w:rsidDel="00000000" w:rsidR="00000000">
                  <w:rPr>
                    <w:sz w:val="20"/>
                    <w:szCs w:val="20"/>
                    <w:rtl w:val="0"/>
                  </w:rPr>
                  <w:t xml:space="preserve">High transaction volumes - VASPs typically handle large volumes of transactions due to their role in facilitating crypto transfers for multiple clients.</w:t>
                </w:r>
              </w:p>
              <w:p w:rsidRPr="00000000" w:rsidR="00000000" w:rsidDel="00000000" w:rsidP="00000000" w:rsidRDefault="00000000" w14:paraId="00000238">
                <w:pPr>
                  <w:widowControl w:val="0"/>
                  <w:numPr>
                    <w:ilvl w:val="0"/>
                    <w:numId w:val="9"/>
                  </w:numPr>
                  <w:spacing w:after="0" w:line="240" w:lineRule="auto"/>
                  <w:ind w:left="360"/>
                  <w:jc w:val="both"/>
                  <w:rPr>
                    <w:sz w:val="20"/>
                    <w:szCs w:val="20"/>
                  </w:rPr>
                </w:pPr>
                <w:r w:rsidRPr="00000000" w:rsidDel="00000000" w:rsidR="00000000">
                  <w:rPr>
                    <w:sz w:val="20"/>
                    <w:szCs w:val="20"/>
                    <w:rtl w:val="0"/>
                  </w:rPr>
                  <w:t xml:space="preserve">Frequent transfers - regular and frequent movement of assets between wallets, exchanges, and customers.</w:t>
                </w:r>
              </w:p>
              <w:p w:rsidRPr="00000000" w:rsidR="00000000" w:rsidDel="00000000" w:rsidP="00000000" w:rsidRDefault="00000000" w14:paraId="00000239">
                <w:pPr>
                  <w:widowControl w:val="0"/>
                  <w:numPr>
                    <w:ilvl w:val="0"/>
                    <w:numId w:val="9"/>
                  </w:numPr>
                  <w:spacing w:after="0" w:line="240" w:lineRule="auto"/>
                  <w:ind w:left="360"/>
                  <w:jc w:val="both"/>
                  <w:rPr>
                    <w:sz w:val="20"/>
                    <w:szCs w:val="20"/>
                  </w:rPr>
                </w:pPr>
                <w:r w:rsidRPr="00000000" w:rsidDel="00000000" w:rsidR="00000000">
                  <w:rPr>
                    <w:sz w:val="20"/>
                    <w:szCs w:val="20"/>
                    <w:rtl w:val="0"/>
                  </w:rPr>
                  <w:t xml:space="preserve">Use of multiple trading pairs and asset types</w:t>
                </w:r>
              </w:p>
              <w:p w:rsidRPr="00000000" w:rsidR="00000000" w:rsidDel="00000000" w:rsidP="00000000" w:rsidRDefault="00000000" w14:paraId="0000023A">
                <w:pPr>
                  <w:widowControl w:val="0"/>
                  <w:numPr>
                    <w:ilvl w:val="0"/>
                    <w:numId w:val="9"/>
                  </w:numPr>
                  <w:spacing w:after="0" w:line="240" w:lineRule="auto"/>
                  <w:ind w:left="360"/>
                  <w:jc w:val="both"/>
                  <w:rPr>
                    <w:sz w:val="20"/>
                    <w:szCs w:val="20"/>
                  </w:rPr>
                </w:pPr>
                <w:r w:rsidRPr="00000000" w:rsidDel="00000000" w:rsidR="00000000">
                  <w:rPr>
                    <w:sz w:val="20"/>
                    <w:szCs w:val="20"/>
                    <w:rtl w:val="0"/>
                  </w:rPr>
                  <w:t xml:space="preserve">Cross-border activity - transactions often involve multiple jurisdictions reflecting global client bases</w:t>
                </w:r>
              </w:p>
              <w:p w:rsidRPr="00000000" w:rsidR="00000000" w:rsidDel="00000000" w:rsidP="00000000" w:rsidRDefault="00000000" w14:paraId="0000023B">
                <w:pPr>
                  <w:widowControl w:val="0"/>
                  <w:numPr>
                    <w:ilvl w:val="0"/>
                    <w:numId w:val="9"/>
                  </w:numPr>
                  <w:spacing w:after="0" w:line="240" w:lineRule="auto"/>
                  <w:ind w:left="360"/>
                  <w:jc w:val="both"/>
                  <w:rPr>
                    <w:sz w:val="20"/>
                    <w:szCs w:val="20"/>
                  </w:rPr>
                </w:pPr>
                <w:r w:rsidRPr="00000000" w:rsidDel="00000000" w:rsidR="00000000">
                  <w:rPr>
                    <w:sz w:val="20"/>
                    <w:szCs w:val="20"/>
                    <w:rtl w:val="0"/>
                  </w:rPr>
                  <w:t xml:space="preserve">No sudden spikes or unusual transaction patterns</w:t>
                </w:r>
              </w:p>
            </w:tc>
          </w:tr>
          <w:tr>
            <w:trPr>
              <w:cantSplit w:val="0"/>
              <w:tblHeader w:val="0"/>
            </w:trPr>
            <w:tc>
              <w:tcPr/>
              <w:p w:rsidRPr="00000000" w:rsidR="00000000" w:rsidDel="00000000" w:rsidP="00000000" w:rsidRDefault="00000000" w14:paraId="0000023C">
                <w:pPr>
                  <w:widowControl w:val="0"/>
                  <w:spacing w:after="0" w:line="240" w:lineRule="auto"/>
                  <w:rPr>
                    <w:sz w:val="20"/>
                    <w:szCs w:val="20"/>
                  </w:rPr>
                </w:pPr>
                <w:r w:rsidRPr="00000000" w:rsidDel="00000000" w:rsidR="00000000">
                  <w:rPr>
                    <w:sz w:val="20"/>
                    <w:szCs w:val="20"/>
                    <w:rtl w:val="0"/>
                  </w:rPr>
                  <w:t xml:space="preserve">Regions and Transaction Flow</w:t>
                </w:r>
              </w:p>
            </w:tc>
            <w:tc>
              <w:tcPr/>
              <w:p w:rsidRPr="00000000" w:rsidR="00000000" w:rsidDel="00000000" w:rsidP="00000000" w:rsidRDefault="00000000" w14:paraId="0000023D">
                <w:pPr>
                  <w:widowControl w:val="0"/>
                  <w:spacing w:after="0" w:line="240" w:lineRule="auto"/>
                  <w:rPr>
                    <w:sz w:val="20"/>
                    <w:szCs w:val="20"/>
                  </w:rPr>
                </w:pPr>
                <w:r w:rsidRPr="00000000" w:rsidDel="00000000" w:rsidR="00000000">
                  <w:rPr>
                    <w:sz w:val="20"/>
                    <w:szCs w:val="20"/>
                    <w:rtl w:val="0"/>
                  </w:rPr>
                  <w:t xml:space="preserve">Regional transaction patterns should align with typical usage</w:t>
                </w:r>
              </w:p>
            </w:tc>
            <w:tc>
              <w:tcPr/>
              <w:p w:rsidRPr="00000000" w:rsidR="00000000" w:rsidDel="00000000" w:rsidP="00000000" w:rsidRDefault="00000000" w14:paraId="0000023E">
                <w:pPr>
                  <w:widowControl w:val="0"/>
                  <w:spacing w:after="0" w:line="240" w:lineRule="auto"/>
                  <w:jc w:val="both"/>
                  <w:rPr>
                    <w:sz w:val="20"/>
                    <w:szCs w:val="20"/>
                  </w:rPr>
                </w:pPr>
                <w:r w:rsidRPr="00000000" w:rsidDel="00000000" w:rsidR="00000000">
                  <w:rPr>
                    <w:sz w:val="20"/>
                    <w:szCs w:val="20"/>
                    <w:rtl w:val="0"/>
                  </w:rPr>
                  <w:t xml:space="preserve">Monitor transaction types and volumes based on regional trends and economic conditions*:</w:t>
                </w:r>
              </w:p>
              <w:p w:rsidRPr="00000000" w:rsidR="00000000" w:rsidDel="00000000" w:rsidP="00000000" w:rsidRDefault="00000000" w14:paraId="0000023F">
                <w:pPr>
                  <w:widowControl w:val="0"/>
                  <w:spacing w:after="0" w:line="240" w:lineRule="auto"/>
                  <w:jc w:val="both"/>
                  <w:rPr>
                    <w:sz w:val="20"/>
                    <w:szCs w:val="20"/>
                  </w:rPr>
                </w:pPr>
                <w:r w:rsidRPr="00000000" w:rsidDel="00000000" w:rsidR="00000000">
                  <w:rPr>
                    <w:sz w:val="20"/>
                    <w:szCs w:val="20"/>
                    <w:rtl w:val="0"/>
                  </w:rPr>
                  <w:t xml:space="preserve">- Remittances and peer-to-peer payments dominate in regions with economic instability or limited banking access (e.g., Latin America, Africa, Southeast Asia).</w:t>
                </w:r>
              </w:p>
              <w:p w:rsidRPr="00000000" w:rsidR="00000000" w:rsidDel="00000000" w:rsidP="00000000" w:rsidRDefault="00000000" w14:paraId="00000240">
                <w:pPr>
                  <w:widowControl w:val="0"/>
                  <w:spacing w:after="0" w:line="240" w:lineRule="auto"/>
                  <w:jc w:val="both"/>
                  <w:rPr>
                    <w:sz w:val="20"/>
                    <w:szCs w:val="20"/>
                  </w:rPr>
                </w:pPr>
                <w:r w:rsidRPr="00000000" w:rsidDel="00000000" w:rsidR="00000000">
                  <w:rPr>
                    <w:sz w:val="20"/>
                    <w:szCs w:val="20"/>
                    <w:rtl w:val="0"/>
                  </w:rPr>
                  <w:t xml:space="preserve">- Trading and investment volumes are higher in developed markets with mature regulatory environments (e.g., North America, Europe, Japan, South Korea).</w:t>
                </w:r>
              </w:p>
              <w:p w:rsidRPr="00000000" w:rsidR="00000000" w:rsidDel="00000000" w:rsidP="00000000" w:rsidRDefault="00000000" w14:paraId="00000241">
                <w:pPr>
                  <w:widowControl w:val="0"/>
                  <w:spacing w:after="0" w:line="240" w:lineRule="auto"/>
                  <w:jc w:val="both"/>
                  <w:rPr>
                    <w:sz w:val="20"/>
                    <w:szCs w:val="20"/>
                  </w:rPr>
                </w:pPr>
                <w:r w:rsidRPr="00000000" w:rsidDel="00000000" w:rsidR="00000000">
                  <w:rPr>
                    <w:sz w:val="20"/>
                    <w:szCs w:val="20"/>
                    <w:rtl w:val="0"/>
                  </w:rPr>
                  <w:t xml:space="preserve">- DeFi, NFTs, and gaming tokens are more popular in tech-savvy regions with strong internet infrastructure.</w:t>
                </w:r>
              </w:p>
              <w:p w:rsidRPr="00000000" w:rsidR="00000000" w:rsidDel="00000000" w:rsidP="00000000" w:rsidRDefault="00000000" w14:paraId="00000242">
                <w:pPr>
                  <w:widowControl w:val="0"/>
                  <w:spacing w:after="0" w:line="240" w:lineRule="auto"/>
                  <w:jc w:val="both"/>
                  <w:rPr>
                    <w:sz w:val="20"/>
                    <w:szCs w:val="20"/>
                  </w:rPr>
                </w:pPr>
                <w:r w:rsidRPr="00000000" w:rsidDel="00000000" w:rsidR="00000000">
                  <w:rPr>
                    <w:sz w:val="20"/>
                    <w:szCs w:val="20"/>
                    <w:rtl w:val="0"/>
                  </w:rPr>
                  <w:t xml:space="preserve">- Stablecoins are widely used in regions facing inflation or currency volatility as a hedge and medium of exchange</w:t>
                </w:r>
              </w:p>
              <w:p w:rsidRPr="00000000" w:rsidR="00000000" w:rsidDel="00000000" w:rsidP="00000000" w:rsidRDefault="00000000" w14:paraId="00000243">
                <w:pPr>
                  <w:widowControl w:val="0"/>
                  <w:spacing w:before="200" w:after="0" w:line="240" w:lineRule="auto"/>
                  <w:rPr>
                    <w:i w:val="1"/>
                    <w:iCs w:val="1"/>
                    <w:sz w:val="20"/>
                    <w:szCs w:val="20"/>
                  </w:rPr>
                </w:pPr>
                <w:r w:rsidRPr="00000000" w:rsidDel="00000000" w:rsidR="00000000">
                  <w:rPr>
                    <w:i w:val="1"/>
                    <w:iCs w:val="1"/>
                    <w:sz w:val="20"/>
                    <w:szCs w:val="20"/>
                    <w:rtl w:val="0"/>
                  </w:rPr>
                  <w:t xml:space="preserve">* refer to p.2.6.3 of current document for the details</w:t>
                </w:r>
              </w:p>
            </w:tc>
          </w:tr>
        </w:tbl>
      </w:sdtContent>
    </w:sdt>
    <w:p w:rsidRPr="00000000" w:rsidR="00000000" w:rsidDel="00000000" w:rsidP="00000000" w:rsidRDefault="00000000" w14:paraId="00000244">
      <w:pPr>
        <w:spacing w:before="100" w:after="100" w:line="276" w:lineRule="auto"/>
        <w:jc w:val="both"/>
        <w:rPr>
          <w:b w:val="1"/>
          <w:bCs w:val="1"/>
          <w:sz w:val="24"/>
          <w:szCs w:val="24"/>
        </w:rPr>
      </w:pPr>
      <w:r w:rsidRPr="00000000" w:rsidDel="00000000" w:rsidR="00000000">
        <w:rPr>
          <w:b w:val="1"/>
          <w:bCs w:val="1"/>
          <w:sz w:val="24"/>
          <w:szCs w:val="24"/>
          <w:rtl w:val="0"/>
        </w:rPr>
        <w:t xml:space="preserve">Monitoring Account Activity for Consistency with Declared Purpose</w:t>
      </w:r>
    </w:p>
    <w:sdt>
      <w:sdtPr>
        <w:lock w:val="contentLocked"/>
        <w:id w:val="-1141213470"/>
        <w:tag w:val="goog_rdk_4"/>
      </w:sdtPr>
      <w:sdtContent>
        <w:tbl>
          <w:tblPr>
            <w:tblStyle w:val="Table13"/>
            <w:tblW w:w="9435.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1470"/>
            <w:gridCol w:w="2655"/>
            <w:gridCol w:w="2475"/>
            <w:gridCol w:w="2835"/>
            <w:tblGridChange w:id="0">
              <w:tblGrid>
                <w:gridCol w:w="1470"/>
                <w:gridCol w:w="2655"/>
                <w:gridCol w:w="2475"/>
                <w:gridCol w:w="2835"/>
              </w:tblGrid>
            </w:tblGridChange>
          </w:tblGrid>
          <w:tr>
            <w:trPr>
              <w:cantSplit w:val="0"/>
              <w:trHeight w:val="698.935546875" w:hRule="atLeast"/>
              <w:tblHeader w:val="0"/>
            </w:trPr>
            <w:tc>
              <w:tcPr>
                <w:shd w:val="clear" w:fill="f7cbac"/>
                <w:tcMar>
                  <w:top w:w="100.0" w:type="dxa"/>
                  <w:left w:w="100.0" w:type="dxa"/>
                  <w:bottom w:w="100.0" w:type="dxa"/>
                  <w:right w:w="100.0" w:type="dxa"/>
                </w:tcMar>
                <w:vAlign w:val="top"/>
              </w:tcPr>
              <w:p w:rsidRPr="00000000" w:rsidR="00000000" w:rsidDel="00000000" w:rsidP="00000000" w:rsidRDefault="00000000" w14:paraId="00000245">
                <w:pPr>
                  <w:widowControl w:val="0"/>
                  <w:spacing w:after="0" w:line="240" w:lineRule="auto"/>
                  <w:rPr>
                    <w:b w:val="1"/>
                    <w:bCs w:val="1"/>
                  </w:rPr>
                </w:pPr>
                <w:r w:rsidRPr="00000000" w:rsidDel="00000000" w:rsidR="00000000">
                  <w:rPr>
                    <w:b w:val="1"/>
                    <w:bCs w:val="1"/>
                    <w:rtl w:val="0"/>
                  </w:rPr>
                  <w:t xml:space="preserve">Declared Purpose</w:t>
                </w:r>
              </w:p>
            </w:tc>
            <w:tc>
              <w:tcPr>
                <w:shd w:val="clear" w:fill="f7cbac"/>
                <w:tcMar>
                  <w:top w:w="100.0" w:type="dxa"/>
                  <w:left w:w="100.0" w:type="dxa"/>
                  <w:bottom w:w="100.0" w:type="dxa"/>
                  <w:right w:w="100.0" w:type="dxa"/>
                </w:tcMar>
                <w:vAlign w:val="top"/>
              </w:tcPr>
              <w:p w:rsidRPr="00000000" w:rsidR="00000000" w:rsidDel="00000000" w:rsidP="00000000" w:rsidRDefault="00000000" w14:paraId="00000246">
                <w:pPr>
                  <w:widowControl w:val="0"/>
                  <w:spacing w:after="0" w:line="240" w:lineRule="auto"/>
                  <w:rPr>
                    <w:b w:val="1"/>
                    <w:bCs w:val="1"/>
                  </w:rPr>
                </w:pPr>
                <w:r w:rsidRPr="00000000" w:rsidDel="00000000" w:rsidR="00000000">
                  <w:rPr>
                    <w:b w:val="1"/>
                    <w:bCs w:val="1"/>
                    <w:rtl w:val="0"/>
                  </w:rPr>
                  <w:t xml:space="preserve">Expected Account Activity</w:t>
                </w:r>
              </w:p>
            </w:tc>
            <w:tc>
              <w:tcPr>
                <w:shd w:val="clear" w:fill="f7cbac"/>
                <w:tcMar>
                  <w:top w:w="100.0" w:type="dxa"/>
                  <w:left w:w="100.0" w:type="dxa"/>
                  <w:bottom w:w="100.0" w:type="dxa"/>
                  <w:right w:w="100.0" w:type="dxa"/>
                </w:tcMar>
                <w:vAlign w:val="top"/>
              </w:tcPr>
              <w:p w:rsidRPr="00000000" w:rsidR="00000000" w:rsidDel="00000000" w:rsidP="00000000" w:rsidRDefault="00000000" w14:paraId="00000247">
                <w:pPr>
                  <w:widowControl w:val="0"/>
                  <w:spacing w:after="0" w:line="240" w:lineRule="auto"/>
                  <w:rPr>
                    <w:b w:val="1"/>
                    <w:bCs w:val="1"/>
                  </w:rPr>
                </w:pPr>
                <w:r w:rsidRPr="00000000" w:rsidDel="00000000" w:rsidR="00000000">
                  <w:rPr>
                    <w:b w:val="1"/>
                    <w:bCs w:val="1"/>
                    <w:rtl w:val="0"/>
                  </w:rPr>
                  <w:t xml:space="preserve">Indicators of Consistency</w:t>
                </w:r>
              </w:p>
            </w:tc>
            <w:tc>
              <w:tcPr>
                <w:shd w:val="clear" w:fill="f7cbac"/>
                <w:tcMar>
                  <w:top w:w="100.0" w:type="dxa"/>
                  <w:left w:w="100.0" w:type="dxa"/>
                  <w:bottom w:w="100.0" w:type="dxa"/>
                  <w:right w:w="100.0" w:type="dxa"/>
                </w:tcMar>
                <w:vAlign w:val="top"/>
              </w:tcPr>
              <w:p w:rsidRPr="00000000" w:rsidR="00000000" w:rsidDel="00000000" w:rsidP="00000000" w:rsidRDefault="00000000" w14:paraId="00000248">
                <w:pPr>
                  <w:widowControl w:val="0"/>
                  <w:spacing w:after="0" w:line="240" w:lineRule="auto"/>
                  <w:rPr>
                    <w:b w:val="1"/>
                    <w:bCs w:val="1"/>
                  </w:rPr>
                </w:pPr>
                <w:r w:rsidRPr="00000000" w:rsidDel="00000000" w:rsidR="00000000">
                  <w:rPr>
                    <w:b w:val="1"/>
                    <w:bCs w:val="1"/>
                    <w:rtl w:val="0"/>
                  </w:rPr>
                  <w:t xml:space="preserve">Red Flags / Inconsistencies</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49">
                <w:pPr>
                  <w:widowControl w:val="0"/>
                  <w:spacing w:after="0" w:line="240" w:lineRule="auto"/>
                  <w:rPr>
                    <w:sz w:val="20"/>
                    <w:szCs w:val="20"/>
                    <w:highlight w:val="white"/>
                  </w:rPr>
                </w:pPr>
                <w:r w:rsidRPr="00000000" w:rsidDel="00000000" w:rsidR="00000000">
                  <w:rPr>
                    <w:sz w:val="20"/>
                    <w:szCs w:val="20"/>
                    <w:highlight w:val="white"/>
                    <w:rtl w:val="0"/>
                  </w:rPr>
                  <w:t xml:space="preserve">Trading</w:t>
                </w:r>
              </w:p>
            </w:tc>
            <w:tc>
              <w:tcPr>
                <w:shd w:val="clear" w:fill="auto"/>
                <w:tcMar>
                  <w:top w:w="100.0" w:type="dxa"/>
                  <w:left w:w="100.0" w:type="dxa"/>
                  <w:bottom w:w="100.0" w:type="dxa"/>
                  <w:right w:w="100.0" w:type="dxa"/>
                </w:tcMar>
                <w:vAlign w:val="top"/>
              </w:tcPr>
              <w:p w:rsidRPr="00000000" w:rsidR="00000000" w:rsidDel="00000000" w:rsidP="00000000" w:rsidRDefault="00000000" w14:paraId="0000024A">
                <w:pPr>
                  <w:widowControl w:val="0"/>
                  <w:spacing w:after="0" w:line="240" w:lineRule="auto"/>
                  <w:rPr>
                    <w:sz w:val="20"/>
                    <w:szCs w:val="20"/>
                    <w:highlight w:val="white"/>
                  </w:rPr>
                </w:pPr>
                <w:r w:rsidRPr="00000000" w:rsidDel="00000000" w:rsidR="00000000">
                  <w:rPr>
                    <w:sz w:val="20"/>
                    <w:szCs w:val="20"/>
                    <w:highlight w:val="white"/>
                    <w:rtl w:val="0"/>
                  </w:rPr>
                  <w:t xml:space="preserve">- Frequent buy/sell transactions on spot or derivatives markets. </w:t>
                </w:r>
              </w:p>
              <w:p w:rsidRPr="00000000" w:rsidR="00000000" w:rsidDel="00000000" w:rsidP="00000000" w:rsidRDefault="00000000" w14:paraId="0000024B">
                <w:pPr>
                  <w:widowControl w:val="0"/>
                  <w:spacing w:after="0" w:line="240" w:lineRule="auto"/>
                  <w:rPr>
                    <w:sz w:val="20"/>
                    <w:szCs w:val="20"/>
                    <w:highlight w:val="white"/>
                  </w:rPr>
                </w:pPr>
                <w:r w:rsidRPr="00000000" w:rsidDel="00000000" w:rsidR="00000000">
                  <w:rPr>
                    <w:sz w:val="20"/>
                    <w:szCs w:val="20"/>
                    <w:highlight w:val="white"/>
                    <w:rtl w:val="0"/>
                  </w:rPr>
                  <w:t xml:space="preserve">- Regular inflows/outflows aligned with trading cycles.</w:t>
                </w:r>
              </w:p>
            </w:tc>
            <w:tc>
              <w:tcPr>
                <w:shd w:val="clear" w:fill="auto"/>
                <w:tcMar>
                  <w:top w:w="100.0" w:type="dxa"/>
                  <w:left w:w="100.0" w:type="dxa"/>
                  <w:bottom w:w="100.0" w:type="dxa"/>
                  <w:right w:w="100.0" w:type="dxa"/>
                </w:tcMar>
                <w:vAlign w:val="top"/>
              </w:tcPr>
              <w:p w:rsidRPr="00000000" w:rsidR="00000000" w:rsidDel="00000000" w:rsidP="00000000" w:rsidRDefault="00000000" w14:paraId="0000024C">
                <w:pPr>
                  <w:widowControl w:val="0"/>
                  <w:spacing w:after="0" w:line="240" w:lineRule="auto"/>
                  <w:rPr>
                    <w:sz w:val="20"/>
                    <w:szCs w:val="20"/>
                    <w:highlight w:val="white"/>
                  </w:rPr>
                </w:pPr>
                <w:r w:rsidRPr="00000000" w:rsidDel="00000000" w:rsidR="00000000">
                  <w:rPr>
                    <w:sz w:val="20"/>
                    <w:szCs w:val="20"/>
                    <w:highlight w:val="white"/>
                    <w:rtl w:val="0"/>
                  </w:rPr>
                  <w:t xml:space="preserve">- Transaction frequency and volume consistent with active trading. </w:t>
                </w:r>
              </w:p>
              <w:p w:rsidRPr="00000000" w:rsidR="00000000" w:rsidDel="00000000" w:rsidP="00000000" w:rsidRDefault="00000000" w14:paraId="0000024D">
                <w:pPr>
                  <w:widowControl w:val="0"/>
                  <w:spacing w:after="0" w:line="240" w:lineRule="auto"/>
                  <w:rPr>
                    <w:sz w:val="20"/>
                    <w:szCs w:val="20"/>
                    <w:highlight w:val="white"/>
                  </w:rPr>
                </w:pPr>
                <w:r w:rsidRPr="00000000" w:rsidDel="00000000" w:rsidR="00000000">
                  <w:rPr>
                    <w:sz w:val="20"/>
                    <w:szCs w:val="20"/>
                    <w:highlight w:val="white"/>
                    <w:rtl w:val="0"/>
                  </w:rPr>
                  <w:t xml:space="preserve">- Use of exchange wallets and trading pairs.</w:t>
                </w:r>
              </w:p>
            </w:tc>
            <w:tc>
              <w:tcPr>
                <w:shd w:val="clear" w:fill="auto"/>
                <w:tcMar>
                  <w:top w:w="100.0" w:type="dxa"/>
                  <w:left w:w="100.0" w:type="dxa"/>
                  <w:bottom w:w="100.0" w:type="dxa"/>
                  <w:right w:w="100.0" w:type="dxa"/>
                </w:tcMar>
                <w:vAlign w:val="top"/>
              </w:tcPr>
              <w:p w:rsidRPr="00000000" w:rsidR="00000000" w:rsidDel="00000000" w:rsidP="00000000" w:rsidRDefault="00000000" w14:paraId="0000024E">
                <w:pPr>
                  <w:widowControl w:val="0"/>
                  <w:spacing w:after="0" w:line="240" w:lineRule="auto"/>
                  <w:rPr>
                    <w:sz w:val="20"/>
                    <w:szCs w:val="20"/>
                    <w:highlight w:val="white"/>
                  </w:rPr>
                </w:pPr>
                <w:r w:rsidRPr="00000000" w:rsidDel="00000000" w:rsidR="00000000">
                  <w:rPr>
                    <w:sz w:val="20"/>
                    <w:szCs w:val="20"/>
                    <w:highlight w:val="white"/>
                    <w:rtl w:val="0"/>
                  </w:rPr>
                  <w:t xml:space="preserve">- Infrequent or no trading activity despite declared purpose. </w:t>
                </w:r>
              </w:p>
              <w:p w:rsidRPr="00000000" w:rsidR="00000000" w:rsidDel="00000000" w:rsidP="00000000" w:rsidRDefault="00000000" w14:paraId="0000024F">
                <w:pPr>
                  <w:widowControl w:val="0"/>
                  <w:spacing w:after="0" w:line="240" w:lineRule="auto"/>
                  <w:rPr>
                    <w:sz w:val="20"/>
                    <w:szCs w:val="20"/>
                    <w:highlight w:val="white"/>
                  </w:rPr>
                </w:pPr>
                <w:r w:rsidRPr="00000000" w:rsidDel="00000000" w:rsidR="00000000">
                  <w:rPr>
                    <w:sz w:val="20"/>
                    <w:szCs w:val="20"/>
                    <w:highlight w:val="white"/>
                    <w:rtl w:val="0"/>
                  </w:rPr>
                  <w:t xml:space="preserve">- Large deposits with no corresponding trades.</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50">
                <w:pPr>
                  <w:widowControl w:val="0"/>
                  <w:spacing w:after="0" w:line="240" w:lineRule="auto"/>
                  <w:rPr>
                    <w:sz w:val="20"/>
                    <w:szCs w:val="20"/>
                    <w:highlight w:val="white"/>
                  </w:rPr>
                </w:pPr>
                <w:r w:rsidRPr="00000000" w:rsidDel="00000000" w:rsidR="00000000">
                  <w:rPr>
                    <w:sz w:val="20"/>
                    <w:szCs w:val="20"/>
                    <w:highlight w:val="white"/>
                    <w:rtl w:val="0"/>
                  </w:rPr>
                  <w:t xml:space="preserve">Investments</w:t>
                </w:r>
              </w:p>
            </w:tc>
            <w:tc>
              <w:tcPr>
                <w:shd w:val="clear" w:fill="auto"/>
                <w:tcMar>
                  <w:top w:w="100.0" w:type="dxa"/>
                  <w:left w:w="100.0" w:type="dxa"/>
                  <w:bottom w:w="100.0" w:type="dxa"/>
                  <w:right w:w="100.0" w:type="dxa"/>
                </w:tcMar>
                <w:vAlign w:val="top"/>
              </w:tcPr>
              <w:p w:rsidRPr="00000000" w:rsidR="00000000" w:rsidDel="00000000" w:rsidP="00000000" w:rsidRDefault="00000000" w14:paraId="00000251">
                <w:pPr>
                  <w:widowControl w:val="0"/>
                  <w:spacing w:after="0" w:line="240" w:lineRule="auto"/>
                  <w:rPr>
                    <w:sz w:val="20"/>
                    <w:szCs w:val="20"/>
                    <w:highlight w:val="white"/>
                  </w:rPr>
                </w:pPr>
                <w:r w:rsidRPr="00000000" w:rsidDel="00000000" w:rsidR="00000000">
                  <w:rPr>
                    <w:sz w:val="20"/>
                    <w:szCs w:val="20"/>
                    <w:highlight w:val="white"/>
                    <w:rtl w:val="0"/>
                  </w:rPr>
                  <w:t xml:space="preserve">- Periodic purchases of crypto assets held long-term. </w:t>
                </w:r>
              </w:p>
              <w:p w:rsidRPr="00000000" w:rsidR="00000000" w:rsidDel="00000000" w:rsidP="00000000" w:rsidRDefault="00000000" w14:paraId="00000252">
                <w:pPr>
                  <w:widowControl w:val="0"/>
                  <w:spacing w:after="0" w:line="240" w:lineRule="auto"/>
                  <w:rPr>
                    <w:sz w:val="20"/>
                    <w:szCs w:val="20"/>
                    <w:highlight w:val="white"/>
                  </w:rPr>
                </w:pPr>
                <w:r w:rsidRPr="00000000" w:rsidDel="00000000" w:rsidR="00000000">
                  <w:rPr>
                    <w:sz w:val="20"/>
                    <w:szCs w:val="20"/>
                    <w:highlight w:val="white"/>
                    <w:rtl w:val="0"/>
                  </w:rPr>
                  <w:t xml:space="preserve">- Limited frequent trading; more holding behavior.</w:t>
                </w:r>
              </w:p>
            </w:tc>
            <w:tc>
              <w:tcPr>
                <w:shd w:val="clear" w:fill="auto"/>
                <w:tcMar>
                  <w:top w:w="100.0" w:type="dxa"/>
                  <w:left w:w="100.0" w:type="dxa"/>
                  <w:bottom w:w="100.0" w:type="dxa"/>
                  <w:right w:w="100.0" w:type="dxa"/>
                </w:tcMar>
                <w:vAlign w:val="top"/>
              </w:tcPr>
              <w:p w:rsidRPr="00000000" w:rsidR="00000000" w:rsidDel="00000000" w:rsidP="00000000" w:rsidRDefault="00000000" w14:paraId="00000253">
                <w:pPr>
                  <w:widowControl w:val="0"/>
                  <w:spacing w:after="0" w:line="240" w:lineRule="auto"/>
                  <w:rPr>
                    <w:sz w:val="20"/>
                    <w:szCs w:val="20"/>
                    <w:highlight w:val="white"/>
                  </w:rPr>
                </w:pPr>
                <w:r w:rsidRPr="00000000" w:rsidDel="00000000" w:rsidR="00000000">
                  <w:rPr>
                    <w:sz w:val="20"/>
                    <w:szCs w:val="20"/>
                    <w:highlight w:val="white"/>
                    <w:rtl w:val="0"/>
                  </w:rPr>
                  <w:t xml:space="preserve">- Gradual accumulation of assets. </w:t>
                </w:r>
              </w:p>
              <w:p w:rsidRPr="00000000" w:rsidR="00000000" w:rsidDel="00000000" w:rsidP="00000000" w:rsidRDefault="00000000" w14:paraId="00000254">
                <w:pPr>
                  <w:widowControl w:val="0"/>
                  <w:spacing w:after="0" w:line="240" w:lineRule="auto"/>
                  <w:rPr>
                    <w:sz w:val="20"/>
                    <w:szCs w:val="20"/>
                    <w:highlight w:val="white"/>
                  </w:rPr>
                </w:pPr>
                <w:r w:rsidRPr="00000000" w:rsidDel="00000000" w:rsidR="00000000">
                  <w:rPr>
                    <w:sz w:val="20"/>
                    <w:szCs w:val="20"/>
                    <w:highlight w:val="white"/>
                    <w:rtl w:val="0"/>
                  </w:rPr>
                  <w:t xml:space="preserve">- Occasional withdrawals or transfers consistent with investment goals.</w:t>
                </w:r>
              </w:p>
            </w:tc>
            <w:tc>
              <w:tcPr>
                <w:shd w:val="clear" w:fill="auto"/>
                <w:tcMar>
                  <w:top w:w="100.0" w:type="dxa"/>
                  <w:left w:w="100.0" w:type="dxa"/>
                  <w:bottom w:w="100.0" w:type="dxa"/>
                  <w:right w:w="100.0" w:type="dxa"/>
                </w:tcMar>
                <w:vAlign w:val="top"/>
              </w:tcPr>
              <w:p w:rsidRPr="00000000" w:rsidR="00000000" w:rsidDel="00000000" w:rsidP="00000000" w:rsidRDefault="00000000" w14:paraId="00000255">
                <w:pPr>
                  <w:widowControl w:val="0"/>
                  <w:spacing w:after="0" w:line="240" w:lineRule="auto"/>
                  <w:rPr>
                    <w:sz w:val="20"/>
                    <w:szCs w:val="20"/>
                    <w:highlight w:val="white"/>
                  </w:rPr>
                </w:pPr>
                <w:r w:rsidRPr="00000000" w:rsidDel="00000000" w:rsidR="00000000">
                  <w:rPr>
                    <w:sz w:val="20"/>
                    <w:szCs w:val="20"/>
                    <w:highlight w:val="white"/>
                    <w:rtl w:val="0"/>
                  </w:rPr>
                  <w:t xml:space="preserve">- Frequent rapid trades inconsistent with “investment” purposes. </w:t>
                </w:r>
              </w:p>
              <w:p w:rsidRPr="00000000" w:rsidR="00000000" w:rsidDel="00000000" w:rsidP="00000000" w:rsidRDefault="00000000" w14:paraId="00000256">
                <w:pPr>
                  <w:widowControl w:val="0"/>
                  <w:spacing w:after="0" w:line="240" w:lineRule="auto"/>
                  <w:rPr>
                    <w:sz w:val="20"/>
                    <w:szCs w:val="20"/>
                    <w:highlight w:val="white"/>
                  </w:rPr>
                </w:pPr>
                <w:r w:rsidRPr="00000000" w:rsidDel="00000000" w:rsidR="00000000">
                  <w:rPr>
                    <w:sz w:val="20"/>
                    <w:szCs w:val="20"/>
                    <w:highlight w:val="white"/>
                    <w:rtl w:val="0"/>
                  </w:rPr>
                  <w:t xml:space="preserve">- Large withdrawals shortly after deposits (however may be a part of Investments when withdrawal is done to the user's cold wallet).</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57">
                <w:pPr>
                  <w:widowControl w:val="0"/>
                  <w:spacing w:after="0" w:line="240" w:lineRule="auto"/>
                  <w:rPr>
                    <w:sz w:val="20"/>
                    <w:szCs w:val="20"/>
                    <w:highlight w:val="white"/>
                  </w:rPr>
                </w:pPr>
                <w:r w:rsidRPr="00000000" w:rsidDel="00000000" w:rsidR="00000000">
                  <w:rPr>
                    <w:sz w:val="20"/>
                    <w:szCs w:val="20"/>
                    <w:highlight w:val="white"/>
                    <w:rtl w:val="0"/>
                  </w:rPr>
                  <w:t xml:space="preserve">Savings / Store of Value</w:t>
                </w:r>
              </w:p>
            </w:tc>
            <w:tc>
              <w:tcPr>
                <w:shd w:val="clear" w:fill="auto"/>
                <w:tcMar>
                  <w:top w:w="100.0" w:type="dxa"/>
                  <w:left w:w="100.0" w:type="dxa"/>
                  <w:bottom w:w="100.0" w:type="dxa"/>
                  <w:right w:w="100.0" w:type="dxa"/>
                </w:tcMar>
                <w:vAlign w:val="top"/>
              </w:tcPr>
              <w:p w:rsidRPr="00000000" w:rsidR="00000000" w:rsidDel="00000000" w:rsidP="00000000" w:rsidRDefault="00000000" w14:paraId="00000258">
                <w:pPr>
                  <w:widowControl w:val="0"/>
                  <w:spacing w:after="0" w:line="240" w:lineRule="auto"/>
                  <w:rPr>
                    <w:sz w:val="20"/>
                    <w:szCs w:val="20"/>
                    <w:highlight w:val="white"/>
                  </w:rPr>
                </w:pPr>
                <w:r w:rsidRPr="00000000" w:rsidDel="00000000" w:rsidR="00000000">
                  <w:rPr>
                    <w:sz w:val="20"/>
                    <w:szCs w:val="20"/>
                    <w:highlight w:val="white"/>
                    <w:rtl w:val="0"/>
                  </w:rPr>
                  <w:t xml:space="preserve">- Infrequent transactions; mostly holding crypto assets.</w:t>
                </w:r>
              </w:p>
              <w:p w:rsidRPr="00000000" w:rsidR="00000000" w:rsidDel="00000000" w:rsidP="00000000" w:rsidRDefault="00000000" w14:paraId="00000259">
                <w:pPr>
                  <w:widowControl w:val="0"/>
                  <w:spacing w:after="0" w:line="240" w:lineRule="auto"/>
                  <w:rPr>
                    <w:sz w:val="20"/>
                    <w:szCs w:val="20"/>
                    <w:highlight w:val="white"/>
                  </w:rPr>
                </w:pPr>
                <w:r w:rsidRPr="00000000" w:rsidDel="00000000" w:rsidR="00000000">
                  <w:rPr>
                    <w:sz w:val="20"/>
                    <w:szCs w:val="20"/>
                    <w:highlight w:val="white"/>
                    <w:rtl w:val="0"/>
                  </w:rPr>
                  <w:t xml:space="preserve">- Occasional deposits or withdrawals.</w:t>
                </w:r>
              </w:p>
            </w:tc>
            <w:tc>
              <w:tcPr>
                <w:shd w:val="clear" w:fill="auto"/>
                <w:tcMar>
                  <w:top w:w="100.0" w:type="dxa"/>
                  <w:left w:w="100.0" w:type="dxa"/>
                  <w:bottom w:w="100.0" w:type="dxa"/>
                  <w:right w:w="100.0" w:type="dxa"/>
                </w:tcMar>
                <w:vAlign w:val="top"/>
              </w:tcPr>
              <w:p w:rsidRPr="00000000" w:rsidR="00000000" w:rsidDel="00000000" w:rsidP="00000000" w:rsidRDefault="00000000" w14:paraId="0000025A">
                <w:pPr>
                  <w:widowControl w:val="0"/>
                  <w:spacing w:after="0" w:line="240" w:lineRule="auto"/>
                  <w:rPr>
                    <w:sz w:val="20"/>
                    <w:szCs w:val="20"/>
                    <w:highlight w:val="white"/>
                  </w:rPr>
                </w:pPr>
                <w:r w:rsidRPr="00000000" w:rsidDel="00000000" w:rsidR="00000000">
                  <w:rPr>
                    <w:sz w:val="20"/>
                    <w:szCs w:val="20"/>
                    <w:highlight w:val="white"/>
                    <w:rtl w:val="0"/>
                  </w:rPr>
                  <w:t xml:space="preserve">- Stable or slowly increasing balances. </w:t>
                </w:r>
              </w:p>
              <w:p w:rsidRPr="00000000" w:rsidR="00000000" w:rsidDel="00000000" w:rsidP="00000000" w:rsidRDefault="00000000" w14:paraId="0000025B">
                <w:pPr>
                  <w:widowControl w:val="0"/>
                  <w:spacing w:after="0" w:line="240" w:lineRule="auto"/>
                  <w:rPr>
                    <w:sz w:val="20"/>
                    <w:szCs w:val="20"/>
                    <w:highlight w:val="white"/>
                  </w:rPr>
                </w:pPr>
                <w:r w:rsidRPr="00000000" w:rsidDel="00000000" w:rsidR="00000000">
                  <w:rPr>
                    <w:sz w:val="20"/>
                    <w:szCs w:val="20"/>
                    <w:highlight w:val="white"/>
                    <w:rtl w:val="0"/>
                  </w:rPr>
                  <w:t xml:space="preserve">- Minimal trading or payment activity.</w:t>
                </w:r>
              </w:p>
            </w:tc>
            <w:tc>
              <w:tcPr>
                <w:shd w:val="clear" w:fill="auto"/>
                <w:tcMar>
                  <w:top w:w="100.0" w:type="dxa"/>
                  <w:left w:w="100.0" w:type="dxa"/>
                  <w:bottom w:w="100.0" w:type="dxa"/>
                  <w:right w:w="100.0" w:type="dxa"/>
                </w:tcMar>
                <w:vAlign w:val="top"/>
              </w:tcPr>
              <w:p w:rsidRPr="00000000" w:rsidR="00000000" w:rsidDel="00000000" w:rsidP="00000000" w:rsidRDefault="00000000" w14:paraId="0000025C">
                <w:pPr>
                  <w:widowControl w:val="0"/>
                  <w:spacing w:after="0" w:line="240" w:lineRule="auto"/>
                  <w:rPr>
                    <w:sz w:val="20"/>
                    <w:szCs w:val="20"/>
                    <w:highlight w:val="white"/>
                  </w:rPr>
                </w:pPr>
                <w:r w:rsidRPr="00000000" w:rsidDel="00000000" w:rsidR="00000000">
                  <w:rPr>
                    <w:sz w:val="20"/>
                    <w:szCs w:val="20"/>
                    <w:highlight w:val="white"/>
                    <w:rtl w:val="0"/>
                  </w:rPr>
                  <w:t xml:space="preserve">- High-frequency trading or payments inconsistent with savings. </w:t>
                </w:r>
              </w:p>
              <w:p w:rsidRPr="00000000" w:rsidR="00000000" w:rsidDel="00000000" w:rsidP="00000000" w:rsidRDefault="00000000" w14:paraId="0000025D">
                <w:pPr>
                  <w:widowControl w:val="0"/>
                  <w:spacing w:after="0" w:line="240" w:lineRule="auto"/>
                  <w:rPr>
                    <w:sz w:val="20"/>
                    <w:szCs w:val="20"/>
                    <w:highlight w:val="white"/>
                  </w:rPr>
                </w:pPr>
                <w:r w:rsidRPr="00000000" w:rsidDel="00000000" w:rsidR="00000000">
                  <w:rPr>
                    <w:sz w:val="20"/>
                    <w:szCs w:val="20"/>
                    <w:highlight w:val="white"/>
                    <w:rtl w:val="0"/>
                  </w:rPr>
                  <w:t xml:space="preserve">- Sudden large transfers in or out.</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5E">
                <w:pPr>
                  <w:widowControl w:val="0"/>
                  <w:spacing w:after="0" w:line="240" w:lineRule="auto"/>
                  <w:rPr>
                    <w:sz w:val="20"/>
                    <w:szCs w:val="20"/>
                    <w:highlight w:val="white"/>
                  </w:rPr>
                </w:pPr>
                <w:r w:rsidRPr="00000000" w:rsidDel="00000000" w:rsidR="00000000">
                  <w:rPr>
                    <w:sz w:val="20"/>
                    <w:szCs w:val="20"/>
                    <w:highlight w:val="white"/>
                    <w:rtl w:val="0"/>
                  </w:rPr>
                  <w:t xml:space="preserve">Arbitrage Trading</w:t>
                </w:r>
              </w:p>
            </w:tc>
            <w:tc>
              <w:tcPr>
                <w:shd w:val="clear" w:fill="auto"/>
                <w:tcMar>
                  <w:top w:w="100.0" w:type="dxa"/>
                  <w:left w:w="100.0" w:type="dxa"/>
                  <w:bottom w:w="100.0" w:type="dxa"/>
                  <w:right w:w="100.0" w:type="dxa"/>
                </w:tcMar>
                <w:vAlign w:val="top"/>
              </w:tcPr>
              <w:p w:rsidRPr="00000000" w:rsidR="00000000" w:rsidDel="00000000" w:rsidP="00000000" w:rsidRDefault="00000000" w14:paraId="0000025F">
                <w:pPr>
                  <w:widowControl w:val="0"/>
                  <w:numPr>
                    <w:ilvl w:val="0"/>
                    <w:numId w:val="7"/>
                  </w:numPr>
                  <w:spacing w:after="0" w:line="240" w:lineRule="auto"/>
                  <w:ind w:left="270"/>
                  <w:rPr>
                    <w:sz w:val="20"/>
                    <w:szCs w:val="20"/>
                    <w:highlight w:val="white"/>
                  </w:rPr>
                </w:pPr>
                <w:r w:rsidRPr="00000000" w:rsidDel="00000000" w:rsidR="00000000">
                  <w:rPr>
                    <w:sz w:val="20"/>
                    <w:szCs w:val="20"/>
                    <w:highlight w:val="white"/>
                    <w:rtl w:val="0"/>
                  </w:rPr>
                  <w:t xml:space="preserve">Frequent, rapid buy/sell trades with short holding times (seconds to minutes).</w:t>
                </w:r>
              </w:p>
              <w:p w:rsidRPr="00000000" w:rsidR="00000000" w:rsidDel="00000000" w:rsidP="00000000" w:rsidRDefault="00000000" w14:paraId="00000260">
                <w:pPr>
                  <w:widowControl w:val="0"/>
                  <w:numPr>
                    <w:ilvl w:val="0"/>
                    <w:numId w:val="7"/>
                  </w:numPr>
                  <w:spacing w:after="0" w:line="240" w:lineRule="auto"/>
                  <w:ind w:left="270"/>
                  <w:rPr>
                    <w:sz w:val="20"/>
                    <w:szCs w:val="20"/>
                    <w:highlight w:val="white"/>
                  </w:rPr>
                </w:pPr>
                <w:r w:rsidRPr="00000000" w:rsidDel="00000000" w:rsidR="00000000">
                  <w:rPr>
                    <w:sz w:val="20"/>
                    <w:szCs w:val="20"/>
                    <w:highlight w:val="white"/>
                    <w:rtl w:val="0"/>
                  </w:rPr>
                  <w:t xml:space="preserve">Cross-exchange or cross-market transfers to exploit price differences.</w:t>
                </w:r>
              </w:p>
              <w:p w:rsidRPr="00000000" w:rsidR="00000000" w:rsidDel="00000000" w:rsidP="00000000" w:rsidRDefault="00000000" w14:paraId="00000261">
                <w:pPr>
                  <w:widowControl w:val="0"/>
                  <w:numPr>
                    <w:ilvl w:val="0"/>
                    <w:numId w:val="7"/>
                  </w:numPr>
                  <w:spacing w:after="0" w:line="240" w:lineRule="auto"/>
                  <w:ind w:left="270"/>
                  <w:rPr>
                    <w:sz w:val="20"/>
                    <w:szCs w:val="20"/>
                    <w:highlight w:val="white"/>
                  </w:rPr>
                </w:pPr>
                <w:r w:rsidRPr="00000000" w:rsidDel="00000000" w:rsidR="00000000">
                  <w:rPr>
                    <w:sz w:val="20"/>
                    <w:szCs w:val="20"/>
                    <w:highlight w:val="white"/>
                    <w:rtl w:val="0"/>
                  </w:rPr>
                  <w:t xml:space="preserve">Moderate to high transaction volumes with balanced buy and sell orders.</w:t>
                </w:r>
              </w:p>
              <w:p w:rsidRPr="00000000" w:rsidR="00000000" w:rsidDel="00000000" w:rsidP="00000000" w:rsidRDefault="00000000" w14:paraId="00000262">
                <w:pPr>
                  <w:widowControl w:val="0"/>
                  <w:numPr>
                    <w:ilvl w:val="0"/>
                    <w:numId w:val="7"/>
                  </w:numPr>
                  <w:spacing w:after="0" w:line="240" w:lineRule="auto"/>
                  <w:ind w:left="270"/>
                  <w:rPr>
                    <w:sz w:val="20"/>
                    <w:szCs w:val="20"/>
                    <w:highlight w:val="white"/>
                  </w:rPr>
                </w:pPr>
                <w:r w:rsidRPr="00000000" w:rsidDel="00000000" w:rsidR="00000000">
                  <w:rPr>
                    <w:sz w:val="20"/>
                    <w:szCs w:val="20"/>
                    <w:highlight w:val="white"/>
                    <w:rtl w:val="0"/>
                  </w:rPr>
                  <w:t xml:space="preserve">Use of multiple trading pairs and automated trading tools</w:t>
                </w:r>
              </w:p>
            </w:tc>
            <w:tc>
              <w:tcPr>
                <w:shd w:val="clear" w:fill="auto"/>
                <w:tcMar>
                  <w:top w:w="100.0" w:type="dxa"/>
                  <w:left w:w="100.0" w:type="dxa"/>
                  <w:bottom w:w="100.0" w:type="dxa"/>
                  <w:right w:w="100.0" w:type="dxa"/>
                </w:tcMar>
                <w:vAlign w:val="top"/>
              </w:tcPr>
              <w:p w:rsidRPr="00000000" w:rsidR="00000000" w:rsidDel="00000000" w:rsidP="00000000" w:rsidRDefault="00000000" w14:paraId="00000263">
                <w:pPr>
                  <w:widowControl w:val="0"/>
                  <w:numPr>
                    <w:ilvl w:val="0"/>
                    <w:numId w:val="1"/>
                  </w:numPr>
                  <w:spacing w:after="0" w:line="240" w:lineRule="auto"/>
                  <w:ind w:left="270"/>
                  <w:rPr>
                    <w:sz w:val="20"/>
                    <w:szCs w:val="20"/>
                    <w:highlight w:val="white"/>
                  </w:rPr>
                </w:pPr>
                <w:r w:rsidRPr="00000000" w:rsidDel="00000000" w:rsidR="00000000">
                  <w:rPr>
                    <w:sz w:val="20"/>
                    <w:szCs w:val="20"/>
                    <w:highlight w:val="white"/>
                    <w:rtl w:val="0"/>
                  </w:rPr>
                  <w:t xml:space="preserve">Regular, high-frequency trading patterns.</w:t>
                </w:r>
              </w:p>
              <w:p w:rsidRPr="00000000" w:rsidR="00000000" w:rsidDel="00000000" w:rsidP="00000000" w:rsidRDefault="00000000" w14:paraId="00000264">
                <w:pPr>
                  <w:widowControl w:val="0"/>
                  <w:numPr>
                    <w:ilvl w:val="0"/>
                    <w:numId w:val="1"/>
                  </w:numPr>
                  <w:spacing w:after="0" w:line="240" w:lineRule="auto"/>
                  <w:ind w:left="270"/>
                  <w:rPr>
                    <w:sz w:val="20"/>
                    <w:szCs w:val="20"/>
                    <w:highlight w:val="white"/>
                  </w:rPr>
                </w:pPr>
                <w:r w:rsidRPr="00000000" w:rsidDel="00000000" w:rsidR="00000000">
                  <w:rPr>
                    <w:sz w:val="20"/>
                    <w:szCs w:val="20"/>
                    <w:highlight w:val="white"/>
                    <w:rtl w:val="0"/>
                  </w:rPr>
                  <w:t xml:space="preserve">Balanced buy/sell volumes and consistent small profits.</w:t>
                </w:r>
              </w:p>
              <w:p w:rsidRPr="00000000" w:rsidR="00000000" w:rsidDel="00000000" w:rsidP="00000000" w:rsidRDefault="00000000" w14:paraId="00000265">
                <w:pPr>
                  <w:widowControl w:val="0"/>
                  <w:numPr>
                    <w:ilvl w:val="0"/>
                    <w:numId w:val="1"/>
                  </w:numPr>
                  <w:spacing w:after="0" w:line="240" w:lineRule="auto"/>
                  <w:ind w:left="270"/>
                  <w:rPr>
                    <w:sz w:val="20"/>
                    <w:szCs w:val="20"/>
                    <w:highlight w:val="white"/>
                  </w:rPr>
                </w:pPr>
                <w:r w:rsidRPr="00000000" w:rsidDel="00000000" w:rsidR="00000000">
                  <w:rPr>
                    <w:sz w:val="20"/>
                    <w:szCs w:val="20"/>
                    <w:highlight w:val="white"/>
                    <w:rtl w:val="0"/>
                  </w:rPr>
                  <w:t xml:space="preserve">Cross-exchange fund flows aligned with arbitrage strategy.</w:t>
                </w:r>
              </w:p>
              <w:p w:rsidRPr="00000000" w:rsidR="00000000" w:rsidDel="00000000" w:rsidP="00000000" w:rsidRDefault="00000000" w14:paraId="00000266">
                <w:pPr>
                  <w:widowControl w:val="0"/>
                  <w:numPr>
                    <w:ilvl w:val="0"/>
                    <w:numId w:val="1"/>
                  </w:numPr>
                  <w:spacing w:after="0" w:line="240" w:lineRule="auto"/>
                  <w:ind w:left="270"/>
                  <w:rPr>
                    <w:sz w:val="20"/>
                    <w:szCs w:val="20"/>
                    <w:highlight w:val="white"/>
                  </w:rPr>
                </w:pPr>
                <w:r w:rsidRPr="00000000" w:rsidDel="00000000" w:rsidR="00000000">
                  <w:rPr>
                    <w:sz w:val="20"/>
                    <w:szCs w:val="20"/>
                    <w:highlight w:val="white"/>
                    <w:rtl w:val="0"/>
                  </w:rPr>
                  <w:t xml:space="preserve">Few failed or canceled orders.</w:t>
                </w:r>
              </w:p>
            </w:tc>
            <w:tc>
              <w:tcPr>
                <w:shd w:val="clear" w:fill="auto"/>
                <w:tcMar>
                  <w:top w:w="100.0" w:type="dxa"/>
                  <w:left w:w="100.0" w:type="dxa"/>
                  <w:bottom w:w="100.0" w:type="dxa"/>
                  <w:right w:w="100.0" w:type="dxa"/>
                </w:tcMar>
                <w:vAlign w:val="top"/>
              </w:tcPr>
              <w:p w:rsidRPr="00000000" w:rsidR="00000000" w:rsidDel="00000000" w:rsidP="00000000" w:rsidRDefault="00000000" w14:paraId="00000267">
                <w:pPr>
                  <w:widowControl w:val="0"/>
                  <w:numPr>
                    <w:ilvl w:val="0"/>
                    <w:numId w:val="39"/>
                  </w:numPr>
                  <w:spacing w:after="0" w:line="240" w:lineRule="auto"/>
                  <w:ind w:left="270"/>
                  <w:rPr>
                    <w:sz w:val="20"/>
                    <w:szCs w:val="20"/>
                    <w:highlight w:val="white"/>
                  </w:rPr>
                </w:pPr>
                <w:r w:rsidRPr="00000000" w:rsidDel="00000000" w:rsidR="00000000">
                  <w:rPr>
                    <w:sz w:val="20"/>
                    <w:szCs w:val="20"/>
                    <w:highlight w:val="white"/>
                    <w:rtl w:val="0"/>
                  </w:rPr>
                  <w:t xml:space="preserve">Sudden large trades or spikes in volume.</w:t>
                </w:r>
              </w:p>
              <w:p w:rsidRPr="00000000" w:rsidR="00000000" w:rsidDel="00000000" w:rsidP="00000000" w:rsidRDefault="00000000" w14:paraId="00000268">
                <w:pPr>
                  <w:widowControl w:val="0"/>
                  <w:numPr>
                    <w:ilvl w:val="0"/>
                    <w:numId w:val="39"/>
                  </w:numPr>
                  <w:spacing w:after="0" w:line="240" w:lineRule="auto"/>
                  <w:ind w:left="270"/>
                  <w:rPr>
                    <w:sz w:val="20"/>
                    <w:szCs w:val="20"/>
                    <w:highlight w:val="white"/>
                  </w:rPr>
                </w:pPr>
                <w:r w:rsidRPr="00000000" w:rsidDel="00000000" w:rsidR="00000000">
                  <w:rPr>
                    <w:sz w:val="20"/>
                    <w:szCs w:val="20"/>
                    <w:highlight w:val="white"/>
                    <w:rtl w:val="0"/>
                  </w:rPr>
                  <w:t xml:space="preserve">Long holding periods inconsistent with arbitrage.</w:t>
                </w:r>
              </w:p>
              <w:p w:rsidRPr="00000000" w:rsidR="00000000" w:rsidDel="00000000" w:rsidP="00000000" w:rsidRDefault="00000000" w14:paraId="00000269">
                <w:pPr>
                  <w:widowControl w:val="0"/>
                  <w:numPr>
                    <w:ilvl w:val="0"/>
                    <w:numId w:val="39"/>
                  </w:numPr>
                  <w:spacing w:after="0" w:line="240" w:lineRule="auto"/>
                  <w:ind w:left="270"/>
                  <w:rPr>
                    <w:sz w:val="20"/>
                    <w:szCs w:val="20"/>
                    <w:highlight w:val="white"/>
                  </w:rPr>
                </w:pPr>
                <w:r w:rsidRPr="00000000" w:rsidDel="00000000" w:rsidR="00000000">
                  <w:rPr>
                    <w:sz w:val="20"/>
                    <w:szCs w:val="20"/>
                    <w:highlight w:val="white"/>
                    <w:rtl w:val="0"/>
                  </w:rPr>
                  <w:t xml:space="preserve">Imbalanced buy/sell ratios or many canceled orders (possible spoofing).</w:t>
                </w:r>
              </w:p>
              <w:p w:rsidRPr="00000000" w:rsidR="00000000" w:rsidDel="00000000" w:rsidP="00000000" w:rsidRDefault="00000000" w14:paraId="0000026A">
                <w:pPr>
                  <w:widowControl w:val="0"/>
                  <w:numPr>
                    <w:ilvl w:val="0"/>
                    <w:numId w:val="39"/>
                  </w:numPr>
                  <w:spacing w:after="0" w:line="240" w:lineRule="auto"/>
                  <w:ind w:left="270"/>
                  <w:rPr>
                    <w:sz w:val="20"/>
                    <w:szCs w:val="20"/>
                    <w:highlight w:val="white"/>
                  </w:rPr>
                </w:pPr>
                <w:r w:rsidRPr="00000000" w:rsidDel="00000000" w:rsidR="00000000">
                  <w:rPr>
                    <w:sz w:val="20"/>
                    <w:szCs w:val="20"/>
                    <w:highlight w:val="white"/>
                    <w:rtl w:val="0"/>
                  </w:rPr>
                  <w:t xml:space="preserve">Lack of cross-exchange transfers.</w:t>
                </w:r>
              </w:p>
              <w:p w:rsidRPr="00000000" w:rsidR="00000000" w:rsidDel="00000000" w:rsidP="00000000" w:rsidRDefault="00000000" w14:paraId="0000026B">
                <w:pPr>
                  <w:widowControl w:val="0"/>
                  <w:numPr>
                    <w:ilvl w:val="0"/>
                    <w:numId w:val="39"/>
                  </w:numPr>
                  <w:spacing w:after="0" w:line="240" w:lineRule="auto"/>
                  <w:ind w:left="270"/>
                  <w:rPr>
                    <w:sz w:val="20"/>
                    <w:szCs w:val="20"/>
                    <w:highlight w:val="white"/>
                  </w:rPr>
                </w:pPr>
                <w:r w:rsidRPr="00000000" w:rsidDel="00000000" w:rsidR="00000000">
                  <w:rPr>
                    <w:sz w:val="20"/>
                    <w:szCs w:val="20"/>
                    <w:highlight w:val="white"/>
                    <w:rtl w:val="0"/>
                  </w:rPr>
                  <w:t xml:space="preserve">Unexplained large profits or losses.</w:t>
                </w:r>
              </w:p>
            </w:tc>
          </w:tr>
        </w:tbl>
      </w:sdtContent>
    </w:sdt>
    <w:p w:rsidRPr="00000000" w:rsidR="00000000" w:rsidDel="00000000" w:rsidP="00000000" w:rsidRDefault="00000000" w14:paraId="0000026C">
      <w:pPr>
        <w:spacing w:after="0" w:line="276" w:lineRule="auto"/>
        <w:jc w:val="both"/>
        <w:rPr/>
      </w:pPr>
      <w:r w:rsidRPr="00000000" w:rsidDel="00000000" w:rsidR="00000000">
        <w:rPr>
          <w:rtl w:val="0"/>
        </w:rPr>
      </w:r>
    </w:p>
    <w:p w:rsidRPr="00000000" w:rsidR="00000000" w:rsidDel="00000000" w:rsidP="00000000" w:rsidRDefault="00000000" w14:paraId="0000026D">
      <w:pPr>
        <w:rPr>
          <w:b w:val="1"/>
          <w:bCs w:val="1"/>
          <w:u w:val="single"/>
        </w:rPr>
      </w:pPr>
      <w:r w:rsidRPr="00000000" w:rsidDel="00000000" w:rsidR="00000000">
        <w:rPr>
          <w:b w:val="1"/>
          <w:bCs w:val="1"/>
          <w:u w:val="single"/>
          <w:rtl w:val="0"/>
        </w:rPr>
        <w:t xml:space="preserve">Age-related factors in transaction analysis</w:t>
      </w:r>
    </w:p>
    <w:p w:rsidRPr="00000000" w:rsidR="00000000" w:rsidDel="00000000" w:rsidP="00000000" w:rsidRDefault="00000000" w14:paraId="0000026E">
      <w:pPr>
        <w:spacing w:after="0" w:lineRule="auto"/>
        <w:jc w:val="both"/>
        <w:rPr/>
      </w:pPr>
      <w:r w:rsidRPr="00000000" w:rsidDel="00000000" w:rsidR="00000000">
        <w:rPr>
          <w:rtl w:val="0"/>
        </w:rPr>
        <w:t xml:space="preserve">In the context of crypto transaction analysis, age-related factors help to understand and evaluate whether a user's crypto activity aligns with typical behaviors expected for their age group (however other factors like country, customer type etc should be taken into consideration as well). Here are key age-related factors specific to crypto transactions:</w:t>
      </w:r>
      <w:r w:rsidRPr="00000000" w:rsidDel="00000000" w:rsidR="00000000">
        <w:rPr>
          <w:rtl w:val="0"/>
        </w:rPr>
      </w:r>
    </w:p>
    <w:p w:rsidRPr="00000000" w:rsidR="00000000" w:rsidDel="00000000" w:rsidP="00000000" w:rsidRDefault="00000000" w14:paraId="0000026F">
      <w:pPr>
        <w:spacing w:after="0" w:line="276" w:lineRule="auto"/>
        <w:jc w:val="both"/>
        <w:rPr/>
      </w:pPr>
      <w:r w:rsidRPr="00000000" w:rsidDel="00000000" w:rsidR="00000000">
        <w:rPr>
          <w:rtl w:val="0"/>
        </w:rPr>
      </w:r>
    </w:p>
    <w:sdt>
      <w:sdtPr>
        <w:lock w:val="contentLocked"/>
        <w:id w:val="-1839163380"/>
        <w:tag w:val="goog_rdk_5"/>
      </w:sdtPr>
      <w:sdtContent>
        <w:tbl>
          <w:tblPr>
            <w:tblStyle w:val="Table14"/>
            <w:tblW w:w="9360.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1485"/>
            <w:gridCol w:w="7875"/>
            <w:tblGridChange w:id="0">
              <w:tblGrid>
                <w:gridCol w:w="1485"/>
                <w:gridCol w:w="7875"/>
              </w:tblGrid>
            </w:tblGridChange>
          </w:tblGrid>
          <w:tr>
            <w:trPr>
              <w:cantSplit w:val="0"/>
              <w:tblHeader w:val="0"/>
            </w:trPr>
            <w:tc>
              <w:tcPr>
                <w:shd w:val="clear" w:fill="f7cbac"/>
                <w:tcMar>
                  <w:top w:w="100.0" w:type="dxa"/>
                  <w:left w:w="100.0" w:type="dxa"/>
                  <w:bottom w:w="100.0" w:type="dxa"/>
                  <w:right w:w="100.0" w:type="dxa"/>
                </w:tcMar>
                <w:vAlign w:val="top"/>
              </w:tcPr>
              <w:p w:rsidRPr="00000000" w:rsidR="00000000" w:rsidDel="00000000" w:rsidP="00000000" w:rsidRDefault="00000000" w14:paraId="00000270">
                <w:pPr>
                  <w:widowControl w:val="0"/>
                  <w:spacing w:after="0" w:line="240" w:lineRule="auto"/>
                  <w:rPr>
                    <w:b w:val="1"/>
                    <w:bCs w:val="1"/>
                  </w:rPr>
                </w:pPr>
                <w:r w:rsidRPr="00000000" w:rsidDel="00000000" w:rsidR="00000000">
                  <w:rPr>
                    <w:b w:val="1"/>
                    <w:bCs w:val="1"/>
                    <w:rtl w:val="0"/>
                  </w:rPr>
                  <w:t xml:space="preserve">Age Group</w:t>
                </w:r>
              </w:p>
            </w:tc>
            <w:tc>
              <w:tcPr>
                <w:shd w:val="clear" w:fill="f7cbac"/>
                <w:tcMar>
                  <w:top w:w="100.0" w:type="dxa"/>
                  <w:left w:w="100.0" w:type="dxa"/>
                  <w:bottom w:w="100.0" w:type="dxa"/>
                  <w:right w:w="100.0" w:type="dxa"/>
                </w:tcMar>
                <w:vAlign w:val="top"/>
              </w:tcPr>
              <w:p w:rsidRPr="00000000" w:rsidR="00000000" w:rsidDel="00000000" w:rsidP="00000000" w:rsidRDefault="00000000" w14:paraId="00000271">
                <w:pPr>
                  <w:widowControl w:val="0"/>
                  <w:spacing w:after="0" w:line="240" w:lineRule="auto"/>
                  <w:rPr>
                    <w:b w:val="1"/>
                    <w:bCs w:val="1"/>
                  </w:rPr>
                </w:pPr>
                <w:r w:rsidRPr="00000000" w:rsidDel="00000000" w:rsidR="00000000">
                  <w:rPr>
                    <w:b w:val="1"/>
                    <w:bCs w:val="1"/>
                    <w:rtl w:val="0"/>
                  </w:rPr>
                  <w:t xml:space="preserve">Typical Crypto Transaction Characteristics</w:t>
                </w:r>
              </w:p>
            </w:tc>
          </w:tr>
          <w:tr>
            <w:trPr>
              <w:cantSplit w:val="0"/>
              <w:tblHeader w:val="0"/>
            </w:trPr>
            <w:tc>
              <w:tcPr>
                <w:shd w:val="clear" w:fill="auto"/>
                <w:tcMar>
                  <w:top w:w="72.0" w:type="dxa"/>
                  <w:left w:w="72.0" w:type="dxa"/>
                  <w:bottom w:w="72.0" w:type="dxa"/>
                  <w:right w:w="72.0" w:type="dxa"/>
                </w:tcMar>
                <w:vAlign w:val="top"/>
              </w:tcPr>
              <w:p w:rsidRPr="00000000" w:rsidR="00000000" w:rsidDel="00000000" w:rsidP="00000000" w:rsidRDefault="00000000" w14:paraId="00000272">
                <w:pPr>
                  <w:widowControl w:val="0"/>
                  <w:spacing w:after="0" w:line="276" w:lineRule="auto"/>
                  <w:rPr/>
                </w:pPr>
                <w:r w:rsidRPr="00000000" w:rsidDel="00000000" w:rsidR="00000000">
                  <w:rPr>
                    <w:rtl w:val="0"/>
                  </w:rPr>
                  <w:t xml:space="preserve">Young Adults (18-25)</w:t>
                </w:r>
              </w:p>
            </w:tc>
            <w:tc>
              <w:tcPr>
                <w:shd w:val="clear" w:fill="auto"/>
                <w:tcMar>
                  <w:top w:w="72.0" w:type="dxa"/>
                  <w:left w:w="72.0" w:type="dxa"/>
                  <w:bottom w:w="72.0" w:type="dxa"/>
                  <w:right w:w="72.0" w:type="dxa"/>
                </w:tcMar>
                <w:vAlign w:val="top"/>
              </w:tcPr>
              <w:p w:rsidRPr="00000000" w:rsidR="00000000" w:rsidDel="00000000" w:rsidP="00000000" w:rsidRDefault="00000000" w14:paraId="00000273">
                <w:pPr>
                  <w:widowControl w:val="0"/>
                  <w:spacing w:after="0" w:line="276" w:lineRule="auto"/>
                  <w:jc w:val="both"/>
                  <w:rPr/>
                </w:pPr>
                <w:r w:rsidRPr="00000000" w:rsidDel="00000000" w:rsidR="00000000">
                  <w:rPr>
                    <w:rtl w:val="0"/>
                  </w:rPr>
                  <w:t xml:space="preserve">Often early adopters and more experimental with crypto; higher frequency of small to medium trades; active in emerging tokens, NFTs, DeFi; may use crypto for peer-to-peer payments and gaming. Risk tolerance tends to be high.</w:t>
                </w:r>
              </w:p>
            </w:tc>
          </w:tr>
          <w:tr>
            <w:trPr>
              <w:cantSplit w:val="0"/>
              <w:tblHeader w:val="0"/>
            </w:trPr>
            <w:tc>
              <w:tcPr>
                <w:shd w:val="clear" w:fill="auto"/>
                <w:tcMar>
                  <w:top w:w="72.0" w:type="dxa"/>
                  <w:left w:w="72.0" w:type="dxa"/>
                  <w:bottom w:w="72.0" w:type="dxa"/>
                  <w:right w:w="72.0" w:type="dxa"/>
                </w:tcMar>
                <w:vAlign w:val="top"/>
              </w:tcPr>
              <w:p w:rsidRPr="00000000" w:rsidR="00000000" w:rsidDel="00000000" w:rsidP="00000000" w:rsidRDefault="00000000" w14:paraId="00000274">
                <w:pPr>
                  <w:widowControl w:val="0"/>
                  <w:spacing w:after="0" w:line="276" w:lineRule="auto"/>
                  <w:rPr/>
                </w:pPr>
                <w:r w:rsidRPr="00000000" w:rsidDel="00000000" w:rsidR="00000000">
                  <w:rPr>
                    <w:rtl w:val="0"/>
                  </w:rPr>
                  <w:t xml:space="preserve">Adults </w:t>
                </w:r>
              </w:p>
              <w:p w:rsidRPr="00000000" w:rsidR="00000000" w:rsidDel="00000000" w:rsidP="00000000" w:rsidRDefault="00000000" w14:paraId="00000275">
                <w:pPr>
                  <w:widowControl w:val="0"/>
                  <w:spacing w:after="0" w:line="276" w:lineRule="auto"/>
                  <w:rPr/>
                </w:pPr>
                <w:r w:rsidRPr="00000000" w:rsidDel="00000000" w:rsidR="00000000">
                  <w:rPr>
                    <w:rtl w:val="0"/>
                  </w:rPr>
                  <w:t xml:space="preserve">(26-45)</w:t>
                </w:r>
              </w:p>
            </w:tc>
            <w:tc>
              <w:tcPr>
                <w:shd w:val="clear" w:fill="auto"/>
                <w:tcMar>
                  <w:top w:w="72.0" w:type="dxa"/>
                  <w:left w:w="72.0" w:type="dxa"/>
                  <w:bottom w:w="72.0" w:type="dxa"/>
                  <w:right w:w="72.0" w:type="dxa"/>
                </w:tcMar>
                <w:vAlign w:val="top"/>
              </w:tcPr>
              <w:p w:rsidRPr="00000000" w:rsidR="00000000" w:rsidDel="00000000" w:rsidP="00000000" w:rsidRDefault="00000000" w14:paraId="00000276">
                <w:pPr>
                  <w:widowControl w:val="0"/>
                  <w:spacing w:after="0" w:line="276" w:lineRule="auto"/>
                  <w:jc w:val="both"/>
                  <w:rPr/>
                </w:pPr>
                <w:r w:rsidRPr="00000000" w:rsidDel="00000000" w:rsidR="00000000">
                  <w:rPr>
                    <w:rtl w:val="0"/>
                  </w:rPr>
                  <w:t xml:space="preserve">More likely to use crypto for investment and wealth diversification; larger transaction volumes; involvement in staking, yield farming, and long-term holding; may use crypto for business or remittances. Moderate to high risk tolerance.</w:t>
                </w:r>
              </w:p>
            </w:tc>
          </w:tr>
          <w:tr>
            <w:trPr>
              <w:cantSplit w:val="0"/>
              <w:tblHeader w:val="0"/>
            </w:trPr>
            <w:tc>
              <w:tcPr>
                <w:shd w:val="clear" w:fill="auto"/>
                <w:tcMar>
                  <w:top w:w="72.0" w:type="dxa"/>
                  <w:left w:w="72.0" w:type="dxa"/>
                  <w:bottom w:w="72.0" w:type="dxa"/>
                  <w:right w:w="72.0" w:type="dxa"/>
                </w:tcMar>
                <w:vAlign w:val="top"/>
              </w:tcPr>
              <w:p w:rsidRPr="00000000" w:rsidR="00000000" w:rsidDel="00000000" w:rsidP="00000000" w:rsidRDefault="00000000" w14:paraId="00000277">
                <w:pPr>
                  <w:widowControl w:val="0"/>
                  <w:spacing w:after="0" w:line="276" w:lineRule="auto"/>
                  <w:rPr/>
                </w:pPr>
                <w:r w:rsidRPr="00000000" w:rsidDel="00000000" w:rsidR="00000000">
                  <w:rPr>
                    <w:rtl w:val="0"/>
                  </w:rPr>
                  <w:t xml:space="preserve">Middle-aged (46-65)</w:t>
                </w:r>
              </w:p>
            </w:tc>
            <w:tc>
              <w:tcPr>
                <w:shd w:val="clear" w:fill="auto"/>
                <w:tcMar>
                  <w:top w:w="72.0" w:type="dxa"/>
                  <w:left w:w="72.0" w:type="dxa"/>
                  <w:bottom w:w="72.0" w:type="dxa"/>
                  <w:right w:w="72.0" w:type="dxa"/>
                </w:tcMar>
                <w:vAlign w:val="top"/>
              </w:tcPr>
              <w:p w:rsidRPr="00000000" w:rsidR="00000000" w:rsidDel="00000000" w:rsidP="00000000" w:rsidRDefault="00000000" w14:paraId="00000278">
                <w:pPr>
                  <w:widowControl w:val="0"/>
                  <w:spacing w:after="0" w:line="276" w:lineRule="auto"/>
                  <w:jc w:val="both"/>
                  <w:rPr/>
                </w:pPr>
                <w:r w:rsidRPr="00000000" w:rsidDel="00000000" w:rsidR="00000000">
                  <w:rPr>
                    <w:rtl w:val="0"/>
                  </w:rPr>
                  <w:t xml:space="preserve">Typically more conservative; focus on established cryptocurrencies (e.g., Bitcoin, Ethereum); lower transaction frequency but higher value; may use crypto as part of retirement planning or asset preservation. Lower risk tolerance.</w:t>
                </w:r>
              </w:p>
            </w:tc>
          </w:tr>
          <w:tr>
            <w:trPr>
              <w:cantSplit w:val="0"/>
              <w:tblHeader w:val="0"/>
            </w:trPr>
            <w:tc>
              <w:tcPr>
                <w:shd w:val="clear" w:fill="auto"/>
                <w:tcMar>
                  <w:top w:w="72.0" w:type="dxa"/>
                  <w:left w:w="72.0" w:type="dxa"/>
                  <w:bottom w:w="72.0" w:type="dxa"/>
                  <w:right w:w="72.0" w:type="dxa"/>
                </w:tcMar>
                <w:vAlign w:val="top"/>
              </w:tcPr>
              <w:p w:rsidRPr="00000000" w:rsidR="00000000" w:rsidDel="00000000" w:rsidP="00000000" w:rsidRDefault="00000000" w14:paraId="00000279">
                <w:pPr>
                  <w:widowControl w:val="0"/>
                  <w:spacing w:after="0" w:line="276" w:lineRule="auto"/>
                  <w:rPr/>
                </w:pPr>
                <w:r w:rsidRPr="00000000" w:rsidDel="00000000" w:rsidR="00000000">
                  <w:rPr>
                    <w:rtl w:val="0"/>
                  </w:rPr>
                  <w:t xml:space="preserve">Seniors </w:t>
                </w:r>
              </w:p>
              <w:p w:rsidRPr="00000000" w:rsidR="00000000" w:rsidDel="00000000" w:rsidP="00000000" w:rsidRDefault="00000000" w14:paraId="0000027A">
                <w:pPr>
                  <w:widowControl w:val="0"/>
                  <w:spacing w:after="0" w:line="276" w:lineRule="auto"/>
                  <w:rPr/>
                </w:pPr>
                <w:r w:rsidRPr="00000000" w:rsidDel="00000000" w:rsidR="00000000">
                  <w:rPr>
                    <w:rtl w:val="0"/>
                  </w:rPr>
                  <w:t xml:space="preserve">(65+)</w:t>
                </w:r>
              </w:p>
            </w:tc>
            <w:tc>
              <w:tcPr>
                <w:shd w:val="clear" w:fill="auto"/>
                <w:tcMar>
                  <w:top w:w="72.0" w:type="dxa"/>
                  <w:left w:w="72.0" w:type="dxa"/>
                  <w:bottom w:w="72.0" w:type="dxa"/>
                  <w:right w:w="72.0" w:type="dxa"/>
                </w:tcMar>
                <w:vAlign w:val="top"/>
              </w:tcPr>
              <w:p w:rsidRPr="00000000" w:rsidR="00000000" w:rsidDel="00000000" w:rsidP="00000000" w:rsidRDefault="00000000" w14:paraId="0000027B">
                <w:pPr>
                  <w:widowControl w:val="0"/>
                  <w:spacing w:after="0" w:line="276" w:lineRule="auto"/>
                  <w:jc w:val="both"/>
                  <w:rPr/>
                </w:pPr>
                <w:r w:rsidRPr="00000000" w:rsidDel="00000000" w:rsidR="00000000">
                  <w:rPr>
                    <w:rtl w:val="0"/>
                  </w:rPr>
                  <w:t xml:space="preserve">Generally limited crypto activity; if present, usually low frequency and volume; preference for stablecoins or well-known assets; cautious approach due to unfamiliarity or risk aversion.</w:t>
                </w:r>
              </w:p>
            </w:tc>
          </w:tr>
        </w:tbl>
      </w:sdtContent>
    </w:sdt>
    <w:p w:rsidRPr="00000000" w:rsidR="00000000" w:rsidDel="00000000" w:rsidP="00000000" w:rsidRDefault="00000000" w14:paraId="0000027C">
      <w:pPr>
        <w:spacing w:after="0" w:line="276" w:lineRule="auto"/>
        <w:jc w:val="both"/>
        <w:rPr/>
      </w:pPr>
      <w:r w:rsidRPr="00000000" w:rsidDel="00000000" w:rsidR="00000000">
        <w:rPr>
          <w:rtl w:val="0"/>
        </w:rPr>
      </w:r>
    </w:p>
    <w:p w:rsidRPr="00000000" w:rsidR="00000000" w:rsidDel="00000000" w:rsidP="00000000" w:rsidRDefault="00000000" w14:paraId="0000027D">
      <w:pPr>
        <w:spacing w:after="200" w:line="276" w:lineRule="auto"/>
        <w:jc w:val="both"/>
        <w:rPr/>
      </w:pPr>
      <w:r w:rsidRPr="00000000" w:rsidDel="00000000" w:rsidR="00000000">
        <w:rPr>
          <w:rtl w:val="0"/>
        </w:rPr>
        <w:t xml:space="preserve">Additional Age-Related Considerations in Crypto:</w:t>
      </w:r>
    </w:p>
    <w:p w:rsidRPr="00000000" w:rsidR="00000000" w:rsidDel="00000000" w:rsidP="00000000" w:rsidRDefault="00000000" w14:paraId="0000027E">
      <w:pPr>
        <w:numPr>
          <w:ilvl w:val="0"/>
          <w:numId w:val="2"/>
        </w:numPr>
        <w:spacing w:after="0" w:line="276" w:lineRule="auto"/>
        <w:ind w:left="720" w:hanging="360"/>
        <w:jc w:val="both"/>
        <w:rPr/>
      </w:pPr>
      <w:r w:rsidRPr="00000000" w:rsidDel="00000000" w:rsidR="00000000">
        <w:rPr>
          <w:rtl w:val="0"/>
        </w:rPr>
        <w:t xml:space="preserve">Technology Familiarity: Younger users are generally more tech-savvy, leading to more diverse and complex crypto activities.</w:t>
      </w:r>
    </w:p>
    <w:p w:rsidRPr="00000000" w:rsidR="00000000" w:rsidDel="00000000" w:rsidP="00000000" w:rsidRDefault="00000000" w14:paraId="0000027F">
      <w:pPr>
        <w:numPr>
          <w:ilvl w:val="0"/>
          <w:numId w:val="2"/>
        </w:numPr>
        <w:spacing w:after="0" w:line="276" w:lineRule="auto"/>
        <w:ind w:left="720" w:hanging="360"/>
        <w:jc w:val="both"/>
        <w:rPr/>
      </w:pPr>
      <w:r w:rsidRPr="00000000" w:rsidDel="00000000" w:rsidR="00000000">
        <w:rPr>
          <w:rtl w:val="0"/>
        </w:rPr>
        <w:t xml:space="preserve">Risk Appetite: Younger age groups tend to engage in higher-risk crypto investments and speculative trading.</w:t>
      </w:r>
    </w:p>
    <w:p w:rsidRPr="00000000" w:rsidR="00000000" w:rsidDel="00000000" w:rsidP="00000000" w:rsidRDefault="00000000" w14:paraId="00000280">
      <w:pPr>
        <w:numPr>
          <w:ilvl w:val="0"/>
          <w:numId w:val="2"/>
        </w:numPr>
        <w:spacing w:after="0" w:line="276" w:lineRule="auto"/>
        <w:ind w:left="720" w:hanging="360"/>
        <w:jc w:val="both"/>
        <w:rPr/>
      </w:pPr>
      <w:r w:rsidRPr="00000000" w:rsidDel="00000000" w:rsidR="00000000">
        <w:rPr>
          <w:rtl w:val="0"/>
        </w:rPr>
        <w:t xml:space="preserve">Purpose of Use: Younger users may use crypto for social, gaming, or experimental purposes, while older users focus on investment and wealth preservation.</w:t>
      </w:r>
    </w:p>
    <w:p w:rsidRPr="00000000" w:rsidR="00000000" w:rsidDel="00000000" w:rsidP="00000000" w:rsidRDefault="00000000" w14:paraId="00000281">
      <w:pPr>
        <w:numPr>
          <w:ilvl w:val="0"/>
          <w:numId w:val="2"/>
        </w:numPr>
        <w:spacing w:after="0" w:line="276" w:lineRule="auto"/>
        <w:ind w:left="720" w:hanging="360"/>
        <w:jc w:val="both"/>
        <w:rPr/>
      </w:pPr>
      <w:r w:rsidRPr="00000000" w:rsidDel="00000000" w:rsidR="00000000">
        <w:rPr>
          <w:rtl w:val="0"/>
        </w:rPr>
        <w:t xml:space="preserve">Regulatory Awareness: Older users may be more cautious due to regulatory concerns or lack of understanding.</w:t>
      </w:r>
    </w:p>
    <w:p w:rsidRPr="00000000" w:rsidR="00000000" w:rsidDel="00000000" w:rsidP="00000000" w:rsidRDefault="00000000" w14:paraId="00000282">
      <w:pPr>
        <w:numPr>
          <w:ilvl w:val="0"/>
          <w:numId w:val="2"/>
        </w:numPr>
        <w:spacing w:after="0" w:line="276" w:lineRule="auto"/>
        <w:ind w:left="720" w:hanging="360"/>
        <w:jc w:val="both"/>
        <w:rPr/>
      </w:pPr>
      <w:r w:rsidRPr="00000000" w:rsidDel="00000000" w:rsidR="00000000">
        <w:rPr>
          <w:rtl w:val="0"/>
        </w:rPr>
        <w:t xml:space="preserve">Transaction Patterns: Frequency, size, and types of transactions (e.g., trading, staking, transfers) often vary by age.</w:t>
      </w:r>
    </w:p>
    <w:p w:rsidRPr="00000000" w:rsidR="00000000" w:rsidDel="00000000" w:rsidP="00000000" w:rsidRDefault="00000000" w14:paraId="00000283">
      <w:pPr>
        <w:spacing w:after="0" w:line="276" w:lineRule="auto"/>
        <w:jc w:val="both"/>
        <w:rPr/>
      </w:pPr>
      <w:r w:rsidRPr="00000000" w:rsidDel="00000000" w:rsidR="00000000">
        <w:rPr>
          <w:rtl w:val="0"/>
        </w:rPr>
        <w:t xml:space="preserve">Incorporating these age-related factors into crypto transaction analysis helps in detecting unusual behavior, assessing risk, and tailoring compliance or customer support efforts.</w:t>
      </w:r>
      <w:r w:rsidRPr="00000000" w:rsidDel="00000000" w:rsidR="00000000">
        <w:rPr>
          <w:rtl w:val="0"/>
        </w:rPr>
      </w:r>
    </w:p>
    <w:p w:rsidRPr="00000000" w:rsidR="00000000" w:rsidDel="00000000" w:rsidP="00000000" w:rsidRDefault="00000000" w14:paraId="00000284">
      <w:pPr>
        <w:pStyle w:val="Heading3"/>
        <w:spacing w:before="200" w:after="200" w:line="276" w:lineRule="auto"/>
        <w:jc w:val="both"/>
        <w:rPr>
          <w:rFonts w:ascii="Arial" w:hAnsi="Arial" w:eastAsia="Arial" w:cs="Arial"/>
          <w:sz w:val="16"/>
          <w:szCs w:val="16"/>
          <w:u w:val="single"/>
        </w:rPr>
      </w:pPr>
      <w:bookmarkStart w:name="_heading=h.uo4kr68ax7eu" w:colFirst="0" w:colLast="0" w:id="102"/>
      <w:bookmarkEnd w:id="102"/>
      <w:r w:rsidRPr="00000000" w:rsidDel="00000000" w:rsidR="00000000">
        <w:rPr>
          <w:rFonts w:ascii="Arial" w:hAnsi="Arial" w:eastAsia="Arial" w:cs="Arial"/>
          <w:sz w:val="24"/>
          <w:szCs w:val="24"/>
          <w:u w:val="single"/>
          <w:rtl w:val="0"/>
        </w:rPr>
        <w:t xml:space="preserve">Regional crypto trends and economic conditions </w:t>
      </w:r>
      <w:r w:rsidRPr="00000000" w:rsidDel="00000000" w:rsidR="00000000">
        <w:rPr>
          <w:rtl w:val="0"/>
        </w:rPr>
      </w:r>
    </w:p>
    <w:p w:rsidRPr="00000000" w:rsidR="00000000" w:rsidDel="00000000" w:rsidP="00000000" w:rsidRDefault="00000000" w14:paraId="00000285">
      <w:pPr>
        <w:spacing w:after="0" w:line="276" w:lineRule="auto"/>
        <w:jc w:val="both"/>
        <w:rPr/>
      </w:pPr>
      <w:r w:rsidRPr="00000000" w:rsidDel="00000000" w:rsidR="00000000">
        <w:rPr>
          <w:rtl w:val="0"/>
        </w:rPr>
        <w:t xml:space="preserve">Crypto transaction types and volumes can vary significantly based on regional trends and economic conditions. Here’s an overview of how these factors influence crypto activity:</w:t>
      </w:r>
    </w:p>
    <w:p w:rsidRPr="00000000" w:rsidR="00000000" w:rsidDel="00000000" w:rsidP="00000000" w:rsidRDefault="00000000" w14:paraId="00000286">
      <w:pPr>
        <w:spacing w:after="0" w:line="276" w:lineRule="auto"/>
        <w:jc w:val="both"/>
        <w:rPr/>
      </w:pPr>
      <w:r w:rsidRPr="00000000" w:rsidDel="00000000" w:rsidR="00000000">
        <w:rPr>
          <w:rtl w:val="0"/>
        </w:rPr>
      </w:r>
    </w:p>
    <w:p w:rsidRPr="00000000" w:rsidR="00000000" w:rsidDel="00000000" w:rsidP="00000000" w:rsidRDefault="00000000" w14:paraId="00000287">
      <w:pPr>
        <w:spacing w:after="200" w:line="276" w:lineRule="auto"/>
        <w:rPr>
          <w:b w:val="1"/>
          <w:bCs w:val="1"/>
        </w:rPr>
      </w:pPr>
      <w:r w:rsidRPr="00000000" w:rsidDel="00000000" w:rsidR="00000000">
        <w:rPr>
          <w:b w:val="1"/>
          <w:bCs w:val="1"/>
          <w:rtl w:val="0"/>
        </w:rPr>
        <w:t xml:space="preserve">Table 1. Transaction Types by Region and Economic Context</w:t>
      </w:r>
    </w:p>
    <w:sdt>
      <w:sdtPr>
        <w:lock w:val="contentLocked"/>
        <w:id w:val="-584642469"/>
        <w:tag w:val="goog_rdk_6"/>
      </w:sdtPr>
      <w:sdtContent>
        <w:tbl>
          <w:tblPr>
            <w:tblStyle w:val="Table15"/>
            <w:tblW w:w="9495.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1275"/>
            <w:gridCol w:w="4200"/>
            <w:gridCol w:w="4020"/>
            <w:tblGridChange w:id="0">
              <w:tblGrid>
                <w:gridCol w:w="1275"/>
                <w:gridCol w:w="4200"/>
                <w:gridCol w:w="4020"/>
              </w:tblGrid>
            </w:tblGridChange>
          </w:tblGrid>
          <w:tr>
            <w:trPr>
              <w:cantSplit w:val="0"/>
              <w:tblHeader w:val="0"/>
            </w:trPr>
            <w:tc>
              <w:tcPr>
                <w:shd w:val="clear" w:fill="f7cbac"/>
                <w:tcMar>
                  <w:top w:w="100.0" w:type="dxa"/>
                  <w:left w:w="100.0" w:type="dxa"/>
                  <w:bottom w:w="100.0" w:type="dxa"/>
                  <w:right w:w="100.0" w:type="dxa"/>
                </w:tcMar>
                <w:vAlign w:val="top"/>
              </w:tcPr>
              <w:p w:rsidRPr="00000000" w:rsidR="00000000" w:rsidDel="00000000" w:rsidP="00000000" w:rsidRDefault="00000000" w14:paraId="00000288">
                <w:pPr>
                  <w:spacing w:after="0" w:line="276" w:lineRule="auto"/>
                  <w:jc w:val="both"/>
                  <w:rPr>
                    <w:b w:val="1"/>
                    <w:bCs w:val="1"/>
                  </w:rPr>
                </w:pPr>
                <w:r w:rsidRPr="00000000" w:rsidDel="00000000" w:rsidR="00000000">
                  <w:rPr>
                    <w:b w:val="1"/>
                    <w:bCs w:val="1"/>
                    <w:rtl w:val="0"/>
                  </w:rPr>
                  <w:t xml:space="preserve">Region</w:t>
                </w:r>
              </w:p>
            </w:tc>
            <w:tc>
              <w:tcPr>
                <w:shd w:val="clear" w:fill="f7cbac"/>
                <w:tcMar>
                  <w:top w:w="100.0" w:type="dxa"/>
                  <w:left w:w="100.0" w:type="dxa"/>
                  <w:bottom w:w="100.0" w:type="dxa"/>
                  <w:right w:w="100.0" w:type="dxa"/>
                </w:tcMar>
                <w:vAlign w:val="top"/>
              </w:tcPr>
              <w:p w:rsidRPr="00000000" w:rsidR="00000000" w:rsidDel="00000000" w:rsidP="00000000" w:rsidRDefault="00000000" w14:paraId="00000289">
                <w:pPr>
                  <w:spacing w:after="0" w:line="276" w:lineRule="auto"/>
                  <w:jc w:val="both"/>
                  <w:rPr>
                    <w:b w:val="1"/>
                    <w:bCs w:val="1"/>
                  </w:rPr>
                </w:pPr>
                <w:r w:rsidRPr="00000000" w:rsidDel="00000000" w:rsidR="00000000">
                  <w:rPr>
                    <w:b w:val="1"/>
                    <w:bCs w:val="1"/>
                    <w:rtl w:val="0"/>
                  </w:rPr>
                  <w:t xml:space="preserve">Common Crypto Transaction Types</w:t>
                </w:r>
              </w:p>
            </w:tc>
            <w:tc>
              <w:tcPr>
                <w:shd w:val="clear" w:fill="f7cbac"/>
                <w:tcMar>
                  <w:top w:w="100.0" w:type="dxa"/>
                  <w:left w:w="100.0" w:type="dxa"/>
                  <w:bottom w:w="100.0" w:type="dxa"/>
                  <w:right w:w="100.0" w:type="dxa"/>
                </w:tcMar>
                <w:vAlign w:val="top"/>
              </w:tcPr>
              <w:p w:rsidRPr="00000000" w:rsidR="00000000" w:rsidDel="00000000" w:rsidP="00000000" w:rsidRDefault="00000000" w14:paraId="0000028A">
                <w:pPr>
                  <w:spacing w:after="0" w:line="276" w:lineRule="auto"/>
                  <w:jc w:val="both"/>
                  <w:rPr>
                    <w:b w:val="1"/>
                    <w:bCs w:val="1"/>
                  </w:rPr>
                </w:pPr>
                <w:r w:rsidRPr="00000000" w:rsidDel="00000000" w:rsidR="00000000">
                  <w:rPr>
                    <w:b w:val="1"/>
                    <w:bCs w:val="1"/>
                    <w:rtl w:val="0"/>
                  </w:rPr>
                  <w:t xml:space="preserve">Economic/Regulatory Context</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8B">
                <w:pPr>
                  <w:spacing w:after="0" w:line="276" w:lineRule="auto"/>
                  <w:jc w:val="both"/>
                  <w:rPr/>
                </w:pPr>
                <w:r w:rsidRPr="00000000" w:rsidDel="00000000" w:rsidR="00000000">
                  <w:rPr>
                    <w:rtl w:val="0"/>
                  </w:rPr>
                  <w:t xml:space="preserve">North America</w:t>
                </w:r>
              </w:p>
            </w:tc>
            <w:tc>
              <w:tcPr>
                <w:shd w:val="clear" w:fill="auto"/>
                <w:tcMar>
                  <w:top w:w="100.0" w:type="dxa"/>
                  <w:left w:w="100.0" w:type="dxa"/>
                  <w:bottom w:w="100.0" w:type="dxa"/>
                  <w:right w:w="100.0" w:type="dxa"/>
                </w:tcMar>
                <w:vAlign w:val="top"/>
              </w:tcPr>
              <w:p w:rsidRPr="00000000" w:rsidR="00000000" w:rsidDel="00000000" w:rsidP="00000000" w:rsidRDefault="00000000" w14:paraId="0000028C">
                <w:pPr>
                  <w:spacing w:after="0" w:line="276" w:lineRule="auto"/>
                  <w:jc w:val="both"/>
                  <w:rPr/>
                </w:pPr>
                <w:r w:rsidRPr="00000000" w:rsidDel="00000000" w:rsidR="00000000">
                  <w:rPr>
                    <w:rtl w:val="0"/>
                  </w:rPr>
                  <w:t xml:space="preserve">- Trading (spot, derivatives)</w:t>
                </w:r>
              </w:p>
              <w:p w:rsidRPr="00000000" w:rsidR="00000000" w:rsidDel="00000000" w:rsidP="00000000" w:rsidRDefault="00000000" w14:paraId="0000028D">
                <w:pPr>
                  <w:spacing w:after="0" w:line="276" w:lineRule="auto"/>
                  <w:jc w:val="both"/>
                  <w:rPr/>
                </w:pPr>
                <w:r w:rsidRPr="00000000" w:rsidDel="00000000" w:rsidR="00000000">
                  <w:rPr>
                    <w:rtl w:val="0"/>
                  </w:rPr>
                  <w:t xml:space="preserve">- Institutional investments</w:t>
                </w:r>
              </w:p>
              <w:p w:rsidRPr="00000000" w:rsidR="00000000" w:rsidDel="00000000" w:rsidP="00000000" w:rsidRDefault="00000000" w14:paraId="0000028E">
                <w:pPr>
                  <w:spacing w:after="0" w:line="276" w:lineRule="auto"/>
                  <w:jc w:val="both"/>
                  <w:rPr/>
                </w:pPr>
                <w:r w:rsidRPr="00000000" w:rsidDel="00000000" w:rsidR="00000000">
                  <w:rPr>
                    <w:rtl w:val="0"/>
                  </w:rPr>
                  <w:t xml:space="preserve">- DeFi participation</w:t>
                </w:r>
              </w:p>
              <w:p w:rsidRPr="00000000" w:rsidR="00000000" w:rsidDel="00000000" w:rsidP="00000000" w:rsidRDefault="00000000" w14:paraId="0000028F">
                <w:pPr>
                  <w:spacing w:after="0" w:line="276" w:lineRule="auto"/>
                  <w:jc w:val="both"/>
                  <w:rPr/>
                </w:pPr>
                <w:r w:rsidRPr="00000000" w:rsidDel="00000000" w:rsidR="00000000">
                  <w:rPr>
                    <w:rtl w:val="0"/>
                  </w:rPr>
                  <w:t xml:space="preserve">- NFTs and gaming tokens</w:t>
                </w:r>
              </w:p>
            </w:tc>
            <w:tc>
              <w:tcPr>
                <w:shd w:val="clear" w:fill="auto"/>
                <w:tcMar>
                  <w:top w:w="100.0" w:type="dxa"/>
                  <w:left w:w="100.0" w:type="dxa"/>
                  <w:bottom w:w="100.0" w:type="dxa"/>
                  <w:right w:w="100.0" w:type="dxa"/>
                </w:tcMar>
                <w:vAlign w:val="top"/>
              </w:tcPr>
              <w:p w:rsidRPr="00000000" w:rsidR="00000000" w:rsidDel="00000000" w:rsidP="00000000" w:rsidRDefault="00000000" w14:paraId="00000290">
                <w:pPr>
                  <w:spacing w:after="0" w:line="276" w:lineRule="auto"/>
                  <w:jc w:val="both"/>
                  <w:rPr/>
                </w:pPr>
                <w:r w:rsidRPr="00000000" w:rsidDel="00000000" w:rsidR="00000000">
                  <w:rPr>
                    <w:rtl w:val="0"/>
                  </w:rPr>
                  <w:t xml:space="preserve">Mature markets with strong regulatory frameworks; high institutional adoption; innovation hubs for DeFi and NFTs:</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91">
                <w:pPr>
                  <w:spacing w:after="0" w:line="276" w:lineRule="auto"/>
                  <w:jc w:val="both"/>
                  <w:rPr/>
                </w:pPr>
                <w:r w:rsidRPr="00000000" w:rsidDel="00000000" w:rsidR="00000000">
                  <w:rPr>
                    <w:rtl w:val="0"/>
                  </w:rPr>
                  <w:t xml:space="preserve">Europe</w:t>
                </w:r>
              </w:p>
            </w:tc>
            <w:tc>
              <w:tcPr>
                <w:shd w:val="clear" w:fill="auto"/>
                <w:tcMar>
                  <w:top w:w="100.0" w:type="dxa"/>
                  <w:left w:w="100.0" w:type="dxa"/>
                  <w:bottom w:w="100.0" w:type="dxa"/>
                  <w:right w:w="100.0" w:type="dxa"/>
                </w:tcMar>
                <w:vAlign w:val="top"/>
              </w:tcPr>
              <w:p w:rsidRPr="00000000" w:rsidR="00000000" w:rsidDel="00000000" w:rsidP="00000000" w:rsidRDefault="00000000" w14:paraId="00000292">
                <w:pPr>
                  <w:spacing w:after="0" w:line="276" w:lineRule="auto"/>
                  <w:jc w:val="both"/>
                  <w:rPr/>
                </w:pPr>
                <w:r w:rsidRPr="00000000" w:rsidDel="00000000" w:rsidR="00000000">
                  <w:rPr>
                    <w:rtl w:val="0"/>
                  </w:rPr>
                  <w:t xml:space="preserve">- Trading and investment </w:t>
                </w:r>
              </w:p>
              <w:p w:rsidRPr="00000000" w:rsidR="00000000" w:rsidDel="00000000" w:rsidP="00000000" w:rsidRDefault="00000000" w14:paraId="00000293">
                <w:pPr>
                  <w:spacing w:after="0" w:line="276" w:lineRule="auto"/>
                  <w:jc w:val="both"/>
                  <w:rPr/>
                </w:pPr>
                <w:r w:rsidRPr="00000000" w:rsidDel="00000000" w:rsidR="00000000">
                  <w:rPr>
                    <w:rtl w:val="0"/>
                  </w:rPr>
                  <w:t xml:space="preserve">- Cross-border remittances </w:t>
                </w:r>
              </w:p>
              <w:p w:rsidRPr="00000000" w:rsidR="00000000" w:rsidDel="00000000" w:rsidP="00000000" w:rsidRDefault="00000000" w14:paraId="00000294">
                <w:pPr>
                  <w:spacing w:after="0" w:line="276" w:lineRule="auto"/>
                  <w:jc w:val="both"/>
                  <w:rPr/>
                </w:pPr>
                <w:r w:rsidRPr="00000000" w:rsidDel="00000000" w:rsidR="00000000">
                  <w:rPr>
                    <w:rtl w:val="0"/>
                  </w:rPr>
                  <w:t xml:space="preserve">- DeFi and staking </w:t>
                </w:r>
              </w:p>
              <w:p w:rsidRPr="00000000" w:rsidR="00000000" w:rsidDel="00000000" w:rsidP="00000000" w:rsidRDefault="00000000" w14:paraId="00000295">
                <w:pPr>
                  <w:spacing w:after="0" w:line="276" w:lineRule="auto"/>
                  <w:jc w:val="both"/>
                  <w:rPr/>
                </w:pPr>
                <w:r w:rsidRPr="00000000" w:rsidDel="00000000" w:rsidR="00000000">
                  <w:rPr>
                    <w:rtl w:val="0"/>
                  </w:rPr>
                  <w:t xml:space="preserve">- Payments in crypto </w:t>
                </w:r>
              </w:p>
            </w:tc>
            <w:tc>
              <w:tcPr>
                <w:shd w:val="clear" w:fill="auto"/>
                <w:tcMar>
                  <w:top w:w="100.0" w:type="dxa"/>
                  <w:left w:w="100.0" w:type="dxa"/>
                  <w:bottom w:w="100.0" w:type="dxa"/>
                  <w:right w:w="100.0" w:type="dxa"/>
                </w:tcMar>
                <w:vAlign w:val="top"/>
              </w:tcPr>
              <w:p w:rsidRPr="00000000" w:rsidR="00000000" w:rsidDel="00000000" w:rsidP="00000000" w:rsidRDefault="00000000" w14:paraId="00000296">
                <w:pPr>
                  <w:spacing w:after="0" w:line="276" w:lineRule="auto"/>
                  <w:jc w:val="both"/>
                  <w:rPr/>
                </w:pPr>
                <w:r w:rsidRPr="00000000" w:rsidDel="00000000" w:rsidR="00000000">
                  <w:rPr>
                    <w:rtl w:val="0"/>
                  </w:rPr>
                  <w:t xml:space="preserve">Diverse regulatory landscape; growing adoption in payments and remittances; focus on compliance and AML/KYC</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97">
                <w:pPr>
                  <w:spacing w:after="0" w:line="276" w:lineRule="auto"/>
                  <w:jc w:val="both"/>
                  <w:rPr/>
                </w:pPr>
                <w:r w:rsidRPr="00000000" w:rsidDel="00000000" w:rsidR="00000000">
                  <w:rPr>
                    <w:rtl w:val="0"/>
                  </w:rPr>
                  <w:t xml:space="preserve">Latin America</w:t>
                </w:r>
              </w:p>
            </w:tc>
            <w:tc>
              <w:tcPr>
                <w:shd w:val="clear" w:fill="auto"/>
                <w:tcMar>
                  <w:top w:w="100.0" w:type="dxa"/>
                  <w:left w:w="100.0" w:type="dxa"/>
                  <w:bottom w:w="100.0" w:type="dxa"/>
                  <w:right w:w="100.0" w:type="dxa"/>
                </w:tcMar>
                <w:vAlign w:val="top"/>
              </w:tcPr>
              <w:p w:rsidRPr="00000000" w:rsidR="00000000" w:rsidDel="00000000" w:rsidP="00000000" w:rsidRDefault="00000000" w14:paraId="00000298">
                <w:pPr>
                  <w:spacing w:after="0" w:line="276" w:lineRule="auto"/>
                  <w:jc w:val="both"/>
                  <w:rPr/>
                </w:pPr>
                <w:r w:rsidRPr="00000000" w:rsidDel="00000000" w:rsidR="00000000">
                  <w:rPr>
                    <w:rtl w:val="0"/>
                  </w:rPr>
                  <w:t xml:space="preserve">- Remittances</w:t>
                </w:r>
              </w:p>
              <w:p w:rsidRPr="00000000" w:rsidR="00000000" w:rsidDel="00000000" w:rsidP="00000000" w:rsidRDefault="00000000" w14:paraId="00000299">
                <w:pPr>
                  <w:spacing w:after="0" w:line="276" w:lineRule="auto"/>
                  <w:jc w:val="both"/>
                  <w:rPr/>
                </w:pPr>
                <w:r w:rsidRPr="00000000" w:rsidDel="00000000" w:rsidR="00000000">
                  <w:rPr>
                    <w:rtl w:val="0"/>
                  </w:rPr>
                  <w:t xml:space="preserve">- Peer-to-peer payments </w:t>
                </w:r>
              </w:p>
              <w:p w:rsidRPr="00000000" w:rsidR="00000000" w:rsidDel="00000000" w:rsidP="00000000" w:rsidRDefault="00000000" w14:paraId="0000029A">
                <w:pPr>
                  <w:spacing w:after="0" w:line="276" w:lineRule="auto"/>
                  <w:jc w:val="both"/>
                  <w:rPr/>
                </w:pPr>
                <w:r w:rsidRPr="00000000" w:rsidDel="00000000" w:rsidR="00000000">
                  <w:rPr>
                    <w:rtl w:val="0"/>
                  </w:rPr>
                  <w:t xml:space="preserve">- Trading and speculation </w:t>
                </w:r>
              </w:p>
              <w:p w:rsidRPr="00000000" w:rsidR="00000000" w:rsidDel="00000000" w:rsidP="00000000" w:rsidRDefault="00000000" w14:paraId="0000029B">
                <w:pPr>
                  <w:spacing w:after="0" w:line="276" w:lineRule="auto"/>
                  <w:jc w:val="both"/>
                  <w:rPr/>
                </w:pPr>
                <w:r w:rsidRPr="00000000" w:rsidDel="00000000" w:rsidR="00000000">
                  <w:rPr>
                    <w:rtl w:val="0"/>
                  </w:rPr>
                  <w:t xml:space="preserve">- Use of stablecoins for inflation hedging</w:t>
                </w:r>
              </w:p>
            </w:tc>
            <w:tc>
              <w:tcPr>
                <w:shd w:val="clear" w:fill="auto"/>
                <w:tcMar>
                  <w:top w:w="100.0" w:type="dxa"/>
                  <w:left w:w="100.0" w:type="dxa"/>
                  <w:bottom w:w="100.0" w:type="dxa"/>
                  <w:right w:w="100.0" w:type="dxa"/>
                </w:tcMar>
                <w:vAlign w:val="top"/>
              </w:tcPr>
              <w:p w:rsidRPr="00000000" w:rsidR="00000000" w:rsidDel="00000000" w:rsidP="00000000" w:rsidRDefault="00000000" w14:paraId="0000029C">
                <w:pPr>
                  <w:spacing w:after="0" w:line="276" w:lineRule="auto"/>
                  <w:jc w:val="both"/>
                  <w:rPr/>
                </w:pPr>
                <w:r w:rsidRPr="00000000" w:rsidDel="00000000" w:rsidR="00000000">
                  <w:rPr>
                    <w:rtl w:val="0"/>
                  </w:rPr>
                  <w:t xml:space="preserve">High inflation and currency volatility drive crypto use for remittances and as a store of value; informal economy</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9D">
                <w:pPr>
                  <w:spacing w:after="0" w:line="276" w:lineRule="auto"/>
                  <w:jc w:val="both"/>
                  <w:rPr/>
                </w:pPr>
                <w:r w:rsidRPr="00000000" w:rsidDel="00000000" w:rsidR="00000000">
                  <w:rPr>
                    <w:rtl w:val="0"/>
                  </w:rPr>
                  <w:t xml:space="preserve">Africa</w:t>
                </w:r>
              </w:p>
            </w:tc>
            <w:tc>
              <w:tcPr>
                <w:shd w:val="clear" w:fill="auto"/>
                <w:tcMar>
                  <w:top w:w="100.0" w:type="dxa"/>
                  <w:left w:w="100.0" w:type="dxa"/>
                  <w:bottom w:w="100.0" w:type="dxa"/>
                  <w:right w:w="100.0" w:type="dxa"/>
                </w:tcMar>
                <w:vAlign w:val="top"/>
              </w:tcPr>
              <w:p w:rsidRPr="00000000" w:rsidR="00000000" w:rsidDel="00000000" w:rsidP="00000000" w:rsidRDefault="00000000" w14:paraId="0000029E">
                <w:pPr>
                  <w:spacing w:after="0" w:line="276" w:lineRule="auto"/>
                  <w:jc w:val="both"/>
                  <w:rPr/>
                </w:pPr>
                <w:r w:rsidRPr="00000000" w:rsidDel="00000000" w:rsidR="00000000">
                  <w:rPr>
                    <w:rtl w:val="0"/>
                  </w:rPr>
                  <w:t xml:space="preserve">- Remittances </w:t>
                </w:r>
              </w:p>
              <w:p w:rsidRPr="00000000" w:rsidR="00000000" w:rsidDel="00000000" w:rsidP="00000000" w:rsidRDefault="00000000" w14:paraId="0000029F">
                <w:pPr>
                  <w:spacing w:after="0" w:line="276" w:lineRule="auto"/>
                  <w:jc w:val="both"/>
                  <w:rPr/>
                </w:pPr>
                <w:r w:rsidRPr="00000000" w:rsidDel="00000000" w:rsidR="00000000">
                  <w:rPr>
                    <w:rtl w:val="0"/>
                  </w:rPr>
                  <w:t xml:space="preserve">- Peer-to-peer payments </w:t>
                </w:r>
              </w:p>
              <w:p w:rsidRPr="00000000" w:rsidR="00000000" w:rsidDel="00000000" w:rsidP="00000000" w:rsidRDefault="00000000" w14:paraId="000002A0">
                <w:pPr>
                  <w:spacing w:after="0" w:line="276" w:lineRule="auto"/>
                  <w:jc w:val="both"/>
                  <w:rPr/>
                </w:pPr>
                <w:r w:rsidRPr="00000000" w:rsidDel="00000000" w:rsidR="00000000">
                  <w:rPr>
                    <w:rtl w:val="0"/>
                  </w:rPr>
                  <w:t xml:space="preserve">- Mobile crypto wallets </w:t>
                </w:r>
              </w:p>
              <w:p w:rsidRPr="00000000" w:rsidR="00000000" w:rsidDel="00000000" w:rsidP="00000000" w:rsidRDefault="00000000" w14:paraId="000002A1">
                <w:pPr>
                  <w:spacing w:after="0" w:line="276" w:lineRule="auto"/>
                  <w:jc w:val="both"/>
                  <w:rPr/>
                </w:pPr>
                <w:r w:rsidRPr="00000000" w:rsidDel="00000000" w:rsidR="00000000">
                  <w:rPr>
                    <w:rtl w:val="0"/>
                  </w:rPr>
                  <w:t xml:space="preserve">- Use of stablecoins </w:t>
                </w:r>
              </w:p>
            </w:tc>
            <w:tc>
              <w:tcPr>
                <w:shd w:val="clear" w:fill="auto"/>
                <w:tcMar>
                  <w:top w:w="100.0" w:type="dxa"/>
                  <w:left w:w="100.0" w:type="dxa"/>
                  <w:bottom w:w="100.0" w:type="dxa"/>
                  <w:right w:w="100.0" w:type="dxa"/>
                </w:tcMar>
                <w:vAlign w:val="top"/>
              </w:tcPr>
              <w:p w:rsidRPr="00000000" w:rsidR="00000000" w:rsidDel="00000000" w:rsidP="00000000" w:rsidRDefault="00000000" w14:paraId="000002A2">
                <w:pPr>
                  <w:spacing w:after="0" w:line="276" w:lineRule="auto"/>
                  <w:jc w:val="both"/>
                  <w:rPr/>
                </w:pPr>
                <w:r w:rsidRPr="00000000" w:rsidDel="00000000" w:rsidR="00000000">
                  <w:rPr>
                    <w:rtl w:val="0"/>
                  </w:rPr>
                  <w:t xml:space="preserve">Limited banking infrastructure; crypto used for financial inclusion, remittances, and inflation protection</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A3">
                <w:pPr>
                  <w:spacing w:after="0" w:line="276" w:lineRule="auto"/>
                  <w:jc w:val="both"/>
                  <w:rPr/>
                </w:pPr>
                <w:r w:rsidRPr="00000000" w:rsidDel="00000000" w:rsidR="00000000">
                  <w:rPr>
                    <w:rtl w:val="0"/>
                  </w:rPr>
                  <w:t xml:space="preserve">Asia (China, Japan, South Korea)</w:t>
                </w:r>
              </w:p>
            </w:tc>
            <w:tc>
              <w:tcPr>
                <w:shd w:val="clear" w:fill="auto"/>
                <w:tcMar>
                  <w:top w:w="100.0" w:type="dxa"/>
                  <w:left w:w="100.0" w:type="dxa"/>
                  <w:bottom w:w="100.0" w:type="dxa"/>
                  <w:right w:w="100.0" w:type="dxa"/>
                </w:tcMar>
                <w:vAlign w:val="top"/>
              </w:tcPr>
              <w:p w:rsidRPr="00000000" w:rsidR="00000000" w:rsidDel="00000000" w:rsidP="00000000" w:rsidRDefault="00000000" w14:paraId="000002A4">
                <w:pPr>
                  <w:spacing w:after="0" w:line="276" w:lineRule="auto"/>
                  <w:jc w:val="both"/>
                  <w:rPr/>
                </w:pPr>
                <w:r w:rsidRPr="00000000" w:rsidDel="00000000" w:rsidR="00000000">
                  <w:rPr>
                    <w:rtl w:val="0"/>
                  </w:rPr>
                  <w:t xml:space="preserve">- Trading (spot and derivatives) </w:t>
                </w:r>
              </w:p>
              <w:p w:rsidRPr="00000000" w:rsidR="00000000" w:rsidDel="00000000" w:rsidP="00000000" w:rsidRDefault="00000000" w14:paraId="000002A5">
                <w:pPr>
                  <w:spacing w:after="0" w:line="276" w:lineRule="auto"/>
                  <w:jc w:val="both"/>
                  <w:rPr/>
                </w:pPr>
                <w:r w:rsidRPr="00000000" w:rsidDel="00000000" w:rsidR="00000000">
                  <w:rPr>
                    <w:rtl w:val="0"/>
                  </w:rPr>
                  <w:t xml:space="preserve">- NFTs and gaming </w:t>
                </w:r>
              </w:p>
              <w:p w:rsidRPr="00000000" w:rsidR="00000000" w:rsidDel="00000000" w:rsidP="00000000" w:rsidRDefault="00000000" w14:paraId="000002A6">
                <w:pPr>
                  <w:spacing w:after="0" w:line="276" w:lineRule="auto"/>
                  <w:jc w:val="both"/>
                  <w:rPr/>
                </w:pPr>
                <w:r w:rsidRPr="00000000" w:rsidDel="00000000" w:rsidR="00000000">
                  <w:rPr>
                    <w:rtl w:val="0"/>
                  </w:rPr>
                  <w:t xml:space="preserve">- Payments and merchant adoption (Japan, South Korea)</w:t>
                </w:r>
              </w:p>
            </w:tc>
            <w:tc>
              <w:tcPr>
                <w:shd w:val="clear" w:fill="auto"/>
                <w:tcMar>
                  <w:top w:w="100.0" w:type="dxa"/>
                  <w:left w:w="100.0" w:type="dxa"/>
                  <w:bottom w:w="100.0" w:type="dxa"/>
                  <w:right w:w="100.0" w:type="dxa"/>
                </w:tcMar>
                <w:vAlign w:val="top"/>
              </w:tcPr>
              <w:p w:rsidRPr="00000000" w:rsidR="00000000" w:rsidDel="00000000" w:rsidP="00000000" w:rsidRDefault="00000000" w14:paraId="000002A7">
                <w:pPr>
                  <w:spacing w:after="0" w:line="276" w:lineRule="auto"/>
                  <w:jc w:val="both"/>
                  <w:rPr/>
                </w:pPr>
                <w:r w:rsidRPr="00000000" w:rsidDel="00000000" w:rsidR="00000000">
                  <w:rPr>
                    <w:rtl w:val="0"/>
                  </w:rPr>
                  <w:t xml:space="preserve">China has strict crypto bans; Japan and South Korea have regulated markets with high retail participation.</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A8">
                <w:pPr>
                  <w:spacing w:after="0" w:line="276" w:lineRule="auto"/>
                  <w:jc w:val="both"/>
                  <w:rPr/>
                </w:pPr>
                <w:r w:rsidRPr="00000000" w:rsidDel="00000000" w:rsidR="00000000">
                  <w:rPr>
                    <w:rtl w:val="0"/>
                  </w:rPr>
                  <w:t xml:space="preserve">Southeast Asia</w:t>
                </w:r>
              </w:p>
            </w:tc>
            <w:tc>
              <w:tcPr>
                <w:shd w:val="clear" w:fill="auto"/>
                <w:tcMar>
                  <w:top w:w="100.0" w:type="dxa"/>
                  <w:left w:w="100.0" w:type="dxa"/>
                  <w:bottom w:w="100.0" w:type="dxa"/>
                  <w:right w:w="100.0" w:type="dxa"/>
                </w:tcMar>
                <w:vAlign w:val="top"/>
              </w:tcPr>
              <w:p w:rsidRPr="00000000" w:rsidR="00000000" w:rsidDel="00000000" w:rsidP="00000000" w:rsidRDefault="00000000" w14:paraId="000002A9">
                <w:pPr>
                  <w:spacing w:after="0" w:line="276" w:lineRule="auto"/>
                  <w:jc w:val="both"/>
                  <w:rPr/>
                </w:pPr>
                <w:r w:rsidRPr="00000000" w:rsidDel="00000000" w:rsidR="00000000">
                  <w:rPr>
                    <w:rtl w:val="0"/>
                  </w:rPr>
                  <w:t xml:space="preserve">- Remittances </w:t>
                </w:r>
              </w:p>
              <w:p w:rsidRPr="00000000" w:rsidR="00000000" w:rsidDel="00000000" w:rsidP="00000000" w:rsidRDefault="00000000" w14:paraId="000002AA">
                <w:pPr>
                  <w:spacing w:after="0" w:line="276" w:lineRule="auto"/>
                  <w:jc w:val="both"/>
                  <w:rPr/>
                </w:pPr>
                <w:r w:rsidRPr="00000000" w:rsidDel="00000000" w:rsidR="00000000">
                  <w:rPr>
                    <w:rtl w:val="0"/>
                  </w:rPr>
                  <w:t xml:space="preserve">- Payments </w:t>
                </w:r>
              </w:p>
              <w:p w:rsidRPr="00000000" w:rsidR="00000000" w:rsidDel="00000000" w:rsidP="00000000" w:rsidRDefault="00000000" w14:paraId="000002AB">
                <w:pPr>
                  <w:spacing w:after="0" w:line="276" w:lineRule="auto"/>
                  <w:jc w:val="both"/>
                  <w:rPr/>
                </w:pPr>
                <w:r w:rsidRPr="00000000" w:rsidDel="00000000" w:rsidR="00000000">
                  <w:rPr>
                    <w:rtl w:val="0"/>
                  </w:rPr>
                  <w:t xml:space="preserve">- Trading and DeFi </w:t>
                </w:r>
              </w:p>
              <w:p w:rsidRPr="00000000" w:rsidR="00000000" w:rsidDel="00000000" w:rsidP="00000000" w:rsidRDefault="00000000" w14:paraId="000002AC">
                <w:pPr>
                  <w:spacing w:after="0" w:line="276" w:lineRule="auto"/>
                  <w:jc w:val="both"/>
                  <w:rPr/>
                </w:pPr>
                <w:r w:rsidRPr="00000000" w:rsidDel="00000000" w:rsidR="00000000">
                  <w:rPr>
                    <w:rtl w:val="0"/>
                  </w:rPr>
                  <w:t xml:space="preserve">- Use of stablecoins</w:t>
                </w:r>
              </w:p>
            </w:tc>
            <w:tc>
              <w:tcPr>
                <w:shd w:val="clear" w:fill="auto"/>
                <w:tcMar>
                  <w:top w:w="100.0" w:type="dxa"/>
                  <w:left w:w="100.0" w:type="dxa"/>
                  <w:bottom w:w="100.0" w:type="dxa"/>
                  <w:right w:w="100.0" w:type="dxa"/>
                </w:tcMar>
                <w:vAlign w:val="top"/>
              </w:tcPr>
              <w:p w:rsidRPr="00000000" w:rsidR="00000000" w:rsidDel="00000000" w:rsidP="00000000" w:rsidRDefault="00000000" w14:paraId="000002AD">
                <w:pPr>
                  <w:spacing w:after="0" w:line="276" w:lineRule="auto"/>
                  <w:jc w:val="both"/>
                  <w:rPr/>
                </w:pPr>
                <w:r w:rsidRPr="00000000" w:rsidDel="00000000" w:rsidR="00000000">
                  <w:rPr>
                    <w:rtl w:val="0"/>
                  </w:rPr>
                  <w:t xml:space="preserve">Growing adoption driven by remittances and e-commerce; emerging DeFi ecosystems; regulatory uncertainty varies</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AE">
                <w:pPr>
                  <w:spacing w:after="0" w:line="276" w:lineRule="auto"/>
                  <w:jc w:val="both"/>
                  <w:rPr/>
                </w:pPr>
                <w:r w:rsidRPr="00000000" w:rsidDel="00000000" w:rsidR="00000000">
                  <w:rPr>
                    <w:rtl w:val="0"/>
                  </w:rPr>
                  <w:t xml:space="preserve">Middle East</w:t>
                </w:r>
              </w:p>
            </w:tc>
            <w:tc>
              <w:tcPr>
                <w:shd w:val="clear" w:fill="auto"/>
                <w:tcMar>
                  <w:top w:w="100.0" w:type="dxa"/>
                  <w:left w:w="100.0" w:type="dxa"/>
                  <w:bottom w:w="100.0" w:type="dxa"/>
                  <w:right w:w="100.0" w:type="dxa"/>
                </w:tcMar>
                <w:vAlign w:val="top"/>
              </w:tcPr>
              <w:p w:rsidRPr="00000000" w:rsidR="00000000" w:rsidDel="00000000" w:rsidP="00000000" w:rsidRDefault="00000000" w14:paraId="000002AF">
                <w:pPr>
                  <w:spacing w:after="0" w:line="276" w:lineRule="auto"/>
                  <w:jc w:val="both"/>
                  <w:rPr/>
                </w:pPr>
                <w:r w:rsidRPr="00000000" w:rsidDel="00000000" w:rsidR="00000000">
                  <w:rPr>
                    <w:rtl w:val="0"/>
                  </w:rPr>
                  <w:t xml:space="preserve">- Trading and investment </w:t>
                </w:r>
              </w:p>
              <w:p w:rsidRPr="00000000" w:rsidR="00000000" w:rsidDel="00000000" w:rsidP="00000000" w:rsidRDefault="00000000" w14:paraId="000002B0">
                <w:pPr>
                  <w:spacing w:after="0" w:line="276" w:lineRule="auto"/>
                  <w:jc w:val="both"/>
                  <w:rPr/>
                </w:pPr>
                <w:r w:rsidRPr="00000000" w:rsidDel="00000000" w:rsidR="00000000">
                  <w:rPr>
                    <w:rtl w:val="0"/>
                  </w:rPr>
                  <w:t xml:space="preserve">- Payments </w:t>
                </w:r>
              </w:p>
              <w:p w:rsidRPr="00000000" w:rsidR="00000000" w:rsidDel="00000000" w:rsidP="00000000" w:rsidRDefault="00000000" w14:paraId="000002B1">
                <w:pPr>
                  <w:spacing w:after="0" w:line="276" w:lineRule="auto"/>
                  <w:jc w:val="both"/>
                  <w:rPr/>
                </w:pPr>
                <w:r w:rsidRPr="00000000" w:rsidDel="00000000" w:rsidR="00000000">
                  <w:rPr>
                    <w:rtl w:val="0"/>
                  </w:rPr>
                  <w:t xml:space="preserve">- Use of crypto for cross-border trade</w:t>
                </w:r>
              </w:p>
            </w:tc>
            <w:tc>
              <w:tcPr>
                <w:shd w:val="clear" w:fill="auto"/>
                <w:tcMar>
                  <w:top w:w="100.0" w:type="dxa"/>
                  <w:left w:w="100.0" w:type="dxa"/>
                  <w:bottom w:w="100.0" w:type="dxa"/>
                  <w:right w:w="100.0" w:type="dxa"/>
                </w:tcMar>
                <w:vAlign w:val="top"/>
              </w:tcPr>
              <w:p w:rsidRPr="00000000" w:rsidR="00000000" w:rsidDel="00000000" w:rsidP="00000000" w:rsidRDefault="00000000" w14:paraId="000002B2">
                <w:pPr>
                  <w:spacing w:after="0" w:line="276" w:lineRule="auto"/>
                  <w:jc w:val="both"/>
                  <w:rPr/>
                </w:pPr>
                <w:r w:rsidRPr="00000000" w:rsidDel="00000000" w:rsidR="00000000">
                  <w:rPr>
                    <w:rtl w:val="0"/>
                  </w:rPr>
                  <w:t xml:space="preserve">Increasing interest in crypto as investment and payment tool; regulatory frameworks evolving</w:t>
                </w:r>
              </w:p>
            </w:tc>
          </w:tr>
        </w:tbl>
      </w:sdtContent>
    </w:sdt>
    <w:p w:rsidRPr="00000000" w:rsidR="00000000" w:rsidDel="00000000" w:rsidP="00000000" w:rsidRDefault="00000000" w14:paraId="000002B3">
      <w:pPr>
        <w:spacing w:after="0" w:line="276" w:lineRule="auto"/>
        <w:jc w:val="both"/>
        <w:rPr/>
      </w:pPr>
      <w:r w:rsidRPr="00000000" w:rsidDel="00000000" w:rsidR="00000000">
        <w:rPr>
          <w:rtl w:val="0"/>
        </w:rPr>
      </w:r>
    </w:p>
    <w:p w:rsidRPr="00000000" w:rsidR="00000000" w:rsidDel="00000000" w:rsidP="00000000" w:rsidRDefault="00000000" w14:paraId="000002B4">
      <w:pPr>
        <w:spacing w:after="200" w:line="276" w:lineRule="auto"/>
        <w:rPr>
          <w:b w:val="1"/>
          <w:bCs w:val="1"/>
        </w:rPr>
      </w:pPr>
      <w:r w:rsidRPr="00000000" w:rsidDel="00000000" w:rsidR="00000000">
        <w:rPr>
          <w:b w:val="1"/>
          <w:bCs w:val="1"/>
          <w:rtl w:val="0"/>
        </w:rPr>
        <w:t xml:space="preserve">Table 2. Volume Trends Based on Economic Conditions</w:t>
      </w:r>
    </w:p>
    <w:sdt>
      <w:sdtPr>
        <w:lock w:val="contentLocked"/>
        <w:id w:val="1031977959"/>
        <w:tag w:val="goog_rdk_7"/>
      </w:sdtPr>
      <w:sdtContent>
        <w:tbl>
          <w:tblPr>
            <w:tblStyle w:val="Table16"/>
            <w:tblW w:w="9435.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2970"/>
            <w:gridCol w:w="6465"/>
            <w:tblGridChange w:id="0">
              <w:tblGrid>
                <w:gridCol w:w="2970"/>
                <w:gridCol w:w="6465"/>
              </w:tblGrid>
            </w:tblGridChange>
          </w:tblGrid>
          <w:tr>
            <w:trPr>
              <w:cantSplit w:val="0"/>
              <w:tblHeader w:val="0"/>
            </w:trPr>
            <w:tc>
              <w:tcPr>
                <w:shd w:val="clear" w:fill="f7cbac"/>
                <w:tcMar>
                  <w:top w:w="100.0" w:type="dxa"/>
                  <w:left w:w="100.0" w:type="dxa"/>
                  <w:bottom w:w="100.0" w:type="dxa"/>
                  <w:right w:w="100.0" w:type="dxa"/>
                </w:tcMar>
                <w:vAlign w:val="top"/>
              </w:tcPr>
              <w:p w:rsidRPr="00000000" w:rsidR="00000000" w:rsidDel="00000000" w:rsidP="00000000" w:rsidRDefault="00000000" w14:paraId="000002B5">
                <w:pPr>
                  <w:spacing w:after="0" w:line="276" w:lineRule="auto"/>
                  <w:jc w:val="both"/>
                  <w:rPr>
                    <w:b w:val="1"/>
                    <w:bCs w:val="1"/>
                  </w:rPr>
                </w:pPr>
                <w:r w:rsidRPr="00000000" w:rsidDel="00000000" w:rsidR="00000000">
                  <w:rPr>
                    <w:b w:val="1"/>
                    <w:bCs w:val="1"/>
                    <w:rtl w:val="0"/>
                  </w:rPr>
                  <w:t xml:space="preserve">Economic Condition</w:t>
                </w:r>
              </w:p>
            </w:tc>
            <w:tc>
              <w:tcPr>
                <w:shd w:val="clear" w:fill="f7cbac"/>
                <w:tcMar>
                  <w:top w:w="100.0" w:type="dxa"/>
                  <w:left w:w="100.0" w:type="dxa"/>
                  <w:bottom w:w="100.0" w:type="dxa"/>
                  <w:right w:w="100.0" w:type="dxa"/>
                </w:tcMar>
                <w:vAlign w:val="top"/>
              </w:tcPr>
              <w:p w:rsidRPr="00000000" w:rsidR="00000000" w:rsidDel="00000000" w:rsidP="00000000" w:rsidRDefault="00000000" w14:paraId="000002B6">
                <w:pPr>
                  <w:spacing w:after="0" w:line="276" w:lineRule="auto"/>
                  <w:jc w:val="both"/>
                  <w:rPr>
                    <w:b w:val="1"/>
                    <w:bCs w:val="1"/>
                  </w:rPr>
                </w:pPr>
                <w:r w:rsidRPr="00000000" w:rsidDel="00000000" w:rsidR="00000000">
                  <w:rPr>
                    <w:b w:val="1"/>
                    <w:bCs w:val="1"/>
                    <w:rtl w:val="0"/>
                  </w:rPr>
                  <w:t xml:space="preserve">Impact on Crypto Transaction Volumes</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B7">
                <w:pPr>
                  <w:spacing w:after="0" w:line="276" w:lineRule="auto"/>
                  <w:jc w:val="both"/>
                  <w:rPr/>
                </w:pPr>
                <w:r w:rsidRPr="00000000" w:rsidDel="00000000" w:rsidR="00000000">
                  <w:rPr>
                    <w:rtl w:val="0"/>
                  </w:rPr>
                  <w:t xml:space="preserve">High Inflation / Currency Instability</w:t>
                </w:r>
              </w:p>
            </w:tc>
            <w:tc>
              <w:tcPr>
                <w:shd w:val="clear" w:fill="auto"/>
                <w:tcMar>
                  <w:top w:w="100.0" w:type="dxa"/>
                  <w:left w:w="100.0" w:type="dxa"/>
                  <w:bottom w:w="100.0" w:type="dxa"/>
                  <w:right w:w="100.0" w:type="dxa"/>
                </w:tcMar>
                <w:vAlign w:val="top"/>
              </w:tcPr>
              <w:p w:rsidRPr="00000000" w:rsidR="00000000" w:rsidDel="00000000" w:rsidP="00000000" w:rsidRDefault="00000000" w14:paraId="000002B8">
                <w:pPr>
                  <w:spacing w:after="0" w:line="276" w:lineRule="auto"/>
                  <w:jc w:val="both"/>
                  <w:rPr/>
                </w:pPr>
                <w:r w:rsidRPr="00000000" w:rsidDel="00000000" w:rsidR="00000000">
                  <w:rPr>
                    <w:rtl w:val="0"/>
                  </w:rPr>
                  <w:t xml:space="preserve">Increased volumes in stablecoins and peer-to-peer transfers as users seek to preserve value and send remittances</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B9">
                <w:pPr>
                  <w:spacing w:after="0" w:line="276" w:lineRule="auto"/>
                  <w:jc w:val="both"/>
                  <w:rPr/>
                </w:pPr>
                <w:r w:rsidRPr="00000000" w:rsidDel="00000000" w:rsidR="00000000">
                  <w:rPr>
                    <w:rtl w:val="0"/>
                  </w:rPr>
                  <w:t xml:space="preserve">Strong Economic Growth</w:t>
                </w:r>
              </w:p>
            </w:tc>
            <w:tc>
              <w:tcPr>
                <w:shd w:val="clear" w:fill="auto"/>
                <w:tcMar>
                  <w:top w:w="100.0" w:type="dxa"/>
                  <w:left w:w="100.0" w:type="dxa"/>
                  <w:bottom w:w="100.0" w:type="dxa"/>
                  <w:right w:w="100.0" w:type="dxa"/>
                </w:tcMar>
                <w:vAlign w:val="top"/>
              </w:tcPr>
              <w:p w:rsidRPr="00000000" w:rsidR="00000000" w:rsidDel="00000000" w:rsidP="00000000" w:rsidRDefault="00000000" w14:paraId="000002BA">
                <w:pPr>
                  <w:spacing w:after="0" w:line="276" w:lineRule="auto"/>
                  <w:jc w:val="both"/>
                  <w:rPr/>
                </w:pPr>
                <w:r w:rsidRPr="00000000" w:rsidDel="00000000" w:rsidR="00000000">
                  <w:rPr>
                    <w:rtl w:val="0"/>
                  </w:rPr>
                  <w:t xml:space="preserve">Higher volumes in trading, investment, and DeFi activities; increased institutional participation</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BB">
                <w:pPr>
                  <w:spacing w:after="0" w:line="276" w:lineRule="auto"/>
                  <w:jc w:val="both"/>
                  <w:rPr/>
                </w:pPr>
                <w:r w:rsidRPr="00000000" w:rsidDel="00000000" w:rsidR="00000000">
                  <w:rPr>
                    <w:rtl w:val="0"/>
                  </w:rPr>
                  <w:t xml:space="preserve">Regulatory Crackdowns</w:t>
                </w:r>
              </w:p>
            </w:tc>
            <w:tc>
              <w:tcPr>
                <w:shd w:val="clear" w:fill="auto"/>
                <w:tcMar>
                  <w:top w:w="100.0" w:type="dxa"/>
                  <w:left w:w="100.0" w:type="dxa"/>
                  <w:bottom w:w="100.0" w:type="dxa"/>
                  <w:right w:w="100.0" w:type="dxa"/>
                </w:tcMar>
                <w:vAlign w:val="top"/>
              </w:tcPr>
              <w:p w:rsidRPr="00000000" w:rsidR="00000000" w:rsidDel="00000000" w:rsidP="00000000" w:rsidRDefault="00000000" w14:paraId="000002BC">
                <w:pPr>
                  <w:spacing w:after="0" w:line="276" w:lineRule="auto"/>
                  <w:jc w:val="both"/>
                  <w:rPr/>
                </w:pPr>
                <w:r w:rsidRPr="00000000" w:rsidDel="00000000" w:rsidR="00000000">
                  <w:rPr>
                    <w:rtl w:val="0"/>
                  </w:rPr>
                  <w:t xml:space="preserve">Decrease in on-chain volumes in affected regions; shift to decentralized or peer-to-peer transactions; use of privacy coins</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BD">
                <w:pPr>
                  <w:spacing w:after="0" w:line="276" w:lineRule="auto"/>
                  <w:jc w:val="both"/>
                  <w:rPr/>
                </w:pPr>
                <w:r w:rsidRPr="00000000" w:rsidDel="00000000" w:rsidR="00000000">
                  <w:rPr>
                    <w:rtl w:val="0"/>
                  </w:rPr>
                  <w:t xml:space="preserve">Limited Banking Access</w:t>
                </w:r>
              </w:p>
            </w:tc>
            <w:tc>
              <w:tcPr>
                <w:shd w:val="clear" w:fill="auto"/>
                <w:tcMar>
                  <w:top w:w="100.0" w:type="dxa"/>
                  <w:left w:w="100.0" w:type="dxa"/>
                  <w:bottom w:w="100.0" w:type="dxa"/>
                  <w:right w:w="100.0" w:type="dxa"/>
                </w:tcMar>
                <w:vAlign w:val="top"/>
              </w:tcPr>
              <w:p w:rsidRPr="00000000" w:rsidR="00000000" w:rsidDel="00000000" w:rsidP="00000000" w:rsidRDefault="00000000" w14:paraId="000002BE">
                <w:pPr>
                  <w:spacing w:after="0" w:line="276" w:lineRule="auto"/>
                  <w:jc w:val="both"/>
                  <w:rPr/>
                </w:pPr>
                <w:r w:rsidRPr="00000000" w:rsidDel="00000000" w:rsidR="00000000">
                  <w:rPr>
                    <w:rtl w:val="0"/>
                  </w:rPr>
                  <w:t xml:space="preserve">Higher volumes in crypto payments and remittances; mobile wallet usage surges</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BF">
                <w:pPr>
                  <w:spacing w:after="0" w:line="276" w:lineRule="auto"/>
                  <w:jc w:val="both"/>
                  <w:rPr/>
                </w:pPr>
                <w:r w:rsidRPr="00000000" w:rsidDel="00000000" w:rsidR="00000000">
                  <w:rPr>
                    <w:rtl w:val="0"/>
                  </w:rPr>
                  <w:t xml:space="preserve">Technological Infrastructure</w:t>
                </w:r>
              </w:p>
            </w:tc>
            <w:tc>
              <w:tcPr>
                <w:shd w:val="clear" w:fill="auto"/>
                <w:tcMar>
                  <w:top w:w="100.0" w:type="dxa"/>
                  <w:left w:w="100.0" w:type="dxa"/>
                  <w:bottom w:w="100.0" w:type="dxa"/>
                  <w:right w:w="100.0" w:type="dxa"/>
                </w:tcMar>
                <w:vAlign w:val="top"/>
              </w:tcPr>
              <w:p w:rsidRPr="00000000" w:rsidR="00000000" w:rsidDel="00000000" w:rsidP="00000000" w:rsidRDefault="00000000" w14:paraId="000002C0">
                <w:pPr>
                  <w:spacing w:after="0" w:line="276" w:lineRule="auto"/>
                  <w:jc w:val="both"/>
                  <w:rPr/>
                </w:pPr>
                <w:r w:rsidRPr="00000000" w:rsidDel="00000000" w:rsidR="00000000">
                  <w:rPr>
                    <w:rtl w:val="0"/>
                  </w:rPr>
                  <w:t xml:space="preserve">Regions with better internet and smartphone penetration see higher volumes in DeFi, NFTs, and complex crypto services</w:t>
                </w:r>
              </w:p>
            </w:tc>
          </w:tr>
        </w:tbl>
      </w:sdtContent>
    </w:sdt>
    <w:p w:rsidRPr="00000000" w:rsidR="00000000" w:rsidDel="00000000" w:rsidP="00000000" w:rsidRDefault="00000000" w14:paraId="000002C1">
      <w:pPr>
        <w:spacing w:after="0" w:line="276" w:lineRule="auto"/>
        <w:jc w:val="both"/>
        <w:rPr/>
      </w:pPr>
      <w:r w:rsidRPr="00000000" w:rsidDel="00000000" w:rsidR="00000000">
        <w:rPr>
          <w:rtl w:val="0"/>
        </w:rPr>
      </w:r>
    </w:p>
    <w:p w:rsidRPr="00000000" w:rsidR="00000000" w:rsidDel="00000000" w:rsidP="00000000" w:rsidRDefault="00000000" w14:paraId="000002C2">
      <w:pPr>
        <w:pStyle w:val="Heading2"/>
        <w:numPr>
          <w:ilvl w:val="1"/>
          <w:numId w:val="25"/>
        </w:numPr>
        <w:spacing w:after="240" w:lineRule="auto"/>
        <w:ind w:left="720"/>
        <w:jc w:val="both"/>
        <w:rPr/>
      </w:pPr>
      <w:bookmarkStart w:name="_heading=h.xt0qxgh344bj" w:colFirst="0" w:colLast="0" w:id="103"/>
      <w:bookmarkEnd w:id="103"/>
      <w:r w:rsidRPr="00000000" w:rsidDel="00000000" w:rsidR="00000000">
        <w:rPr>
          <w:rFonts w:ascii="Arial" w:hAnsi="Arial" w:eastAsia="Arial" w:cs="Arial"/>
          <w:sz w:val="24"/>
          <w:szCs w:val="24"/>
          <w:rtl w:val="0"/>
        </w:rPr>
        <w:t xml:space="preserve">External Searches and </w:t>
      </w:r>
      <w:r w:rsidRPr="00000000" w:rsidDel="00000000" w:rsidR="00000000">
        <w:rPr>
          <w:rFonts w:ascii="Arial" w:hAnsi="Arial" w:eastAsia="Arial" w:cs="Arial"/>
          <w:sz w:val="24"/>
          <w:szCs w:val="24"/>
          <w:rtl w:val="0"/>
        </w:rPr>
        <w:t xml:space="preserve">Adverse Media Screening</w:t>
      </w:r>
      <w:r w:rsidRPr="00000000" w:rsidDel="00000000" w:rsidR="00000000">
        <w:rPr>
          <w:rtl w:val="0"/>
        </w:rPr>
      </w:r>
    </w:p>
    <w:p w:rsidRPr="00000000" w:rsidR="00000000" w:rsidDel="00000000" w:rsidP="00000000" w:rsidRDefault="00000000" w14:paraId="000002C3">
      <w:pPr>
        <w:numPr>
          <w:ilvl w:val="2"/>
          <w:numId w:val="25"/>
        </w:numPr>
        <w:spacing w:after="240" w:lineRule="auto"/>
        <w:ind w:left="720" w:hanging="720"/>
        <w:jc w:val="both"/>
        <w:rPr/>
      </w:pPr>
      <w:r w:rsidRPr="00000000" w:rsidDel="00000000" w:rsidR="00000000">
        <w:rPr>
          <w:rtl w:val="0"/>
        </w:rPr>
        <w:t xml:space="preserve">External searches on the subject and/or counterparties of alerted transaction(s) may be needed to obtain background information and/or positive news. This research may play a key role in the decision to close an alert with confidence. The purpose of adverse media searches is to ascertain if there are reasons for deeming behaviour to be unusual for the subject and/or counterparties, identifying if:</w:t>
      </w:r>
    </w:p>
    <w:p w:rsidRPr="00000000" w:rsidR="00000000" w:rsidDel="00000000" w:rsidP="00000000" w:rsidRDefault="00000000" w14:paraId="000002C4">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any evidence can be found which indicates that the alerted activity for the subject may be unusual or of concern; and/or</w:t>
      </w:r>
    </w:p>
    <w:p w:rsidRPr="00000000" w:rsidR="00000000" w:rsidDel="00000000" w:rsidP="00000000" w:rsidRDefault="00000000" w14:paraId="000002C5">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any adverse media which indicates that the customer may pose financial crime risk (e.g. association to alleged criminal activity).</w:t>
      </w:r>
    </w:p>
    <w:p w:rsidRPr="00000000" w:rsidR="00000000" w:rsidDel="00000000" w:rsidP="00000000" w:rsidRDefault="00000000" w14:paraId="000002C6">
      <w:pPr>
        <w:spacing w:after="240" w:lineRule="auto"/>
        <w:ind w:left="720" w:firstLine="0"/>
        <w:jc w:val="both"/>
        <w:rPr/>
      </w:pPr>
      <w:r w:rsidRPr="00000000" w:rsidDel="00000000" w:rsidR="00000000">
        <w:rPr>
          <w:rtl w:val="0"/>
        </w:rPr>
        <w:t xml:space="preserve">Further details on the adverse media screening process can be found in the Off-chain and On-chain Step by Step Guides.</w:t>
      </w:r>
    </w:p>
    <w:p w:rsidRPr="00000000" w:rsidR="00000000" w:rsidDel="00000000" w:rsidP="00000000" w:rsidRDefault="00000000" w14:paraId="000002C7">
      <w:pPr>
        <w:numPr>
          <w:ilvl w:val="2"/>
          <w:numId w:val="25"/>
        </w:numPr>
        <w:spacing w:after="240" w:lineRule="auto"/>
        <w:ind w:left="720" w:hanging="720"/>
        <w:jc w:val="both"/>
        <w:rPr/>
      </w:pPr>
      <w:r w:rsidRPr="00000000" w:rsidDel="00000000" w:rsidR="00000000">
        <w:rPr>
          <w:rtl w:val="0"/>
        </w:rPr>
        <w:t xml:space="preserve">Adverse media searches should be performed on counterparties which relate to alerted transactions during the Case Analysis stage:</w:t>
      </w:r>
    </w:p>
    <w:p w:rsidRPr="00000000" w:rsidR="00000000" w:rsidDel="00000000" w:rsidP="00000000" w:rsidRDefault="00000000" w14:paraId="000002C8">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Internet Search (Google) for Subjects</w:t>
      </w:r>
      <w:r w:rsidRPr="00000000" w:rsidDel="00000000" w:rsidR="00000000">
        <w:rPr>
          <w:i w:val="0"/>
          <w:iCs w:val="0"/>
          <w:smallCaps w:val="0"/>
          <w:strike w:val="0"/>
          <w:color w:val="000000"/>
          <w:sz w:val="22"/>
          <w:szCs w:val="22"/>
          <w:u w:val="none"/>
          <w:shd w:val="clear" w:fill="auto"/>
          <w:vertAlign w:val="baseline"/>
          <w:rtl w:val="0"/>
        </w:rPr>
        <w:t xml:space="preserve">: Searches on individuals or entities to obtain background may play a key role in the decision making.  Searches can be on companies, individuals and may include subjects or counterparties.</w:t>
      </w:r>
    </w:p>
    <w:p w:rsidRPr="00000000" w:rsidR="00000000" w:rsidDel="00000000" w:rsidP="00000000" w:rsidRDefault="00000000" w14:paraId="000002C9">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Internet Search (Google) for Business Existence and/or On-Line presence</w:t>
      </w:r>
      <w:r w:rsidRPr="00000000" w:rsidDel="00000000" w:rsidR="00000000">
        <w:rPr>
          <w:i w:val="0"/>
          <w:iCs w:val="0"/>
          <w:smallCaps w:val="0"/>
          <w:strike w:val="0"/>
          <w:color w:val="000000"/>
          <w:sz w:val="22"/>
          <w:szCs w:val="22"/>
          <w:u w:val="none"/>
          <w:shd w:val="clear" w:fill="auto"/>
          <w:vertAlign w:val="baseline"/>
          <w:rtl w:val="0"/>
        </w:rPr>
        <w:t xml:space="preserve">: Searches on a company or business may verify that it exists and/or validate the type of business.</w:t>
      </w:r>
    </w:p>
    <w:p w:rsidRPr="00000000" w:rsidR="00000000" w:rsidDel="00000000" w:rsidP="00000000" w:rsidRDefault="00000000" w14:paraId="000002CA">
      <w:pPr>
        <w:numPr>
          <w:ilvl w:val="2"/>
          <w:numId w:val="25"/>
        </w:numPr>
        <w:spacing w:after="240" w:lineRule="auto"/>
        <w:ind w:left="720" w:hanging="720"/>
        <w:jc w:val="both"/>
        <w:rPr/>
      </w:pPr>
      <w:r w:rsidRPr="00000000" w:rsidDel="00000000" w:rsidR="00000000">
        <w:rPr>
          <w:rtl w:val="0"/>
        </w:rPr>
        <w:t xml:space="preserve">Google search of the user’s name with keyword string is a mandatory part of the CDD process. The analysts should refer to respective Step by Step Guides for revised string search defined. In the event of a subaccount review, the parent account should be analyzed for OSINT and information leveraged as a part of the holistic review process. </w:t>
      </w:r>
    </w:p>
    <w:p w:rsidRPr="00000000" w:rsidR="00000000" w:rsidDel="00000000" w:rsidP="00000000" w:rsidRDefault="00000000" w14:paraId="000002CB">
      <w:pPr>
        <w:numPr>
          <w:ilvl w:val="2"/>
          <w:numId w:val="25"/>
        </w:numPr>
        <w:spacing w:after="240" w:lineRule="auto"/>
        <w:ind w:left="720" w:hanging="720"/>
        <w:jc w:val="both"/>
        <w:rPr/>
      </w:pPr>
      <w:r w:rsidRPr="00000000" w:rsidDel="00000000" w:rsidR="00000000">
        <w:rPr>
          <w:rtl w:val="0"/>
        </w:rPr>
        <w:t xml:space="preserve">In addition to string searches on Google, it may be appropriate to search street view on Google Maps to ensure that the property exists, whether it is located in a commercial or residential area, whether it appears to be a corporate service provider address or a mailbox service. </w:t>
      </w:r>
    </w:p>
    <w:p w:rsidRPr="00000000" w:rsidR="00000000" w:rsidDel="00000000" w:rsidP="00000000" w:rsidRDefault="00000000" w14:paraId="000002CC">
      <w:pPr>
        <w:numPr>
          <w:ilvl w:val="2"/>
          <w:numId w:val="25"/>
        </w:numPr>
        <w:spacing w:after="240" w:lineRule="auto"/>
        <w:ind w:left="720" w:hanging="720"/>
        <w:jc w:val="both"/>
        <w:rPr/>
      </w:pPr>
      <w:r w:rsidRPr="00000000" w:rsidDel="00000000" w:rsidR="00000000">
        <w:rPr>
          <w:rtl w:val="0"/>
        </w:rPr>
        <w:t xml:space="preserve">Locally available search engines should also be used, where available, i.e. language-specific search engines. </w:t>
      </w:r>
    </w:p>
    <w:p w:rsidRPr="00000000" w:rsidR="00000000" w:rsidDel="00000000" w:rsidP="00000000" w:rsidRDefault="00000000" w14:paraId="000002CD">
      <w:pPr>
        <w:numPr>
          <w:ilvl w:val="2"/>
          <w:numId w:val="25"/>
        </w:numPr>
        <w:spacing w:after="240" w:lineRule="auto"/>
        <w:ind w:left="720" w:hanging="720"/>
        <w:jc w:val="both"/>
        <w:rPr/>
      </w:pPr>
      <w:r w:rsidRPr="00000000" w:rsidDel="00000000" w:rsidR="00000000">
        <w:rPr>
          <w:rtl w:val="0"/>
        </w:rPr>
        <w:t xml:space="preserve">The focus of the Case Analysis phase is to establish whether the case can be closed or requires an escalation to FCI.  External research to establish positive facts may not be needed in every case to establish that no unusual activity is present and the case can be closed.  However, the Analyst may need to conduct external research to establish positive facts for a counterparty or a non-Binance customer. </w:t>
      </w:r>
    </w:p>
    <w:p w:rsidRPr="00000000" w:rsidR="00000000" w:rsidDel="00000000" w:rsidP="00000000" w:rsidRDefault="00000000" w14:paraId="000002CE">
      <w:pPr>
        <w:numPr>
          <w:ilvl w:val="2"/>
          <w:numId w:val="25"/>
        </w:numPr>
        <w:spacing w:after="240" w:lineRule="auto"/>
        <w:ind w:left="720" w:hanging="720"/>
        <w:jc w:val="both"/>
        <w:rPr/>
      </w:pPr>
      <w:r w:rsidRPr="00000000" w:rsidDel="00000000" w:rsidR="00000000">
        <w:rPr>
          <w:rtl w:val="0"/>
        </w:rPr>
        <w:t xml:space="preserve">Positive facts would be those that help establish no financial crime risk is present, i.e. establishing the existence of a business, the nature of a business, the geographical location of a company, etc.  Positive facts are those facts that aid in assessing that the activity is consistent and poses no risk.  For example, positive facts could establish a change of employment for a user.  Positive facts gathered from external research help explain the transactions that have alerted and can provide evidence of why volume, currency type, value or transaction type may have changed significantly from previous behaviour.</w:t>
      </w:r>
    </w:p>
    <w:p w:rsidRPr="00000000" w:rsidR="00000000" w:rsidDel="00000000" w:rsidP="00000000" w:rsidRDefault="00000000" w14:paraId="000002CF">
      <w:pPr>
        <w:numPr>
          <w:ilvl w:val="2"/>
          <w:numId w:val="25"/>
        </w:numPr>
        <w:spacing w:after="240" w:lineRule="auto"/>
        <w:ind w:left="720" w:hanging="720"/>
        <w:jc w:val="both"/>
        <w:rPr/>
      </w:pPr>
      <w:r w:rsidRPr="00000000" w:rsidDel="00000000" w:rsidR="00000000">
        <w:rPr>
          <w:rtl w:val="0"/>
        </w:rPr>
        <w:t xml:space="preserve">Caution must be applied when using third party websites. Information obtained must be assessed for credibility.  For example, more reliance can be placed on an official government source or respected newspaper rather than a tabloid.  Information obtained from social media and blogs should be viewed as anecdotal and full reliance cannot be placed upon information gathered from such sources without such being verified by a credible source.</w:t>
      </w:r>
    </w:p>
    <w:p w:rsidRPr="00000000" w:rsidR="00000000" w:rsidDel="00000000" w:rsidP="00000000" w:rsidRDefault="00000000" w14:paraId="000002D0">
      <w:pPr>
        <w:numPr>
          <w:ilvl w:val="2"/>
          <w:numId w:val="25"/>
        </w:numPr>
        <w:spacing w:after="0" w:lineRule="auto"/>
        <w:ind w:left="720" w:hanging="720"/>
        <w:jc w:val="both"/>
        <w:rPr>
          <w:highlight w:val="white"/>
        </w:rPr>
      </w:pPr>
      <w:bookmarkStart w:name="_heading=h.1n2zc7w2jh0y" w:colFirst="0" w:colLast="0" w:id="104"/>
      <w:bookmarkEnd w:id="104"/>
      <w:r w:rsidRPr="00000000" w:rsidDel="00000000" w:rsidR="00000000">
        <w:rPr>
          <w:rtl w:val="0"/>
        </w:rPr>
        <w:t xml:space="preserve">Guidance principles for adverse media searches are set out below. These principles are meant to enable judgment-based decisions on whether screening of a particular counterparty is required within a case.  </w:t>
      </w:r>
    </w:p>
    <w:p w:rsidRPr="00000000" w:rsidR="00000000" w:rsidDel="00000000" w:rsidP="00000000" w:rsidRDefault="00000000" w14:paraId="000002D1">
      <w:pPr>
        <w:spacing w:after="0" w:lineRule="auto"/>
        <w:ind w:left="720" w:firstLine="0"/>
        <w:jc w:val="both"/>
        <w:rPr/>
      </w:pPr>
      <w:bookmarkStart w:name="_heading=h.pova6qwqea4s" w:colFirst="0" w:colLast="0" w:id="105"/>
      <w:bookmarkEnd w:id="105"/>
      <w:r w:rsidRPr="00000000" w:rsidDel="00000000" w:rsidR="00000000">
        <w:rPr>
          <w:rtl w:val="0"/>
        </w:rPr>
      </w:r>
    </w:p>
    <w:p w:rsidRPr="00000000" w:rsidR="00000000" w:rsidDel="00000000" w:rsidP="00000000" w:rsidRDefault="00000000" w14:paraId="000002D2">
      <w:pPr>
        <w:spacing w:after="0" w:lineRule="auto"/>
        <w:jc w:val="both"/>
        <w:rPr>
          <w:highlight w:val="white"/>
        </w:rPr>
      </w:pPr>
      <w:r w:rsidRPr="00000000" w:rsidDel="00000000" w:rsidR="00000000">
        <w:rPr>
          <w:rtl w:val="0"/>
        </w:rPr>
      </w:r>
    </w:p>
    <w:tbl>
      <w:tblPr>
        <w:tblStyle w:val="Table17"/>
        <w:tblW w:w="8250.0" w:type="dxa"/>
        <w:jc w:val="left"/>
        <w:tblInd w:w="76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315"/>
        <w:gridCol w:w="255"/>
        <w:gridCol w:w="7680"/>
        <w:tblGridChange w:id="0">
          <w:tblGrid>
            <w:gridCol w:w="315"/>
            <w:gridCol w:w="255"/>
            <w:gridCol w:w="7680"/>
          </w:tblGrid>
        </w:tblGridChange>
      </w:tblGrid>
      <w:tr>
        <w:trPr>
          <w:cantSplit w:val="0"/>
          <w:trHeight w:val="373.5546875" w:hRule="atLeast"/>
          <w:tblHeader w:val="0"/>
        </w:trPr>
        <w:tc>
          <w:tcPr>
            <w:gridSpan w:val="3"/>
            <w:shd w:val="clear" w:fill="f7cbac"/>
            <w:vAlign w:val="center"/>
          </w:tcPr>
          <w:p w:rsidRPr="00000000" w:rsidR="00000000" w:rsidDel="00000000" w:rsidP="00000000" w:rsidRDefault="00000000" w14:paraId="000002D3">
            <w:pPr>
              <w:jc w:val="both"/>
              <w:rPr>
                <w:b w:val="1"/>
                <w:bCs w:val="1"/>
              </w:rPr>
            </w:pPr>
            <w:r w:rsidRPr="00000000" w:rsidDel="00000000" w:rsidR="00000000">
              <w:rPr>
                <w:b w:val="1"/>
                <w:bCs w:val="1"/>
                <w:rtl w:val="0"/>
              </w:rPr>
              <w:t xml:space="preserve">Guidance principles</w:t>
            </w:r>
          </w:p>
        </w:tc>
      </w:tr>
      <w:tr>
        <w:trPr>
          <w:cantSplit w:val="0"/>
          <w:trHeight w:val="220" w:hRule="atLeast"/>
          <w:tblHeader w:val="0"/>
        </w:trPr>
        <w:tc>
          <w:tcPr>
            <w:gridSpan w:val="2"/>
          </w:tcPr>
          <w:p w:rsidRPr="00000000" w:rsidR="00000000" w:rsidDel="00000000" w:rsidP="00000000" w:rsidRDefault="00000000" w14:paraId="000002D6">
            <w:pPr>
              <w:jc w:val="center"/>
              <w:rPr>
                <w:highlight w:val="white"/>
              </w:rPr>
            </w:pPr>
            <w:r w:rsidRPr="00000000" w:rsidDel="00000000" w:rsidR="00000000">
              <w:rPr>
                <w:highlight w:val="white"/>
                <w:rtl w:val="0"/>
              </w:rPr>
              <w:t xml:space="preserve">1</w:t>
            </w:r>
          </w:p>
        </w:tc>
        <w:tc>
          <w:tcPr/>
          <w:p w:rsidRPr="00000000" w:rsidR="00000000" w:rsidDel="00000000" w:rsidP="00000000" w:rsidRDefault="00000000" w14:paraId="000002D8">
            <w:pPr>
              <w:spacing w:line="276" w:lineRule="auto"/>
              <w:jc w:val="both"/>
              <w:rPr>
                <w:highlight w:val="white"/>
              </w:rPr>
            </w:pPr>
            <w:r w:rsidRPr="00000000" w:rsidDel="00000000" w:rsidR="00000000">
              <w:rPr>
                <w:rtl w:val="0"/>
              </w:rPr>
              <w:t xml:space="preserve">When the rationale for the transaction between the subject and a connected counterparty can be established, Analysts should assess if an adverse media search is required.</w:t>
            </w:r>
            <w:r w:rsidRPr="00000000" w:rsidDel="00000000" w:rsidR="00000000">
              <w:rPr>
                <w:rtl w:val="0"/>
              </w:rPr>
            </w:r>
          </w:p>
        </w:tc>
      </w:tr>
      <w:tr>
        <w:trPr>
          <w:cantSplit w:val="0"/>
          <w:trHeight w:val="220" w:hRule="atLeast"/>
          <w:tblHeader w:val="0"/>
        </w:trPr>
        <w:tc>
          <w:tcPr>
            <w:gridSpan w:val="2"/>
          </w:tcPr>
          <w:p w:rsidRPr="00000000" w:rsidR="00000000" w:rsidDel="00000000" w:rsidP="00000000" w:rsidRDefault="00000000" w14:paraId="000002D9">
            <w:pPr>
              <w:jc w:val="center"/>
              <w:rPr>
                <w:highlight w:val="white"/>
              </w:rPr>
            </w:pPr>
            <w:r w:rsidRPr="00000000" w:rsidDel="00000000" w:rsidR="00000000">
              <w:rPr>
                <w:highlight w:val="white"/>
                <w:rtl w:val="0"/>
              </w:rPr>
              <w:t xml:space="preserve">2</w:t>
            </w:r>
          </w:p>
        </w:tc>
        <w:tc>
          <w:tcPr/>
          <w:p w:rsidRPr="00000000" w:rsidR="00000000" w:rsidDel="00000000" w:rsidP="00000000" w:rsidRDefault="00000000" w14:paraId="000002DB">
            <w:pPr>
              <w:spacing w:line="276" w:lineRule="auto"/>
              <w:jc w:val="both"/>
              <w:rPr>
                <w:highlight w:val="white"/>
              </w:rPr>
            </w:pPr>
            <w:r w:rsidRPr="00000000" w:rsidDel="00000000" w:rsidR="00000000">
              <w:rPr>
                <w:rtl w:val="0"/>
              </w:rPr>
              <w:t xml:space="preserve">Analysts should assess if an adverse media search is useful where an individual counterparty has little identifying information (e.g. address, date of birth) available.  Analysts should avoid conducting such searches where no information is available with which to discount received results.</w:t>
            </w:r>
            <w:r w:rsidRPr="00000000" w:rsidDel="00000000" w:rsidR="00000000">
              <w:rPr>
                <w:rtl w:val="0"/>
              </w:rPr>
            </w:r>
          </w:p>
        </w:tc>
      </w:tr>
      <w:tr>
        <w:trPr>
          <w:cantSplit w:val="0"/>
          <w:trHeight w:val="220" w:hRule="atLeast"/>
          <w:tblHeader w:val="0"/>
        </w:trPr>
        <w:tc>
          <w:tcPr>
            <w:gridSpan w:val="2"/>
          </w:tcPr>
          <w:p w:rsidRPr="00000000" w:rsidR="00000000" w:rsidDel="00000000" w:rsidP="00000000" w:rsidRDefault="00000000" w14:paraId="000002DC">
            <w:pPr>
              <w:jc w:val="center"/>
              <w:rPr>
                <w:highlight w:val="white"/>
              </w:rPr>
            </w:pPr>
            <w:r w:rsidRPr="00000000" w:rsidDel="00000000" w:rsidR="00000000">
              <w:rPr>
                <w:highlight w:val="white"/>
                <w:rtl w:val="0"/>
              </w:rPr>
              <w:t xml:space="preserve">3</w:t>
            </w:r>
          </w:p>
        </w:tc>
        <w:tc>
          <w:tcPr/>
          <w:p w:rsidRPr="00000000" w:rsidR="00000000" w:rsidDel="00000000" w:rsidP="00000000" w:rsidRDefault="00000000" w14:paraId="000002DE">
            <w:pPr>
              <w:spacing w:line="276" w:lineRule="auto"/>
              <w:jc w:val="both"/>
              <w:rPr>
                <w:highlight w:val="white"/>
              </w:rPr>
            </w:pPr>
            <w:r w:rsidRPr="00000000" w:rsidDel="00000000" w:rsidR="00000000">
              <w:rPr>
                <w:rtl w:val="0"/>
              </w:rPr>
              <w:t xml:space="preserve">Analysts should follow country-specific Standard Name Structure guidance when conducting searches</w:t>
            </w:r>
            <w:r w:rsidRPr="00000000" w:rsidDel="00000000" w:rsidR="00000000">
              <w:rPr>
                <w:rtl w:val="0"/>
              </w:rPr>
            </w:r>
          </w:p>
        </w:tc>
      </w:tr>
    </w:tbl>
    <w:p w:rsidRPr="00000000" w:rsidR="00000000" w:rsidDel="00000000" w:rsidP="00000000" w:rsidRDefault="00000000" w14:paraId="000002DF">
      <w:pPr>
        <w:spacing w:after="0" w:lineRule="auto"/>
        <w:jc w:val="both"/>
        <w:rPr>
          <w:highlight w:val="white"/>
        </w:rPr>
      </w:pPr>
      <w:r w:rsidRPr="00000000" w:rsidDel="00000000" w:rsidR="00000000">
        <w:rPr>
          <w:rtl w:val="0"/>
        </w:rPr>
      </w:r>
    </w:p>
    <w:p w:rsidRPr="00000000" w:rsidR="00000000" w:rsidDel="00000000" w:rsidP="00000000" w:rsidRDefault="00000000" w14:paraId="000002E0">
      <w:pPr>
        <w:numPr>
          <w:ilvl w:val="2"/>
          <w:numId w:val="25"/>
        </w:numPr>
        <w:spacing w:after="0" w:lineRule="auto"/>
        <w:ind w:left="720" w:hanging="720"/>
        <w:jc w:val="both"/>
        <w:rPr/>
      </w:pPr>
      <w:r w:rsidRPr="00000000" w:rsidDel="00000000" w:rsidR="00000000">
        <w:rPr>
          <w:rtl w:val="0"/>
        </w:rPr>
        <w:t xml:space="preserve">The Analyst must outline any additional external searches used to obtain background information and/or news for their investigation.  All screenshots of external research that are relevant to the decision of the case must be uploaded to the case file.</w:t>
      </w:r>
    </w:p>
    <w:p w:rsidRPr="00000000" w:rsidR="00000000" w:rsidDel="00000000" w:rsidP="00000000" w:rsidRDefault="00000000" w14:paraId="000002E1">
      <w:pPr>
        <w:spacing w:after="0" w:line="254" w:lineRule="auto"/>
        <w:jc w:val="both"/>
        <w:rPr>
          <w:highlight w:val="white"/>
        </w:rPr>
      </w:pPr>
      <w:r w:rsidRPr="00000000" w:rsidDel="00000000" w:rsidR="00000000">
        <w:rPr>
          <w:highlight w:val="white"/>
          <w:rtl w:val="0"/>
        </w:rPr>
        <w:t xml:space="preserve"> </w:t>
      </w:r>
    </w:p>
    <w:p w:rsidRPr="00000000" w:rsidR="00000000" w:rsidDel="00000000" w:rsidP="00000000" w:rsidRDefault="00000000" w14:paraId="000002E2">
      <w:pPr>
        <w:numPr>
          <w:ilvl w:val="2"/>
          <w:numId w:val="25"/>
        </w:numPr>
        <w:spacing w:after="0" w:lineRule="auto"/>
        <w:ind w:left="720" w:hanging="720"/>
        <w:jc w:val="both"/>
        <w:rPr/>
      </w:pPr>
      <w:r w:rsidRPr="00000000" w:rsidDel="00000000" w:rsidR="00000000">
        <w:rPr>
          <w:rtl w:val="0"/>
        </w:rPr>
        <w:t xml:space="preserve">In reviewing adverse media results, along with KYC, the Analyst should consider from the non-exhaustive factors:</w:t>
      </w:r>
    </w:p>
    <w:p w:rsidRPr="00000000" w:rsidR="00000000" w:rsidDel="00000000" w:rsidP="00000000" w:rsidRDefault="00000000" w14:paraId="000002E3">
      <w:pPr>
        <w:spacing w:after="0" w:lineRule="auto"/>
        <w:jc w:val="both"/>
        <w:rPr>
          <w:highlight w:val="white"/>
        </w:rPr>
      </w:pPr>
      <w:r w:rsidRPr="00000000" w:rsidDel="00000000" w:rsidR="00000000">
        <w:rPr>
          <w:highlight w:val="white"/>
          <w:rtl w:val="0"/>
        </w:rPr>
        <w:t xml:space="preserve"> </w:t>
      </w:r>
    </w:p>
    <w:p w:rsidRPr="00000000" w:rsidR="00000000" w:rsidDel="00000000" w:rsidP="00000000" w:rsidRDefault="00000000" w14:paraId="000002E4">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Is the customer name unique or common? Are there known aliases or spelling variations?</w:t>
      </w:r>
    </w:p>
    <w:p w:rsidRPr="00000000" w:rsidR="00000000" w:rsidDel="00000000" w:rsidP="00000000" w:rsidRDefault="00000000" w14:paraId="000002E5">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Are there other data that can be used to confirm the customer’s identity (e.g., date of birth, nationalist, company affiliation)?</w:t>
      </w:r>
    </w:p>
    <w:p w:rsidRPr="00000000" w:rsidR="00000000" w:rsidDel="00000000" w:rsidP="00000000" w:rsidRDefault="00000000" w14:paraId="000002E6">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Are there transliterations or local language versions of the customer name that should be searched and considered?</w:t>
      </w:r>
    </w:p>
    <w:p w:rsidRPr="00000000" w:rsidR="00000000" w:rsidDel="00000000" w:rsidP="00000000" w:rsidRDefault="00000000" w14:paraId="000002E7">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Is the news article directly related to the customer or a close associate?</w:t>
      </w:r>
    </w:p>
    <w:p w:rsidRPr="00000000" w:rsidR="00000000" w:rsidDel="00000000" w:rsidP="00000000" w:rsidRDefault="00000000" w14:paraId="000002E8">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Is the source reputable (e.g., mainstream media, regulatory announcements)?</w:t>
      </w:r>
    </w:p>
    <w:p w:rsidRPr="00000000" w:rsidR="00000000" w:rsidDel="00000000" w:rsidP="00000000" w:rsidRDefault="00000000" w14:paraId="000002E9">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Is the information verified or speculative?</w:t>
      </w:r>
    </w:p>
    <w:p w:rsidRPr="00000000" w:rsidR="00000000" w:rsidDel="00000000" w:rsidP="00000000" w:rsidRDefault="00000000" w14:paraId="000002EA">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When was the adverse news published?</w:t>
      </w:r>
    </w:p>
    <w:p w:rsidRPr="00000000" w:rsidR="00000000" w:rsidDel="00000000" w:rsidP="00000000" w:rsidRDefault="00000000" w14:paraId="000002EB">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Is the issue ongoing, resolved, or historical?</w:t>
      </w:r>
    </w:p>
    <w:p w:rsidRPr="00000000" w:rsidR="00000000" w:rsidDel="00000000" w:rsidP="00000000" w:rsidRDefault="00000000" w14:paraId="000002EC">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Does the timing of the news align with the customer’s known activities?</w:t>
      </w:r>
    </w:p>
    <w:p w:rsidRPr="00000000" w:rsidR="00000000" w:rsidDel="00000000" w:rsidP="00000000" w:rsidRDefault="00000000" w14:paraId="000002ED">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Are there multiple adverse articles or just one?</w:t>
      </w:r>
    </w:p>
    <w:p w:rsidRPr="00000000" w:rsidR="00000000" w:rsidDel="00000000" w:rsidP="00000000" w:rsidRDefault="00000000" w14:paraId="000002EE">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Do the reports suggest a pattern of misconduct?</w:t>
      </w:r>
    </w:p>
    <w:p w:rsidRPr="00000000" w:rsidR="00000000" w:rsidDel="00000000" w:rsidP="00000000" w:rsidRDefault="00000000" w14:paraId="000002EF">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Has the customer been involved in similar incidents before?</w:t>
      </w:r>
    </w:p>
    <w:p w:rsidRPr="00000000" w:rsidR="00000000" w:rsidDel="00000000" w:rsidP="00000000" w:rsidRDefault="00000000" w14:paraId="000002F0">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Is the customer operating in high-risk jurisdictions?</w:t>
      </w:r>
    </w:p>
    <w:p w:rsidRPr="00000000" w:rsidR="00000000" w:rsidDel="00000000" w:rsidP="00000000" w:rsidRDefault="00000000" w14:paraId="000002F1">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What type of adverse news is reported (e.g., fraud, corruption, sanctions)?</w:t>
      </w:r>
    </w:p>
    <w:p w:rsidRPr="00000000" w:rsidR="00000000" w:rsidDel="00000000" w:rsidP="00000000" w:rsidRDefault="00000000" w14:paraId="000002F2">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Does it involve regulatory breaches or criminal charges?</w:t>
      </w:r>
    </w:p>
    <w:p w:rsidRPr="00000000" w:rsidR="00000000" w:rsidDel="00000000" w:rsidP="00000000" w:rsidRDefault="00000000" w14:paraId="000002F3">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Is the issue material to the customer’s business or financial dealings?</w:t>
      </w:r>
    </w:p>
    <w:p w:rsidRPr="00000000" w:rsidR="00000000" w:rsidDel="00000000" w:rsidP="00000000" w:rsidRDefault="00000000" w14:paraId="000002F4">
      <w:pPr>
        <w:pStyle w:val="Heading2"/>
        <w:numPr>
          <w:ilvl w:val="1"/>
          <w:numId w:val="25"/>
        </w:numPr>
        <w:spacing w:after="240" w:lineRule="auto"/>
        <w:ind w:left="720"/>
        <w:jc w:val="both"/>
        <w:rPr/>
      </w:pPr>
      <w:bookmarkStart w:name="_heading=h.goft8i9rsbw6" w:colFirst="0" w:colLast="0" w:id="106"/>
      <w:bookmarkEnd w:id="106"/>
      <w:r w:rsidRPr="00000000" w:rsidDel="00000000" w:rsidR="00000000">
        <w:rPr>
          <w:rFonts w:ascii="Arial" w:hAnsi="Arial" w:eastAsia="Arial" w:cs="Arial"/>
          <w:sz w:val="24"/>
          <w:szCs w:val="24"/>
          <w:rtl w:val="0"/>
        </w:rPr>
        <w:t xml:space="preserve"> User IP Log Review</w:t>
      </w:r>
    </w:p>
    <w:p w:rsidRPr="00000000" w:rsidR="00000000" w:rsidDel="00000000" w:rsidP="00000000" w:rsidRDefault="00000000" w14:paraId="000002F5">
      <w:pPr>
        <w:numPr>
          <w:ilvl w:val="2"/>
          <w:numId w:val="25"/>
        </w:numPr>
        <w:spacing w:after="240" w:lineRule="auto"/>
        <w:ind w:left="720" w:hanging="720"/>
        <w:jc w:val="both"/>
        <w:rPr>
          <w:color w:val="000000"/>
        </w:rPr>
      </w:pPr>
      <w:bookmarkStart w:name="_heading=h.h7dfq1nw11ng" w:colFirst="0" w:colLast="0" w:id="107"/>
      <w:bookmarkEnd w:id="107"/>
      <w:r w:rsidRPr="00000000" w:rsidDel="00000000" w:rsidR="00000000">
        <w:rPr>
          <w:color w:val="000000"/>
          <w:rtl w:val="0"/>
        </w:rPr>
        <w:t xml:space="preserve">The evaluation of VPN usage and other anomalies that may indicate suspicious activity. Analysts are required to review the user's IP access log as part of the process to identify the geographic consistency of access points.</w:t>
      </w:r>
    </w:p>
    <w:p w:rsidRPr="00000000" w:rsidR="00000000" w:rsidDel="00000000" w:rsidP="00000000" w:rsidRDefault="00000000" w14:paraId="000002F6">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bookmarkStart w:name="_heading=h.ocz3amtpssfq" w:colFirst="0" w:colLast="0" w:id="108"/>
      <w:bookmarkEnd w:id="108"/>
      <w:r w:rsidRPr="00000000" w:rsidDel="00000000" w:rsidR="00000000">
        <w:rPr>
          <w:i w:val="0"/>
          <w:iCs w:val="0"/>
          <w:smallCaps w:val="0"/>
          <w:strike w:val="0"/>
          <w:color w:val="000000"/>
          <w:sz w:val="22"/>
          <w:szCs w:val="22"/>
          <w:u w:val="single"/>
          <w:shd w:val="clear" w:fill="auto"/>
          <w:vertAlign w:val="baseline"/>
          <w:rtl w:val="0"/>
        </w:rPr>
        <w:t xml:space="preserve">Frequency Check</w:t>
      </w:r>
      <w:r w:rsidRPr="00000000" w:rsidDel="00000000" w:rsidR="00000000">
        <w:rPr>
          <w:i w:val="0"/>
          <w:iCs w:val="0"/>
          <w:smallCaps w:val="0"/>
          <w:strike w:val="0"/>
          <w:color w:val="000000"/>
          <w:sz w:val="22"/>
          <w:szCs w:val="22"/>
          <w:u w:val="none"/>
          <w:shd w:val="clear" w:fill="auto"/>
          <w:vertAlign w:val="baseline"/>
          <w:rtl w:val="0"/>
        </w:rPr>
        <w:t xml:space="preserve">: Note the frequency of access from each IP location, focusing on regions with a high number of accesses, which may indicate primary user activity.</w:t>
      </w:r>
    </w:p>
    <w:p w:rsidRPr="00000000" w:rsidR="00000000" w:rsidDel="00000000" w:rsidP="00000000" w:rsidRDefault="00000000" w14:paraId="000002F7">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High-risk geographical regions</w:t>
      </w:r>
      <w:r w:rsidRPr="00000000" w:rsidDel="00000000" w:rsidR="00000000">
        <w:rPr>
          <w:i w:val="0"/>
          <w:iCs w:val="0"/>
          <w:smallCaps w:val="0"/>
          <w:strike w:val="0"/>
          <w:color w:val="000000"/>
          <w:sz w:val="22"/>
          <w:szCs w:val="22"/>
          <w:u w:val="none"/>
          <w:shd w:val="clear" w:fill="auto"/>
          <w:vertAlign w:val="baseline"/>
          <w:rtl w:val="0"/>
        </w:rPr>
        <w:t xml:space="preserve">: US and Sanctioned Regions.</w:t>
      </w:r>
    </w:p>
    <w:p w:rsidRPr="00000000" w:rsidR="00000000" w:rsidDel="00000000" w:rsidP="00000000" w:rsidRDefault="00000000" w14:paraId="000002F8">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VPN Detection</w:t>
      </w:r>
      <w:r w:rsidRPr="00000000" w:rsidDel="00000000" w:rsidR="00000000">
        <w:rPr>
          <w:i w:val="0"/>
          <w:iCs w:val="0"/>
          <w:smallCaps w:val="0"/>
          <w:strike w:val="0"/>
          <w:color w:val="000000"/>
          <w:sz w:val="22"/>
          <w:szCs w:val="22"/>
          <w:u w:val="none"/>
          <w:shd w:val="clear" w:fill="auto"/>
          <w:vertAlign w:val="baseline"/>
          <w:rtl w:val="0"/>
        </w:rPr>
        <w:t xml:space="preserve">: Cross-reference IP addresses against known VPN services to ascertain if a VPN is used for any of the access instances.</w:t>
      </w:r>
    </w:p>
    <w:p w:rsidRPr="00000000" w:rsidR="00000000" w:rsidDel="00000000" w:rsidP="00000000" w:rsidRDefault="00000000" w14:paraId="000002F9">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Anomaly Identification</w:t>
      </w:r>
      <w:r w:rsidRPr="00000000" w:rsidDel="00000000" w:rsidR="00000000">
        <w:rPr>
          <w:i w:val="0"/>
          <w:iCs w:val="0"/>
          <w:smallCaps w:val="0"/>
          <w:strike w:val="0"/>
          <w:color w:val="000000"/>
          <w:sz w:val="22"/>
          <w:szCs w:val="22"/>
          <w:u w:val="none"/>
          <w:shd w:val="clear" w:fill="auto"/>
          <w:vertAlign w:val="baseline"/>
          <w:rtl w:val="0"/>
        </w:rPr>
        <w:t xml:space="preserve">: Instances of access from locations inconsistent with the user’s profile or access via VPN, may be raised for further investigation.</w:t>
      </w:r>
      <w:r w:rsidRPr="00000000" w:rsidDel="00000000" w:rsidR="00000000">
        <w:rPr>
          <w:rtl w:val="0"/>
        </w:rPr>
      </w:r>
    </w:p>
    <w:p w:rsidRPr="00000000" w:rsidR="00000000" w:rsidDel="00000000" w:rsidP="00000000" w:rsidRDefault="00000000" w14:paraId="000002FA">
      <w:pPr>
        <w:pStyle w:val="Heading2"/>
        <w:numPr>
          <w:ilvl w:val="1"/>
          <w:numId w:val="25"/>
        </w:numPr>
        <w:spacing w:after="240" w:lineRule="auto"/>
        <w:ind w:left="720"/>
        <w:jc w:val="both"/>
        <w:rPr/>
      </w:pPr>
      <w:bookmarkStart w:name="_heading=h.ouf4jd3n5vyx" w:colFirst="0" w:colLast="0" w:id="109"/>
      <w:bookmarkEnd w:id="109"/>
      <w:r w:rsidRPr="00000000" w:rsidDel="00000000" w:rsidR="00000000">
        <w:rPr>
          <w:rFonts w:ascii="Arial" w:hAnsi="Arial" w:eastAsia="Arial" w:cs="Arial"/>
          <w:sz w:val="24"/>
          <w:szCs w:val="24"/>
          <w:rtl w:val="0"/>
        </w:rPr>
        <w:t xml:space="preserve">Law Enforcement Requests</w:t>
      </w:r>
    </w:p>
    <w:p w:rsidRPr="00000000" w:rsidR="00000000" w:rsidDel="00000000" w:rsidP="00000000" w:rsidRDefault="00000000" w14:paraId="000002FB">
      <w:pPr>
        <w:numPr>
          <w:ilvl w:val="2"/>
          <w:numId w:val="25"/>
        </w:numPr>
        <w:spacing w:after="240" w:lineRule="auto"/>
        <w:ind w:left="720" w:hanging="720"/>
        <w:jc w:val="both"/>
        <w:rPr/>
      </w:pPr>
      <w:bookmarkStart w:name="_heading=h.stga8tg8kkzx" w:colFirst="0" w:colLast="0" w:id="110"/>
      <w:bookmarkEnd w:id="110"/>
      <w:r w:rsidRPr="00000000" w:rsidDel="00000000" w:rsidR="00000000">
        <w:rPr>
          <w:rtl w:val="0"/>
        </w:rPr>
        <w:t xml:space="preserve">Kodex searches aim to identify any potential Law enforcement request (eg. inquiry, court order, Seizures) on the particular client, which allows analysts to place emphasis and be aware of the potential risks posed by the clients in consideration of the triggered risk rule.</w:t>
      </w:r>
    </w:p>
    <w:p w:rsidRPr="00000000" w:rsidR="00000000" w:rsidDel="00000000" w:rsidP="00000000" w:rsidRDefault="00000000" w14:paraId="000002FC">
      <w:pPr>
        <w:numPr>
          <w:ilvl w:val="2"/>
          <w:numId w:val="25"/>
        </w:numPr>
        <w:spacing w:after="240" w:lineRule="auto"/>
        <w:ind w:left="720" w:hanging="720"/>
        <w:jc w:val="both"/>
        <w:rPr/>
      </w:pPr>
      <w:bookmarkStart w:name="_heading=h.9wng9lmz8gdz" w:colFirst="0" w:colLast="0" w:id="111"/>
      <w:bookmarkEnd w:id="111"/>
      <w:r w:rsidRPr="00000000" w:rsidDel="00000000" w:rsidR="00000000">
        <w:rPr>
          <w:rtl w:val="0"/>
        </w:rPr>
        <w:t xml:space="preserve">Analysts should understand the context of a law enforcement request, i.e. whether this is only a data request or type of crime implication the user is mentioned in the request, what authority is involved in investigation, whether the user is mentioned as suspect or victim of the crime, whether the user’s known counterparties are mentioned in the same request.  </w:t>
      </w:r>
    </w:p>
    <w:p w:rsidRPr="00000000" w:rsidR="00000000" w:rsidDel="00000000" w:rsidP="00000000" w:rsidRDefault="00000000" w14:paraId="000002FD">
      <w:pPr>
        <w:numPr>
          <w:ilvl w:val="2"/>
          <w:numId w:val="25"/>
        </w:numPr>
        <w:spacing w:after="240" w:lineRule="auto"/>
        <w:ind w:left="720" w:hanging="720"/>
        <w:jc w:val="both"/>
        <w:rPr/>
      </w:pPr>
      <w:bookmarkStart w:name="_heading=h.b4bq5daqkj8x" w:colFirst="0" w:colLast="0" w:id="112"/>
      <w:bookmarkEnd w:id="112"/>
      <w:r w:rsidRPr="00000000" w:rsidDel="00000000" w:rsidR="00000000">
        <w:rPr>
          <w:rtl w:val="0"/>
        </w:rPr>
        <w:t xml:space="preserve">The Case Team’s Standard Operating Procedure may be referred too for procedures relating to Law Enforcement Requests. </w:t>
      </w:r>
    </w:p>
    <w:p w:rsidRPr="00000000" w:rsidR="00000000" w:rsidDel="00000000" w:rsidP="00000000" w:rsidRDefault="00000000" w14:paraId="000002FE">
      <w:pPr>
        <w:pStyle w:val="Heading2"/>
        <w:numPr>
          <w:ilvl w:val="1"/>
          <w:numId w:val="25"/>
        </w:numPr>
        <w:spacing w:after="240" w:lineRule="auto"/>
        <w:ind w:left="720"/>
        <w:jc w:val="both"/>
        <w:rPr/>
      </w:pPr>
      <w:bookmarkStart w:name="_heading=h.qbccgy3xc3xn" w:colFirst="0" w:colLast="0" w:id="113"/>
      <w:bookmarkEnd w:id="113"/>
      <w:r w:rsidRPr="00000000" w:rsidDel="00000000" w:rsidR="00000000">
        <w:rPr>
          <w:rFonts w:ascii="Arial" w:hAnsi="Arial" w:eastAsia="Arial" w:cs="Arial"/>
          <w:sz w:val="24"/>
          <w:szCs w:val="24"/>
          <w:rtl w:val="0"/>
        </w:rPr>
        <w:t xml:space="preserve">Overall Risk Assessment</w:t>
      </w:r>
    </w:p>
    <w:p w:rsidRPr="00000000" w:rsidR="00000000" w:rsidDel="00000000" w:rsidP="00000000" w:rsidRDefault="00000000" w14:paraId="000002FF">
      <w:pPr>
        <w:spacing w:after="240" w:lineRule="auto"/>
        <w:ind w:firstLine="720"/>
        <w:jc w:val="both"/>
        <w:rPr>
          <w:b w:val="1"/>
          <w:bCs w:val="1"/>
          <w:u w:val="single"/>
        </w:rPr>
      </w:pPr>
      <w:bookmarkStart w:name="_heading=h.1cz3j1bjvv1r" w:colFirst="0" w:colLast="0" w:id="114"/>
      <w:bookmarkEnd w:id="114"/>
      <w:r w:rsidRPr="00000000" w:rsidDel="00000000" w:rsidR="00000000">
        <w:rPr>
          <w:b w:val="1"/>
          <w:bCs w:val="1"/>
          <w:u w:val="single"/>
          <w:rtl w:val="0"/>
        </w:rPr>
        <w:t xml:space="preserve">Red Flag Checklist</w:t>
      </w:r>
    </w:p>
    <w:p w:rsidRPr="00000000" w:rsidR="00000000" w:rsidDel="00000000" w:rsidP="00000000" w:rsidRDefault="00000000" w14:paraId="00000300">
      <w:pPr>
        <w:numPr>
          <w:ilvl w:val="2"/>
          <w:numId w:val="25"/>
        </w:numPr>
        <w:spacing w:after="240" w:lineRule="auto"/>
        <w:ind w:left="720" w:hanging="720"/>
        <w:jc w:val="both"/>
        <w:rPr/>
      </w:pPr>
      <w:bookmarkStart w:name="_heading=h.xwl6klntqr2y" w:colFirst="0" w:colLast="0" w:id="115"/>
      <w:bookmarkEnd w:id="115"/>
      <w:r w:rsidRPr="00000000" w:rsidDel="00000000" w:rsidR="00000000">
        <w:rPr>
          <w:rtl w:val="0"/>
        </w:rPr>
        <w:t xml:space="preserve">The use of virtual assets raises significant regulatory concerns for regulatory authorities and law enforcement agencies worldwide, particularly in relation to ML/TF. Generally, virtual asset custody, virtual asset technology and governance, virtual asset exchange-type operations are risk areas which have attracted heightened regulatory scrutiny. The FATF has published </w:t>
      </w:r>
      <w:hyperlink r:id="rId22">
        <w:r w:rsidRPr="00000000" w:rsidDel="00000000" w:rsidR="00000000">
          <w:rPr>
            <w:color w:val="0563c1"/>
            <w:u w:val="single"/>
            <w:rtl w:val="0"/>
          </w:rPr>
          <w:t xml:space="preserve">Guidance for a Risk-Based Approach to Virtual Assets and Virtual Asset Service Providers</w:t>
        </w:r>
      </w:hyperlink>
      <w:r w:rsidRPr="00000000" w:rsidDel="00000000" w:rsidR="00000000">
        <w:rPr>
          <w:rtl w:val="0"/>
        </w:rPr>
        <w:t xml:space="preserve"> which provides recommendations in identifying, assessing and mitigating virtual asset-related risk indicators.</w:t>
      </w:r>
    </w:p>
    <w:p w:rsidRPr="00000000" w:rsidR="00000000" w:rsidDel="00000000" w:rsidP="00000000" w:rsidRDefault="00000000" w14:paraId="00000301">
      <w:pPr>
        <w:numPr>
          <w:ilvl w:val="2"/>
          <w:numId w:val="25"/>
        </w:numPr>
        <w:spacing w:after="240" w:lineRule="auto"/>
        <w:ind w:left="720" w:hanging="720"/>
        <w:jc w:val="both"/>
        <w:rPr/>
      </w:pPr>
      <w:r w:rsidRPr="00000000" w:rsidDel="00000000" w:rsidR="00000000">
        <w:rPr>
          <w:rtl w:val="0"/>
        </w:rPr>
        <w:t xml:space="preserve">The indicators in the Red Flag Checklist are neither exhaustive nor applicable in every situation; however, they should be considered with respect to both retail and corporate customers. They are just one of the elements contributing to a holistic analysis of potential ML/TF risk. Red Flags are also reviewed at a jurisdictional level within </w:t>
      </w:r>
      <w:hyperlink r:id="rId23">
        <w:r w:rsidRPr="00000000" w:rsidDel="00000000" w:rsidR="00000000">
          <w:rPr>
            <w:color w:val="0000ee"/>
            <w:u w:val="single"/>
            <w:rtl w:val="0"/>
          </w:rPr>
          <w:t xml:space="preserve">VA Red Flag Indicators &amp; TM Controls </w:t>
        </w:r>
      </w:hyperlink>
      <w:r w:rsidRPr="00000000" w:rsidDel="00000000" w:rsidR="00000000">
        <w:rPr>
          <w:rtl w:val="0"/>
        </w:rPr>
        <w:t xml:space="preserve">, alongside the applicable transaction monitoring and operational controls. A transaction with multiple indicators and with little or no logical business explanation could indicate potential criminal activity based on the risk-based approach. This would require further monitoring, examination, and reporting where appropriate.</w:t>
      </w:r>
    </w:p>
    <w:tbl>
      <w:tblPr>
        <w:tblStyle w:val="Table18"/>
        <w:tblW w:w="901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9016"/>
        <w:tblGridChange w:id="0">
          <w:tblGrid>
            <w:gridCol w:w="9016"/>
          </w:tblGrid>
        </w:tblGridChange>
      </w:tblGrid>
      <w:tr>
        <w:trPr>
          <w:cantSplit w:val="0"/>
          <w:tblHeader w:val="0"/>
        </w:trPr>
        <w:tc>
          <w:tcPr>
            <w:shd w:val="clear" w:fill="ffcdcd"/>
          </w:tcPr>
          <w:p w:rsidRPr="00000000" w:rsidR="00000000" w:rsidDel="00000000" w:rsidP="00000000" w:rsidRDefault="00000000" w14:paraId="00000302">
            <w:pPr>
              <w:spacing w:before="200" w:lineRule="auto"/>
              <w:jc w:val="both"/>
              <w:rPr>
                <w:b w:val="1"/>
                <w:bCs w:val="1"/>
                <w:i w:val="1"/>
                <w:iCs w:val="1"/>
                <w:u w:val="single"/>
              </w:rPr>
            </w:pPr>
            <w:r w:rsidRPr="00000000" w:rsidDel="00000000" w:rsidR="00000000">
              <w:rPr>
                <w:b w:val="1"/>
                <w:bCs w:val="1"/>
                <w:i w:val="1"/>
                <w:iCs w:val="1"/>
                <w:u w:val="single"/>
                <w:rtl w:val="0"/>
              </w:rPr>
              <w:t xml:space="preserve">Red Flag Indicators Related to Transactions</w:t>
            </w:r>
          </w:p>
          <w:p w:rsidRPr="00000000" w:rsidR="00000000" w:rsidDel="00000000" w:rsidP="00000000" w:rsidRDefault="00000000" w14:paraId="00000303">
            <w:pPr>
              <w:keepNext w:val="0"/>
              <w:keepLines w:val="0"/>
              <w:pageBreakBefore w:val="0"/>
              <w:widowControl w:val="1"/>
              <w:numPr>
                <w:ilvl w:val="0"/>
                <w:numId w:val="29"/>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Structuring transactions in small amounts and under the record-keeping or reporting thresholds within local jurisdictions without clear rationale.</w:t>
            </w:r>
          </w:p>
          <w:p w:rsidRPr="00000000" w:rsidR="00000000" w:rsidDel="00000000" w:rsidP="00000000" w:rsidRDefault="00000000" w14:paraId="00000304">
            <w:pPr>
              <w:keepNext w:val="0"/>
              <w:keepLines w:val="0"/>
              <w:pageBreakBefore w:val="0"/>
              <w:widowControl w:val="1"/>
              <w:numPr>
                <w:ilvl w:val="0"/>
                <w:numId w:val="29"/>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Making multiple high-value transactions: (i) in short succession, such as within a 24-hour period; (ii) in a staggered and regular pattern, with no further transactions recorded during a long period afterwards, which is particularly common in ransomware-related cases; or (iii) to a newly created or to a previously inactive account.</w:t>
            </w:r>
          </w:p>
          <w:p w:rsidRPr="00000000" w:rsidR="00000000" w:rsidDel="00000000" w:rsidP="00000000" w:rsidRDefault="00000000" w14:paraId="00000305">
            <w:pPr>
              <w:keepNext w:val="0"/>
              <w:keepLines w:val="0"/>
              <w:pageBreakBefore w:val="0"/>
              <w:widowControl w:val="1"/>
              <w:numPr>
                <w:ilvl w:val="0"/>
                <w:numId w:val="29"/>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Transferring virtual assets immediately to multiple wallet addresses/counterparties or VASPs without any activity in between.</w:t>
            </w:r>
          </w:p>
          <w:p w:rsidRPr="00000000" w:rsidR="00000000" w:rsidDel="00000000" w:rsidP="00000000" w:rsidRDefault="00000000" w14:paraId="00000306">
            <w:pPr>
              <w:jc w:val="both"/>
              <w:rPr/>
            </w:pPr>
            <w:r w:rsidRPr="00000000" w:rsidDel="00000000" w:rsidR="00000000">
              <w:rPr>
                <w:rtl w:val="0"/>
              </w:rPr>
            </w:r>
          </w:p>
          <w:p w:rsidRPr="00000000" w:rsidR="00000000" w:rsidDel="00000000" w:rsidP="00000000" w:rsidRDefault="00000000" w14:paraId="00000307">
            <w:pPr>
              <w:jc w:val="both"/>
              <w:rPr>
                <w:b w:val="1"/>
                <w:bCs w:val="1"/>
                <w:i w:val="1"/>
                <w:iCs w:val="1"/>
                <w:u w:val="single"/>
              </w:rPr>
            </w:pPr>
            <w:r w:rsidRPr="00000000" w:rsidDel="00000000" w:rsidR="00000000">
              <w:rPr>
                <w:b w:val="1"/>
                <w:bCs w:val="1"/>
                <w:i w:val="1"/>
                <w:iCs w:val="1"/>
                <w:u w:val="single"/>
                <w:rtl w:val="0"/>
              </w:rPr>
              <w:t xml:space="preserve">Red Flag Indicators Related to Transaction Patterns</w:t>
            </w:r>
          </w:p>
          <w:p w:rsidRPr="00000000" w:rsidR="00000000" w:rsidDel="00000000" w:rsidP="00000000" w:rsidRDefault="00000000" w14:paraId="00000308">
            <w:pPr>
              <w:keepNext w:val="0"/>
              <w:keepLines w:val="0"/>
              <w:pageBreakBefore w:val="0"/>
              <w:widowControl w:val="1"/>
              <w:numPr>
                <w:ilvl w:val="0"/>
                <w:numId w:val="29"/>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New users make a large initial deposit, inconsistent with the customer profile or attempt to transfer the entire balance of VAs to another trading platform without economic rationale.</w:t>
            </w:r>
          </w:p>
          <w:p w:rsidRPr="00000000" w:rsidR="00000000" w:rsidDel="00000000" w:rsidP="00000000" w:rsidRDefault="00000000" w14:paraId="00000309">
            <w:pPr>
              <w:keepNext w:val="0"/>
              <w:keepLines w:val="0"/>
              <w:pageBreakBefore w:val="0"/>
              <w:widowControl w:val="1"/>
              <w:numPr>
                <w:ilvl w:val="0"/>
                <w:numId w:val="29"/>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Transactions involving multiple accounts, without a logical business explanation.</w:t>
            </w:r>
          </w:p>
          <w:p w:rsidRPr="00000000" w:rsidR="00000000" w:rsidDel="00000000" w:rsidP="00000000" w:rsidRDefault="00000000" w14:paraId="0000030A">
            <w:pPr>
              <w:keepNext w:val="0"/>
              <w:keepLines w:val="0"/>
              <w:pageBreakBefore w:val="0"/>
              <w:widowControl w:val="1"/>
              <w:numPr>
                <w:ilvl w:val="0"/>
                <w:numId w:val="29"/>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Frequent transfers occur in a certain period of time to the same virtual asset account by more than one person, from the same location or concerning large amounts.</w:t>
            </w:r>
          </w:p>
          <w:p w:rsidRPr="00000000" w:rsidR="00000000" w:rsidDel="00000000" w:rsidP="00000000" w:rsidRDefault="00000000" w14:paraId="0000030B">
            <w:pPr>
              <w:keepNext w:val="0"/>
              <w:keepLines w:val="0"/>
              <w:pageBreakBefore w:val="0"/>
              <w:widowControl w:val="1"/>
              <w:numPr>
                <w:ilvl w:val="0"/>
                <w:numId w:val="29"/>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Incoming transactions from many unrelated wallets/counterparties in relatively small amounts (accumulation of funds) with subsequent transfer to another wallet/counterparty or full exchange for fiat currency. </w:t>
            </w:r>
          </w:p>
          <w:p w:rsidRPr="00000000" w:rsidR="00000000" w:rsidDel="00000000" w:rsidP="00000000" w:rsidRDefault="00000000" w14:paraId="0000030C">
            <w:pPr>
              <w:keepNext w:val="0"/>
              <w:keepLines w:val="0"/>
              <w:pageBreakBefore w:val="0"/>
              <w:widowControl w:val="1"/>
              <w:numPr>
                <w:ilvl w:val="0"/>
                <w:numId w:val="29"/>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Conducting VA-VA or VA-fiat currency exchange at a potential loss (e.g. when the value of VA is fluctuating, and especially when the transactions have no logical business explanation) or incurring additional transaction fees, but without logical business explanation (e.g. portfolio diversification). </w:t>
            </w:r>
          </w:p>
          <w:p w:rsidRPr="00000000" w:rsidR="00000000" w:rsidDel="00000000" w:rsidP="00000000" w:rsidRDefault="00000000" w14:paraId="0000030D">
            <w:pPr>
              <w:keepNext w:val="0"/>
              <w:keepLines w:val="0"/>
              <w:pageBreakBefore w:val="0"/>
              <w:widowControl w:val="1"/>
              <w:numPr>
                <w:ilvl w:val="0"/>
                <w:numId w:val="29"/>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Flowthrough transactional activity, where funds are deposited and virtually immediately withdrawn without conversion or any actions in-between or changing blockchain network (for on-chain transaction), and therefore without clear economic rationale. </w:t>
            </w:r>
          </w:p>
          <w:p w:rsidRPr="00000000" w:rsidR="00000000" w:rsidDel="00000000" w:rsidP="00000000" w:rsidRDefault="00000000" w14:paraId="0000030E">
            <w:pPr>
              <w:keepNext w:val="0"/>
              <w:keepLines w:val="0"/>
              <w:pageBreakBefore w:val="0"/>
              <w:widowControl w:val="1"/>
              <w:numPr>
                <w:ilvl w:val="0"/>
                <w:numId w:val="29"/>
              </w:numPr>
              <w:pBdr>
                <w:top w:val="nil" w:sz="0" w:space="0"/>
                <w:left w:val="nil" w:sz="0" w:space="0"/>
                <w:bottom w:val="nil" w:sz="0" w:space="0"/>
                <w:right w:val="nil" w:sz="0" w:space="0"/>
                <w:between w:val="nil" w:sz="0" w:space="0"/>
              </w:pBdr>
              <w:shd w:val="clear" w:fill="auto"/>
              <w:spacing w:before="0" w:after="20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Large amount withdrawals preceded by multiple structured deposits as well as large amount deposits followed by multiple structured withdrawals.</w:t>
            </w:r>
            <w:r w:rsidRPr="00000000" w:rsidDel="00000000" w:rsidR="00000000">
              <w:rPr>
                <w:rtl w:val="0"/>
              </w:rPr>
            </w:r>
          </w:p>
          <w:p w:rsidRPr="00000000" w:rsidR="00000000" w:rsidDel="00000000" w:rsidP="00000000" w:rsidRDefault="00000000" w14:paraId="0000030F">
            <w:pPr>
              <w:jc w:val="both"/>
              <w:rPr>
                <w:b w:val="1"/>
                <w:bCs w:val="1"/>
                <w:i w:val="1"/>
                <w:iCs w:val="1"/>
                <w:u w:val="single"/>
              </w:rPr>
            </w:pPr>
            <w:r w:rsidRPr="00000000" w:rsidDel="00000000" w:rsidR="00000000">
              <w:rPr>
                <w:b w:val="1"/>
                <w:bCs w:val="1"/>
                <w:i w:val="1"/>
                <w:iCs w:val="1"/>
                <w:u w:val="single"/>
                <w:rtl w:val="0"/>
              </w:rPr>
              <w:t xml:space="preserve">Red Flag Indicators Related to Anonymity</w:t>
            </w:r>
          </w:p>
          <w:p w:rsidRPr="00000000" w:rsidR="00000000" w:rsidDel="00000000" w:rsidP="00000000" w:rsidRDefault="00000000" w14:paraId="00000310">
            <w:pPr>
              <w:keepNext w:val="0"/>
              <w:keepLines w:val="0"/>
              <w:pageBreakBefore w:val="0"/>
              <w:widowControl w:val="1"/>
              <w:numPr>
                <w:ilvl w:val="0"/>
                <w:numId w:val="29"/>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Transactions involving virtual assets particularly those that provide higher anonymity, such as anonymity enhanced cryptocurrency (AEC) or privacy coins and despite additional transaction fees.</w:t>
            </w:r>
          </w:p>
          <w:p w:rsidRPr="00000000" w:rsidR="00000000" w:rsidDel="00000000" w:rsidP="00000000" w:rsidRDefault="00000000" w14:paraId="00000311">
            <w:pPr>
              <w:keepNext w:val="0"/>
              <w:keepLines w:val="0"/>
              <w:pageBreakBefore w:val="0"/>
              <w:widowControl w:val="1"/>
              <w:numPr>
                <w:ilvl w:val="0"/>
                <w:numId w:val="29"/>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Virtual assets moved from a public, transparent blockchain to an exchange and then immediately traded for anonymity enhanced cryptocurrency or privacy coin and vice-versa, especially when such activity is repeated in a pattern.</w:t>
            </w:r>
          </w:p>
          <w:p w:rsidRPr="00000000" w:rsidR="00000000" w:rsidDel="00000000" w:rsidP="00000000" w:rsidRDefault="00000000" w14:paraId="00000312">
            <w:pPr>
              <w:keepNext w:val="0"/>
              <w:keepLines w:val="0"/>
              <w:pageBreakBefore w:val="0"/>
              <w:widowControl w:val="1"/>
              <w:numPr>
                <w:ilvl w:val="0"/>
                <w:numId w:val="29"/>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Customers that operate as an unlicensed VASP using peer-to-peer trading.</w:t>
            </w:r>
          </w:p>
          <w:p w:rsidRPr="00000000" w:rsidR="00000000" w:rsidDel="00000000" w:rsidP="00000000" w:rsidRDefault="00000000" w14:paraId="00000313">
            <w:pPr>
              <w:keepNext w:val="0"/>
              <w:keepLines w:val="0"/>
              <w:pageBreakBefore w:val="0"/>
              <w:widowControl w:val="1"/>
              <w:numPr>
                <w:ilvl w:val="0"/>
                <w:numId w:val="29"/>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Virtual assets traded to or from wallets that indicated the use of mixing or tumbling services or peer-to-peer platforms. Please apply rules from Onchain TM Matrix.</w:t>
            </w:r>
          </w:p>
          <w:p w:rsidRPr="00000000" w:rsidR="00000000" w:rsidDel="00000000" w:rsidP="00000000" w:rsidRDefault="00000000" w14:paraId="00000314">
            <w:pPr>
              <w:keepNext w:val="0"/>
              <w:keepLines w:val="0"/>
              <w:pageBreakBefore w:val="0"/>
              <w:widowControl w:val="1"/>
              <w:numPr>
                <w:ilvl w:val="0"/>
                <w:numId w:val="29"/>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Users entering the platform having registered their Internet domain names through proxies, The Onion Router (TOR), or VPNs.</w:t>
            </w:r>
          </w:p>
          <w:p w:rsidRPr="00000000" w:rsidR="00000000" w:rsidDel="00000000" w:rsidP="00000000" w:rsidRDefault="00000000" w14:paraId="00000315">
            <w:pPr>
              <w:jc w:val="both"/>
              <w:rPr/>
            </w:pPr>
            <w:r w:rsidRPr="00000000" w:rsidDel="00000000" w:rsidR="00000000">
              <w:rPr>
                <w:rtl w:val="0"/>
              </w:rPr>
            </w:r>
          </w:p>
          <w:p w:rsidRPr="00000000" w:rsidR="00000000" w:rsidDel="00000000" w:rsidP="00000000" w:rsidRDefault="00000000" w14:paraId="00000316">
            <w:pPr>
              <w:jc w:val="both"/>
              <w:rPr>
                <w:b w:val="1"/>
                <w:bCs w:val="1"/>
                <w:i w:val="1"/>
                <w:iCs w:val="1"/>
                <w:u w:val="single"/>
              </w:rPr>
            </w:pPr>
            <w:r w:rsidRPr="00000000" w:rsidDel="00000000" w:rsidR="00000000">
              <w:rPr>
                <w:b w:val="1"/>
                <w:bCs w:val="1"/>
                <w:i w:val="1"/>
                <w:iCs w:val="1"/>
                <w:u w:val="single"/>
                <w:rtl w:val="0"/>
              </w:rPr>
              <w:t xml:space="preserve">Red Flag Indicators Related to Geographical Risks</w:t>
            </w:r>
          </w:p>
          <w:p w:rsidRPr="00000000" w:rsidR="00000000" w:rsidDel="00000000" w:rsidP="00000000" w:rsidRDefault="00000000" w14:paraId="00000317">
            <w:pPr>
              <w:keepNext w:val="0"/>
              <w:keepLines w:val="0"/>
              <w:pageBreakBefore w:val="0"/>
              <w:widowControl w:val="0"/>
              <w:numPr>
                <w:ilvl w:val="0"/>
                <w:numId w:val="29"/>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Customer funds originate from, or are sent to, an exchange that is not registered in the country where either the customer or exchange is located (there is no relation to where the customer lives or conducts business).</w:t>
            </w:r>
          </w:p>
          <w:p w:rsidRPr="00000000" w:rsidR="00000000" w:rsidDel="00000000" w:rsidP="00000000" w:rsidRDefault="00000000" w14:paraId="00000318">
            <w:pPr>
              <w:keepNext w:val="0"/>
              <w:keepLines w:val="0"/>
              <w:pageBreakBefore w:val="0"/>
              <w:widowControl w:val="0"/>
              <w:numPr>
                <w:ilvl w:val="0"/>
                <w:numId w:val="29"/>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Customer utilises a virtual asset exchange or foreign-located Money Value Transfer Service in a high-risk country.</w:t>
            </w:r>
            <w:r w:rsidRPr="00000000" w:rsidDel="00000000" w:rsidR="00000000">
              <w:rPr>
                <w:i w:val="0"/>
                <w:iCs w:val="0"/>
                <w:smallCaps w:val="0"/>
                <w:strike w:val="0"/>
                <w:color w:val="000000"/>
                <w:sz w:val="22"/>
                <w:szCs w:val="22"/>
                <w:u w:val="none"/>
                <w:shd w:val="clear" w:fill="auto"/>
                <w:vertAlign w:val="superscript"/>
              </w:rPr>
              <w:footnoteReference w:customMarkFollows="0" w:id="3"/>
            </w:r>
            <w:r w:rsidRPr="00000000" w:rsidDel="00000000" w:rsidR="00000000">
              <w:rPr>
                <w:rtl w:val="0"/>
              </w:rPr>
            </w:r>
          </w:p>
          <w:p w:rsidRPr="00000000" w:rsidR="00000000" w:rsidDel="00000000" w:rsidP="00000000" w:rsidRDefault="00000000" w14:paraId="00000319">
            <w:pPr>
              <w:jc w:val="both"/>
              <w:rPr/>
            </w:pPr>
            <w:r w:rsidRPr="00000000" w:rsidDel="00000000" w:rsidR="00000000">
              <w:rPr>
                <w:rtl w:val="0"/>
              </w:rPr>
            </w:r>
          </w:p>
          <w:p w:rsidRPr="00000000" w:rsidR="00000000" w:rsidDel="00000000" w:rsidP="00000000" w:rsidRDefault="00000000" w14:paraId="0000031A">
            <w:pPr>
              <w:jc w:val="both"/>
              <w:rPr>
                <w:b w:val="1"/>
                <w:bCs w:val="1"/>
                <w:i w:val="1"/>
                <w:iCs w:val="1"/>
                <w:u w:val="single"/>
              </w:rPr>
            </w:pPr>
            <w:r w:rsidRPr="00000000" w:rsidDel="00000000" w:rsidR="00000000">
              <w:rPr>
                <w:b w:val="1"/>
                <w:bCs w:val="1"/>
                <w:i w:val="1"/>
                <w:iCs w:val="1"/>
                <w:u w:val="single"/>
                <w:rtl w:val="0"/>
              </w:rPr>
              <w:t xml:space="preserve">Red Flag Indicators Related to User KYC, Senders or Recipients</w:t>
            </w:r>
          </w:p>
          <w:p w:rsidRPr="00000000" w:rsidR="00000000" w:rsidDel="00000000" w:rsidP="00000000" w:rsidRDefault="00000000" w14:paraId="0000031B">
            <w:pPr>
              <w:keepNext w:val="0"/>
              <w:keepLines w:val="0"/>
              <w:pageBreakBefore w:val="0"/>
              <w:widowControl w:val="1"/>
              <w:numPr>
                <w:ilvl w:val="0"/>
                <w:numId w:val="29"/>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Irregularities during account creation, such as creating different accounts under different names, or transactions initiated from IP addresses from sanctioned jurisdictions. </w:t>
            </w:r>
          </w:p>
          <w:p w:rsidRPr="00000000" w:rsidR="00000000" w:rsidDel="00000000" w:rsidP="00000000" w:rsidRDefault="00000000" w14:paraId="0000031C">
            <w:pPr>
              <w:keepNext w:val="0"/>
              <w:keepLines w:val="0"/>
              <w:pageBreakBefore w:val="0"/>
              <w:widowControl w:val="1"/>
              <w:numPr>
                <w:ilvl w:val="0"/>
                <w:numId w:val="29"/>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Irregularities during the customer due diligence process, for example incomplete or insufficient customer information, forged identification documents during onboarding, user being a PEP without declaring it.</w:t>
            </w:r>
          </w:p>
          <w:p w:rsidRPr="00000000" w:rsidR="00000000" w:rsidDel="00000000" w:rsidP="00000000" w:rsidRDefault="00000000" w14:paraId="0000031D">
            <w:pPr>
              <w:keepNext w:val="0"/>
              <w:keepLines w:val="0"/>
              <w:pageBreakBefore w:val="0"/>
              <w:widowControl w:val="1"/>
              <w:numPr>
                <w:ilvl w:val="0"/>
                <w:numId w:val="29"/>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Irregularities in customer profile, such as adverse media search, for example: A customer is known via publicly available information to law enforcement due to previous criminal association.</w:t>
            </w:r>
          </w:p>
          <w:p w:rsidRPr="00000000" w:rsidR="00000000" w:rsidDel="00000000" w:rsidP="00000000" w:rsidRDefault="00000000" w14:paraId="0000031E">
            <w:pPr>
              <w:keepNext w:val="0"/>
              <w:keepLines w:val="0"/>
              <w:pageBreakBefore w:val="0"/>
              <w:widowControl w:val="1"/>
              <w:numPr>
                <w:ilvl w:val="0"/>
                <w:numId w:val="29"/>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rFonts w:ascii="Arial" w:hAnsi="Arial" w:eastAsia="Arial" w:cs="Arial"/>
              </w:rPr>
            </w:pPr>
            <w:r w:rsidRPr="00000000" w:rsidDel="00000000" w:rsidR="00000000">
              <w:rPr>
                <w:rtl w:val="0"/>
              </w:rPr>
              <w:t xml:space="preserve">Third-party payments involved in the fiat transactions under review (Additional step to check user Card List in Badmin &gt; Fiat &gt; Card List)</w:t>
            </w:r>
          </w:p>
          <w:p w:rsidRPr="00000000" w:rsidR="00000000" w:rsidDel="00000000" w:rsidP="00000000" w:rsidRDefault="00000000" w14:paraId="0000031F">
            <w:pPr>
              <w:keepNext w:val="0"/>
              <w:keepLines w:val="0"/>
              <w:pageBreakBefore w:val="0"/>
              <w:widowControl w:val="1"/>
              <w:numPr>
                <w:ilvl w:val="0"/>
                <w:numId w:val="29"/>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Irregularities in customer profile compared to established Customer Risk Rating.</w:t>
            </w:r>
          </w:p>
          <w:p w:rsidRPr="00000000" w:rsidR="00000000" w:rsidDel="00000000" w:rsidP="00000000" w:rsidRDefault="00000000" w14:paraId="00000320">
            <w:pPr>
              <w:keepNext w:val="0"/>
              <w:keepLines w:val="0"/>
              <w:pageBreakBefore w:val="0"/>
              <w:widowControl w:val="1"/>
              <w:numPr>
                <w:ilvl w:val="0"/>
                <w:numId w:val="29"/>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Sender / recipient lacking knowledge or providing inaccurate information about the transaction, the source of funds, or the relationship with the counterparty (for example Potential mule or scam victims).</w:t>
            </w:r>
          </w:p>
          <w:p w:rsidRPr="00000000" w:rsidR="00000000" w:rsidDel="00000000" w:rsidP="00000000" w:rsidRDefault="00000000" w14:paraId="00000321">
            <w:pPr>
              <w:keepNext w:val="0"/>
              <w:keepLines w:val="0"/>
              <w:pageBreakBefore w:val="0"/>
              <w:widowControl w:val="1"/>
              <w:numPr>
                <w:ilvl w:val="0"/>
                <w:numId w:val="29"/>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Deposits or withdrawal from/to wallet addresses that have been identified as risky based on exposure to Risky categories such as sanctions, dark market, terrorist financing etc.</w:t>
            </w:r>
          </w:p>
          <w:p w:rsidRPr="00000000" w:rsidR="00000000" w:rsidDel="00000000" w:rsidP="00000000" w:rsidRDefault="00000000" w14:paraId="00000322">
            <w:pPr>
              <w:keepNext w:val="0"/>
              <w:keepLines w:val="0"/>
              <w:pageBreakBefore w:val="0"/>
              <w:widowControl w:val="1"/>
              <w:numPr>
                <w:ilvl w:val="0"/>
                <w:numId w:val="29"/>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Discrepancies arising from IP addresses associated with the customer’s profile versus the IP addresses from which transactions are being initiated.</w:t>
            </w:r>
          </w:p>
          <w:p w:rsidRPr="00000000" w:rsidR="00000000" w:rsidDel="00000000" w:rsidP="00000000" w:rsidRDefault="00000000" w14:paraId="00000323">
            <w:pPr>
              <w:jc w:val="both"/>
              <w:rPr/>
            </w:pPr>
            <w:r w:rsidRPr="00000000" w:rsidDel="00000000" w:rsidR="00000000">
              <w:rPr>
                <w:rtl w:val="0"/>
              </w:rPr>
            </w:r>
          </w:p>
          <w:p w:rsidRPr="00000000" w:rsidR="00000000" w:rsidDel="00000000" w:rsidP="00000000" w:rsidRDefault="00000000" w14:paraId="00000324">
            <w:pPr>
              <w:jc w:val="both"/>
              <w:rPr>
                <w:b w:val="1"/>
                <w:bCs w:val="1"/>
                <w:i w:val="1"/>
                <w:iCs w:val="1"/>
                <w:u w:val="single"/>
              </w:rPr>
            </w:pPr>
            <w:r w:rsidRPr="00000000" w:rsidDel="00000000" w:rsidR="00000000">
              <w:rPr>
                <w:b w:val="1"/>
                <w:bCs w:val="1"/>
                <w:i w:val="1"/>
                <w:iCs w:val="1"/>
                <w:u w:val="single"/>
                <w:rtl w:val="0"/>
              </w:rPr>
              <w:t xml:space="preserve">Red Flag Indicators Related to Source of Funds or Wealth</w:t>
            </w:r>
          </w:p>
          <w:p w:rsidRPr="00000000" w:rsidR="00000000" w:rsidDel="00000000" w:rsidP="00000000" w:rsidRDefault="00000000" w14:paraId="00000325">
            <w:pPr>
              <w:keepNext w:val="0"/>
              <w:keepLines w:val="0"/>
              <w:pageBreakBefore w:val="0"/>
              <w:widowControl w:val="1"/>
              <w:numPr>
                <w:ilvl w:val="0"/>
                <w:numId w:val="29"/>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Transacting with known wallet addresses that are connected to known fraud, ransomware schemes or darknet marketplaces. </w:t>
            </w:r>
          </w:p>
          <w:p w:rsidRPr="00000000" w:rsidR="00000000" w:rsidDel="00000000" w:rsidP="00000000" w:rsidRDefault="00000000" w14:paraId="00000326">
            <w:pPr>
              <w:keepNext w:val="0"/>
              <w:keepLines w:val="0"/>
              <w:pageBreakBefore w:val="0"/>
              <w:widowControl w:val="1"/>
              <w:numPr>
                <w:ilvl w:val="0"/>
                <w:numId w:val="29"/>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The use of one or multiple credit and/or debit cards that are linked to an account to withdraw large amounts of fiat currency (crypto to plastic).</w:t>
            </w:r>
          </w:p>
          <w:p w:rsidRPr="00000000" w:rsidR="00000000" w:rsidDel="00000000" w:rsidP="00000000" w:rsidRDefault="00000000" w14:paraId="00000327">
            <w:pPr>
              <w:keepNext w:val="0"/>
              <w:keepLines w:val="0"/>
              <w:pageBreakBefore w:val="0"/>
              <w:widowControl w:val="1"/>
              <w:numPr>
                <w:ilvl w:val="0"/>
                <w:numId w:val="29"/>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VA transactions originating from or destined to online gambling services.</w:t>
            </w:r>
          </w:p>
          <w:p w:rsidRPr="00000000" w:rsidR="00000000" w:rsidDel="00000000" w:rsidP="00000000" w:rsidRDefault="00000000" w14:paraId="00000328">
            <w:pPr>
              <w:keepNext w:val="0"/>
              <w:keepLines w:val="0"/>
              <w:pageBreakBefore w:val="0"/>
              <w:widowControl w:val="1"/>
              <w:numPr>
                <w:ilvl w:val="0"/>
                <w:numId w:val="29"/>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Deposits into an account or virtual assets address are significantly higher than ordinary with an unknown source of funds, followed by conversion to fiat currency, which may indicate theft of funds. </w:t>
            </w:r>
          </w:p>
          <w:p w:rsidRPr="00000000" w:rsidR="00000000" w:rsidDel="00000000" w:rsidP="00000000" w:rsidRDefault="00000000" w14:paraId="00000329">
            <w:pPr>
              <w:keepNext w:val="0"/>
              <w:keepLines w:val="0"/>
              <w:pageBreakBefore w:val="0"/>
              <w:widowControl w:val="1"/>
              <w:numPr>
                <w:ilvl w:val="0"/>
                <w:numId w:val="29"/>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Lack of transparency or insufficient information on the origin and owners of the funds, such as incoming transactions from online payments systems through credit/prepaid cards followed by instant withdrawal. </w:t>
            </w:r>
          </w:p>
          <w:p w:rsidRPr="00000000" w:rsidR="00000000" w:rsidDel="00000000" w:rsidP="00000000" w:rsidRDefault="00000000" w14:paraId="0000032A">
            <w:pPr>
              <w:keepNext w:val="0"/>
              <w:keepLines w:val="0"/>
              <w:pageBreakBefore w:val="0"/>
              <w:widowControl w:val="1"/>
              <w:numPr>
                <w:ilvl w:val="0"/>
                <w:numId w:val="29"/>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Bulk of a customer’s source of wealth is derived from fraudulent instruments. </w:t>
            </w:r>
          </w:p>
          <w:p w:rsidRPr="00000000" w:rsidR="00000000" w:rsidDel="00000000" w:rsidP="00000000" w:rsidRDefault="00000000" w14:paraId="0000032B">
            <w:pPr>
              <w:widowControl w:val="0"/>
              <w:jc w:val="both"/>
              <w:rPr/>
            </w:pPr>
            <w:r w:rsidRPr="00000000" w:rsidDel="00000000" w:rsidR="00000000">
              <w:rPr>
                <w:rtl w:val="0"/>
              </w:rPr>
            </w:r>
          </w:p>
          <w:p w:rsidRPr="00000000" w:rsidR="00000000" w:rsidDel="00000000" w:rsidP="00000000" w:rsidRDefault="00000000" w14:paraId="0000032C">
            <w:pPr>
              <w:jc w:val="both"/>
              <w:rPr>
                <w:b w:val="1"/>
                <w:bCs w:val="1"/>
                <w:i w:val="1"/>
                <w:iCs w:val="1"/>
                <w:u w:val="single"/>
              </w:rPr>
            </w:pPr>
            <w:r w:rsidRPr="00000000" w:rsidDel="00000000" w:rsidR="00000000">
              <w:rPr>
                <w:b w:val="1"/>
                <w:bCs w:val="1"/>
                <w:i w:val="1"/>
                <w:iCs w:val="1"/>
                <w:u w:val="single"/>
                <w:rtl w:val="0"/>
              </w:rPr>
              <w:t xml:space="preserve">Red Flag Indicators Related to Unusual Device Attributes</w:t>
            </w:r>
          </w:p>
          <w:p w:rsidRPr="00000000" w:rsidR="00000000" w:rsidDel="00000000" w:rsidP="00000000" w:rsidRDefault="00000000" w14:paraId="0000032D">
            <w:pPr>
              <w:keepNext w:val="0"/>
              <w:keepLines w:val="0"/>
              <w:pageBreakBefore w:val="0"/>
              <w:widowControl w:val="1"/>
              <w:numPr>
                <w:ilvl w:val="0"/>
                <w:numId w:val="29"/>
              </w:numPr>
              <w:pBdr>
                <w:top w:val="nil" w:sz="0" w:space="0"/>
                <w:left w:val="nil" w:sz="0" w:space="0"/>
                <w:bottom w:val="nil" w:sz="0" w:space="0"/>
                <w:right w:val="nil" w:sz="0" w:space="0"/>
                <w:between w:val="nil" w:sz="0" w:space="0"/>
              </w:pBdr>
              <w:shd w:val="clear" w:fill="auto"/>
              <w:spacing w:before="0" w:after="200" w:line="276" w:lineRule="auto"/>
              <w:ind w:left="360" w:right="0" w:hanging="360"/>
              <w:jc w:val="left"/>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Accessing the Binance platform via unusual IP Addresses or Device Time Zones can be a cause for concern. </w:t>
            </w:r>
            <w:r w:rsidRPr="00000000" w:rsidDel="00000000" w:rsidR="00000000">
              <w:rPr>
                <w:rtl w:val="0"/>
              </w:rPr>
            </w:r>
          </w:p>
        </w:tc>
      </w:tr>
    </w:tbl>
    <w:p w:rsidRPr="00000000" w:rsidR="00000000" w:rsidDel="00000000" w:rsidP="00000000" w:rsidRDefault="00000000" w14:paraId="0000032E">
      <w:pPr>
        <w:spacing w:after="0" w:line="240" w:lineRule="auto"/>
        <w:jc w:val="both"/>
        <w:rPr/>
      </w:pPr>
      <w:r w:rsidRPr="00000000" w:rsidDel="00000000" w:rsidR="00000000">
        <w:rPr>
          <w:rtl w:val="0"/>
        </w:rPr>
      </w:r>
    </w:p>
    <w:p w:rsidRPr="00000000" w:rsidR="00000000" w:rsidDel="00000000" w:rsidP="00000000" w:rsidRDefault="00000000" w14:paraId="0000032F">
      <w:pPr>
        <w:spacing w:after="240" w:lineRule="auto"/>
        <w:ind w:firstLine="720"/>
        <w:jc w:val="both"/>
        <w:rPr>
          <w:b w:val="1"/>
          <w:bCs w:val="1"/>
          <w:u w:val="single"/>
        </w:rPr>
      </w:pPr>
      <w:bookmarkStart w:name="_heading=h.fhgta7mgyjb0" w:colFirst="0" w:colLast="0" w:id="116"/>
      <w:bookmarkEnd w:id="116"/>
      <w:r w:rsidRPr="00000000" w:rsidDel="00000000" w:rsidR="00000000">
        <w:rPr>
          <w:b w:val="1"/>
          <w:bCs w:val="1"/>
          <w:u w:val="single"/>
          <w:rtl w:val="0"/>
        </w:rPr>
        <w:t xml:space="preserve">On-chain Risk Indicators</w:t>
      </w:r>
    </w:p>
    <w:p w:rsidRPr="00000000" w:rsidR="00000000" w:rsidDel="00000000" w:rsidP="00000000" w:rsidRDefault="00000000" w14:paraId="00000330">
      <w:pPr>
        <w:numPr>
          <w:ilvl w:val="2"/>
          <w:numId w:val="25"/>
        </w:numPr>
        <w:spacing w:after="240" w:lineRule="auto"/>
        <w:ind w:left="720" w:hanging="720"/>
        <w:jc w:val="both"/>
        <w:rPr/>
      </w:pPr>
      <w:bookmarkStart w:name="_heading=h.cauclxe6npj6" w:colFirst="0" w:colLast="0" w:id="117"/>
      <w:bookmarkEnd w:id="117"/>
      <w:r w:rsidRPr="00000000" w:rsidDel="00000000" w:rsidR="00000000">
        <w:rPr>
          <w:rtl w:val="0"/>
        </w:rPr>
        <w:t xml:space="preserve">Additionally, </w:t>
      </w:r>
      <w:r w:rsidRPr="00000000" w:rsidDel="00000000" w:rsidR="00000000">
        <w:rPr>
          <w:sz w:val="21"/>
          <w:szCs w:val="21"/>
          <w:highlight w:val="white"/>
          <w:rtl w:val="0"/>
        </w:rPr>
        <w:t xml:space="preserve">If intermediary addresses show unusual activity patterns (e.g., rapid fund movements, mixing, or layering), L1 analysts can investigate further as part of holistic review of</w:t>
      </w:r>
      <w:r w:rsidRPr="00000000" w:rsidDel="00000000" w:rsidR="00000000">
        <w:rPr>
          <w:rtl w:val="0"/>
        </w:rPr>
        <w:t xml:space="preserve"> the triggered alert including:</w:t>
      </w:r>
      <w:r w:rsidRPr="00000000" w:rsidDel="00000000" w:rsidR="00000000">
        <w:rPr>
          <w:vertAlign w:val="superscript"/>
        </w:rPr>
        <w:footnoteReference w:customMarkFollows="0" w:id="4"/>
      </w:r>
      <w:r w:rsidRPr="00000000" w:rsidDel="00000000" w:rsidR="00000000">
        <w:rPr>
          <w:rtl w:val="0"/>
        </w:rPr>
      </w:r>
    </w:p>
    <w:tbl>
      <w:tblPr>
        <w:tblStyle w:val="Table19"/>
        <w:tblW w:w="9015.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260"/>
        <w:gridCol w:w="7755"/>
        <w:tblGridChange w:id="0">
          <w:tblGrid>
            <w:gridCol w:w="1260"/>
            <w:gridCol w:w="7755"/>
          </w:tblGrid>
        </w:tblGridChange>
      </w:tblGrid>
      <w:tr>
        <w:trPr>
          <w:cantSplit w:val="0"/>
          <w:trHeight w:val="358.5546875" w:hRule="atLeast"/>
          <w:tblHeader w:val="0"/>
        </w:trPr>
        <w:tc>
          <w:tcPr>
            <w:shd w:val="clear" w:fill="f7cbac"/>
          </w:tcPr>
          <w:p w:rsidRPr="00000000" w:rsidR="00000000" w:rsidDel="00000000" w:rsidP="00000000" w:rsidRDefault="00000000" w14:paraId="00000331">
            <w:pPr>
              <w:spacing w:line="276" w:lineRule="auto"/>
              <w:jc w:val="both"/>
              <w:rPr>
                <w:b w:val="1"/>
                <w:bCs w:val="1"/>
              </w:rPr>
            </w:pPr>
            <w:r w:rsidRPr="00000000" w:rsidDel="00000000" w:rsidR="00000000">
              <w:rPr>
                <w:b w:val="1"/>
                <w:bCs w:val="1"/>
                <w:rtl w:val="0"/>
              </w:rPr>
              <w:t xml:space="preserve">Risk Analysis</w:t>
            </w:r>
          </w:p>
        </w:tc>
        <w:tc>
          <w:tcPr>
            <w:shd w:val="clear" w:fill="f7cbac"/>
          </w:tcPr>
          <w:p w:rsidRPr="00000000" w:rsidR="00000000" w:rsidDel="00000000" w:rsidP="00000000" w:rsidRDefault="00000000" w14:paraId="00000332">
            <w:pPr>
              <w:spacing w:line="276" w:lineRule="auto"/>
              <w:jc w:val="both"/>
              <w:rPr>
                <w:b w:val="1"/>
                <w:bCs w:val="1"/>
              </w:rPr>
            </w:pPr>
            <w:r w:rsidRPr="00000000" w:rsidDel="00000000" w:rsidR="00000000">
              <w:rPr>
                <w:b w:val="1"/>
                <w:bCs w:val="1"/>
                <w:rtl w:val="0"/>
              </w:rPr>
              <w:t xml:space="preserve">Explanation</w:t>
            </w:r>
          </w:p>
        </w:tc>
      </w:tr>
      <w:tr>
        <w:trPr>
          <w:cantSplit w:val="0"/>
          <w:tblHeader w:val="0"/>
        </w:trPr>
        <w:tc>
          <w:tcPr/>
          <w:p w:rsidRPr="00000000" w:rsidR="00000000" w:rsidDel="00000000" w:rsidP="00000000" w:rsidRDefault="00000000" w14:paraId="00000333">
            <w:pPr>
              <w:spacing w:line="276" w:lineRule="auto"/>
              <w:rPr/>
            </w:pPr>
            <w:r w:rsidRPr="00000000" w:rsidDel="00000000" w:rsidR="00000000">
              <w:rPr>
                <w:rtl w:val="0"/>
              </w:rPr>
              <w:t xml:space="preserve">Wallet Behavior Analysis</w:t>
            </w:r>
          </w:p>
        </w:tc>
        <w:tc>
          <w:tcPr/>
          <w:p w:rsidRPr="00000000" w:rsidR="00000000" w:rsidDel="00000000" w:rsidP="00000000" w:rsidRDefault="00000000" w14:paraId="00000334">
            <w:pPr>
              <w:keepNext w:val="0"/>
              <w:keepLines w:val="0"/>
              <w:pageBreakBefore w:val="0"/>
              <w:widowControl w:val="1"/>
              <w:numPr>
                <w:ilvl w:val="0"/>
                <w:numId w:val="31"/>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Multi-hop Analysis</w:t>
            </w:r>
            <w:r w:rsidRPr="00000000" w:rsidDel="00000000" w:rsidR="00000000">
              <w:rPr>
                <w:i w:val="0"/>
                <w:iCs w:val="0"/>
                <w:smallCaps w:val="0"/>
                <w:strike w:val="0"/>
                <w:color w:val="000000"/>
                <w:sz w:val="22"/>
                <w:szCs w:val="22"/>
                <w:u w:val="none"/>
                <w:shd w:val="clear" w:fill="auto"/>
                <w:vertAlign w:val="baseline"/>
                <w:rtl w:val="0"/>
              </w:rPr>
              <w:t xml:space="preserve">: Track funds through multiple intermediary wallets to identify obfuscation techniques used to hide the origin or destination of funds, classified as flowthrough and passthrough activity.</w:t>
            </w:r>
          </w:p>
          <w:p w:rsidRPr="00000000" w:rsidR="00000000" w:rsidDel="00000000" w:rsidP="00000000" w:rsidRDefault="00000000" w14:paraId="00000335">
            <w:pPr>
              <w:keepNext w:val="0"/>
              <w:keepLines w:val="0"/>
              <w:pageBreakBefore w:val="0"/>
              <w:widowControl w:val="1"/>
              <w:numPr>
                <w:ilvl w:val="0"/>
                <w:numId w:val="31"/>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Sequential analysis</w:t>
            </w:r>
            <w:r w:rsidRPr="00000000" w:rsidDel="00000000" w:rsidR="00000000">
              <w:rPr>
                <w:i w:val="0"/>
                <w:iCs w:val="0"/>
                <w:smallCaps w:val="0"/>
                <w:strike w:val="0"/>
                <w:color w:val="000000"/>
                <w:sz w:val="22"/>
                <w:szCs w:val="22"/>
                <w:u w:val="none"/>
                <w:shd w:val="clear" w:fill="auto"/>
                <w:vertAlign w:val="baseline"/>
                <w:rtl w:val="0"/>
              </w:rPr>
              <w:t xml:space="preserve">: When occurring in sequence, certain actions might raise red flags. For instance, a newly created wallet that immediately receives a large transaction from high-risk illicit sites directly or indirectly and then disperses it into multiple smaller transactions may be flagged as suspicious.</w:t>
            </w:r>
          </w:p>
          <w:p w:rsidRPr="00000000" w:rsidR="00000000" w:rsidDel="00000000" w:rsidP="00000000" w:rsidRDefault="00000000" w14:paraId="00000336">
            <w:pPr>
              <w:keepNext w:val="0"/>
              <w:keepLines w:val="0"/>
              <w:pageBreakBefore w:val="0"/>
              <w:widowControl w:val="1"/>
              <w:numPr>
                <w:ilvl w:val="0"/>
                <w:numId w:val="31"/>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Red Flags:</w:t>
            </w:r>
            <w:r w:rsidRPr="00000000" w:rsidDel="00000000" w:rsidR="00000000">
              <w:rPr>
                <w:i w:val="0"/>
                <w:iCs w:val="0"/>
                <w:smallCaps w:val="0"/>
                <w:strike w:val="0"/>
                <w:color w:val="000000"/>
                <w:sz w:val="22"/>
                <w:szCs w:val="22"/>
                <w:u w:val="none"/>
                <w:shd w:val="clear" w:fill="auto"/>
                <w:vertAlign w:val="baseline"/>
                <w:rtl w:val="0"/>
              </w:rPr>
              <w:t xml:space="preserve"> Frequent wallet address changes, transactions in quick succession, or funds moving through several wallets rapidly.</w:t>
            </w:r>
          </w:p>
        </w:tc>
      </w:tr>
      <w:tr>
        <w:trPr>
          <w:cantSplit w:val="0"/>
          <w:tblHeader w:val="0"/>
        </w:trPr>
        <w:tc>
          <w:tcPr/>
          <w:p w:rsidRPr="00000000" w:rsidR="00000000" w:rsidDel="00000000" w:rsidP="00000000" w:rsidRDefault="00000000" w14:paraId="00000337">
            <w:pPr>
              <w:spacing w:line="276" w:lineRule="auto"/>
              <w:rPr/>
            </w:pPr>
            <w:r w:rsidRPr="00000000" w:rsidDel="00000000" w:rsidR="00000000">
              <w:rPr>
                <w:rtl w:val="0"/>
              </w:rPr>
              <w:t xml:space="preserve">Exposure Analysis</w:t>
            </w:r>
          </w:p>
        </w:tc>
        <w:tc>
          <w:tcPr/>
          <w:p w:rsidRPr="00000000" w:rsidR="00000000" w:rsidDel="00000000" w:rsidP="00000000" w:rsidRDefault="00000000" w14:paraId="00000338">
            <w:pPr>
              <w:spacing w:line="276" w:lineRule="auto"/>
              <w:rPr/>
            </w:pPr>
            <w:r w:rsidRPr="00000000" w:rsidDel="00000000" w:rsidR="00000000">
              <w:rPr>
                <w:rtl w:val="0"/>
              </w:rPr>
              <w:t xml:space="preserve">This process review addresses historical transaction risk by assessing their on-chain source and destination of funds.</w:t>
            </w:r>
          </w:p>
          <w:p w:rsidRPr="00000000" w:rsidR="00000000" w:rsidDel="00000000" w:rsidP="00000000" w:rsidRDefault="00000000" w14:paraId="00000339">
            <w:pPr>
              <w:keepNext w:val="0"/>
              <w:keepLines w:val="0"/>
              <w:pageBreakBefore w:val="0"/>
              <w:widowControl w:val="1"/>
              <w:numPr>
                <w:ilvl w:val="0"/>
                <w:numId w:val="11"/>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Percentage Analysis</w:t>
            </w:r>
            <w:r w:rsidRPr="00000000" w:rsidDel="00000000" w:rsidR="00000000">
              <w:rPr>
                <w:i w:val="0"/>
                <w:iCs w:val="0"/>
                <w:smallCaps w:val="0"/>
                <w:strike w:val="0"/>
                <w:color w:val="000000"/>
                <w:sz w:val="22"/>
                <w:szCs w:val="22"/>
                <w:u w:val="none"/>
                <w:shd w:val="clear" w:fill="auto"/>
                <w:vertAlign w:val="baseline"/>
                <w:rtl w:val="0"/>
              </w:rPr>
              <w:t xml:space="preserve">: Analyzing an address for high percentage exposure reveals increased risk and association with the source or destination of funds.</w:t>
            </w:r>
          </w:p>
          <w:p w:rsidRPr="00000000" w:rsidR="00000000" w:rsidDel="00000000" w:rsidP="00000000" w:rsidRDefault="00000000" w14:paraId="0000033A">
            <w:pPr>
              <w:keepNext w:val="0"/>
              <w:keepLines w:val="0"/>
              <w:pageBreakBefore w:val="0"/>
              <w:widowControl w:val="1"/>
              <w:numPr>
                <w:ilvl w:val="0"/>
                <w:numId w:val="11"/>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Flowthrough/Sweep Analysis</w:t>
            </w:r>
            <w:r w:rsidRPr="00000000" w:rsidDel="00000000" w:rsidR="00000000">
              <w:rPr>
                <w:i w:val="0"/>
                <w:iCs w:val="0"/>
                <w:smallCaps w:val="0"/>
                <w:strike w:val="0"/>
                <w:color w:val="000000"/>
                <w:sz w:val="22"/>
                <w:szCs w:val="22"/>
                <w:u w:val="none"/>
                <w:shd w:val="clear" w:fill="auto"/>
                <w:vertAlign w:val="baseline"/>
                <w:rtl w:val="0"/>
              </w:rPr>
              <w:t xml:space="preserve">: Analyzing address transactions to identify rapid in-and-out patterns and sweeping activity that may indicate nesting at a service.</w:t>
            </w:r>
          </w:p>
          <w:p w:rsidRPr="00000000" w:rsidR="00000000" w:rsidDel="00000000" w:rsidP="00000000" w:rsidRDefault="00000000" w14:paraId="0000033B">
            <w:pPr>
              <w:keepNext w:val="0"/>
              <w:keepLines w:val="0"/>
              <w:pageBreakBefore w:val="0"/>
              <w:widowControl w:val="1"/>
              <w:numPr>
                <w:ilvl w:val="0"/>
                <w:numId w:val="11"/>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Fee Analysis</w:t>
            </w:r>
            <w:r w:rsidRPr="00000000" w:rsidDel="00000000" w:rsidR="00000000">
              <w:rPr>
                <w:i w:val="0"/>
                <w:iCs w:val="0"/>
                <w:smallCaps w:val="0"/>
                <w:strike w:val="0"/>
                <w:color w:val="000000"/>
                <w:sz w:val="22"/>
                <w:szCs w:val="22"/>
                <w:u w:val="none"/>
                <w:shd w:val="clear" w:fill="auto"/>
                <w:vertAlign w:val="baseline"/>
                <w:rtl w:val="0"/>
              </w:rPr>
              <w:t xml:space="preserve">: Analyzing an EVM or TVM address to identify a counterparty address paying the fees to transact a token, which may reveal potential ownership of an unknown address.</w:t>
            </w:r>
          </w:p>
        </w:tc>
      </w:tr>
      <w:tr>
        <w:trPr>
          <w:cantSplit w:val="0"/>
          <w:trHeight w:val="2332.4023437499995" w:hRule="atLeast"/>
          <w:tblHeader w:val="0"/>
        </w:trPr>
        <w:tc>
          <w:tcPr/>
          <w:p w:rsidRPr="00000000" w:rsidR="00000000" w:rsidDel="00000000" w:rsidP="00000000" w:rsidRDefault="00000000" w14:paraId="0000033C">
            <w:pPr>
              <w:spacing w:line="276" w:lineRule="auto"/>
              <w:rPr/>
            </w:pPr>
            <w:r w:rsidRPr="00000000" w:rsidDel="00000000" w:rsidR="00000000">
              <w:rPr>
                <w:rtl w:val="0"/>
              </w:rPr>
              <w:t xml:space="preserve">Cluster Analysis</w:t>
            </w:r>
          </w:p>
        </w:tc>
        <w:tc>
          <w:tcPr/>
          <w:p w:rsidRPr="00000000" w:rsidR="00000000" w:rsidDel="00000000" w:rsidP="00000000" w:rsidRDefault="00000000" w14:paraId="0000033D">
            <w:pPr>
              <w:spacing w:line="276" w:lineRule="auto"/>
              <w:jc w:val="both"/>
              <w:rPr/>
            </w:pPr>
            <w:r w:rsidRPr="00000000" w:rsidDel="00000000" w:rsidR="00000000">
              <w:rPr>
                <w:rtl w:val="0"/>
              </w:rPr>
              <w:t xml:space="preserve">This process entails grouping associated wallets to identify entities or networks operating multiple wallets.</w:t>
            </w:r>
          </w:p>
          <w:p w:rsidRPr="00000000" w:rsidR="00000000" w:rsidDel="00000000" w:rsidP="00000000" w:rsidRDefault="00000000" w14:paraId="0000033E">
            <w:pPr>
              <w:keepNext w:val="0"/>
              <w:keepLines w:val="0"/>
              <w:pageBreakBefore w:val="0"/>
              <w:widowControl w:val="1"/>
              <w:numPr>
                <w:ilvl w:val="0"/>
                <w:numId w:val="12"/>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Wallet Association</w:t>
            </w:r>
            <w:r w:rsidRPr="00000000" w:rsidDel="00000000" w:rsidR="00000000">
              <w:rPr>
                <w:i w:val="0"/>
                <w:iCs w:val="0"/>
                <w:smallCaps w:val="0"/>
                <w:strike w:val="0"/>
                <w:color w:val="000000"/>
                <w:sz w:val="22"/>
                <w:szCs w:val="22"/>
                <w:u w:val="none"/>
                <w:shd w:val="clear" w:fill="auto"/>
                <w:vertAlign w:val="baseline"/>
                <w:rtl w:val="0"/>
              </w:rPr>
              <w:t xml:space="preserve">: Identify multiple wallets operated by a single or closely linked individual/entities.</w:t>
            </w:r>
          </w:p>
          <w:p w:rsidRPr="00000000" w:rsidR="00000000" w:rsidDel="00000000" w:rsidP="00000000" w:rsidRDefault="00000000" w14:paraId="0000033F">
            <w:pPr>
              <w:keepNext w:val="0"/>
              <w:keepLines w:val="0"/>
              <w:pageBreakBefore w:val="0"/>
              <w:widowControl w:val="1"/>
              <w:numPr>
                <w:ilvl w:val="0"/>
                <w:numId w:val="12"/>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Commonality Detection</w:t>
            </w:r>
            <w:r w:rsidRPr="00000000" w:rsidDel="00000000" w:rsidR="00000000">
              <w:rPr>
                <w:i w:val="0"/>
                <w:iCs w:val="0"/>
                <w:smallCaps w:val="0"/>
                <w:strike w:val="0"/>
                <w:color w:val="000000"/>
                <w:sz w:val="22"/>
                <w:szCs w:val="22"/>
                <w:u w:val="none"/>
                <w:shd w:val="clear" w:fill="auto"/>
                <w:vertAlign w:val="baseline"/>
                <w:rtl w:val="0"/>
              </w:rPr>
              <w:t xml:space="preserve">: Spot common attributes or patterns across multiple wallets that may indicate coordination.</w:t>
            </w:r>
          </w:p>
          <w:p w:rsidRPr="00000000" w:rsidR="00000000" w:rsidDel="00000000" w:rsidP="00000000" w:rsidRDefault="00000000" w14:paraId="00000340">
            <w:pPr>
              <w:keepNext w:val="0"/>
              <w:keepLines w:val="0"/>
              <w:pageBreakBefore w:val="0"/>
              <w:widowControl w:val="1"/>
              <w:numPr>
                <w:ilvl w:val="0"/>
                <w:numId w:val="12"/>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Red Flags</w:t>
            </w:r>
            <w:r w:rsidRPr="00000000" w:rsidDel="00000000" w:rsidR="00000000">
              <w:rPr>
                <w:i w:val="0"/>
                <w:iCs w:val="0"/>
                <w:smallCaps w:val="0"/>
                <w:strike w:val="0"/>
                <w:color w:val="000000"/>
                <w:sz w:val="22"/>
                <w:szCs w:val="22"/>
                <w:u w:val="none"/>
                <w:shd w:val="clear" w:fill="auto"/>
                <w:vertAlign w:val="baseline"/>
                <w:rtl w:val="0"/>
              </w:rPr>
              <w:t xml:space="preserve">: Large networks of associated wallets transacting frequently with each other.</w:t>
            </w:r>
            <w:r w:rsidRPr="00000000" w:rsidDel="00000000" w:rsidR="00000000">
              <w:rPr>
                <w:rtl w:val="0"/>
              </w:rPr>
            </w:r>
          </w:p>
        </w:tc>
      </w:tr>
      <w:tr>
        <w:trPr>
          <w:cantSplit w:val="0"/>
          <w:tblHeader w:val="0"/>
        </w:trPr>
        <w:tc>
          <w:tcPr/>
          <w:p w:rsidRPr="00000000" w:rsidR="00000000" w:rsidDel="00000000" w:rsidP="00000000" w:rsidRDefault="00000000" w14:paraId="00000341">
            <w:pPr>
              <w:spacing w:line="276" w:lineRule="auto"/>
              <w:rPr/>
            </w:pPr>
            <w:r w:rsidRPr="00000000" w:rsidDel="00000000" w:rsidR="00000000">
              <w:rPr>
                <w:rtl w:val="0"/>
              </w:rPr>
              <w:t xml:space="preserve">Temporal Analysis</w:t>
            </w:r>
          </w:p>
        </w:tc>
        <w:tc>
          <w:tcPr/>
          <w:p w:rsidRPr="00000000" w:rsidR="00000000" w:rsidDel="00000000" w:rsidP="00000000" w:rsidRDefault="00000000" w14:paraId="00000342">
            <w:pPr>
              <w:spacing w:line="276" w:lineRule="auto"/>
              <w:jc w:val="both"/>
              <w:rPr/>
            </w:pPr>
            <w:r w:rsidRPr="00000000" w:rsidDel="00000000" w:rsidR="00000000">
              <w:rPr>
                <w:rtl w:val="0"/>
              </w:rPr>
              <w:t xml:space="preserve">This is an examination of how certain events or patterns evolve on the address.</w:t>
            </w:r>
          </w:p>
          <w:p w:rsidRPr="00000000" w:rsidR="00000000" w:rsidDel="00000000" w:rsidP="00000000" w:rsidRDefault="00000000" w14:paraId="00000343">
            <w:pPr>
              <w:keepNext w:val="0"/>
              <w:keepLines w:val="0"/>
              <w:pageBreakBefore w:val="0"/>
              <w:widowControl w:val="1"/>
              <w:numPr>
                <w:ilvl w:val="0"/>
                <w:numId w:val="13"/>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Time Patterns:</w:t>
            </w:r>
            <w:r w:rsidRPr="00000000" w:rsidDel="00000000" w:rsidR="00000000">
              <w:rPr>
                <w:i w:val="0"/>
                <w:iCs w:val="0"/>
                <w:smallCaps w:val="0"/>
                <w:strike w:val="0"/>
                <w:color w:val="000000"/>
                <w:sz w:val="22"/>
                <w:szCs w:val="22"/>
                <w:u w:val="none"/>
                <w:shd w:val="clear" w:fill="auto"/>
                <w:vertAlign w:val="baseline"/>
                <w:rtl w:val="0"/>
              </w:rPr>
              <w:t xml:space="preserve"> Transactions made at unusual times, like consistent activity at off-peak hours, can be flagged. Criminal activities often seek times when monitoring might be perceived as lax.</w:t>
            </w:r>
          </w:p>
          <w:p w:rsidRPr="00000000" w:rsidR="00000000" w:rsidDel="00000000" w:rsidP="00000000" w:rsidRDefault="00000000" w14:paraId="00000344">
            <w:pPr>
              <w:keepNext w:val="0"/>
              <w:keepLines w:val="0"/>
              <w:pageBreakBefore w:val="0"/>
              <w:widowControl w:val="1"/>
              <w:numPr>
                <w:ilvl w:val="0"/>
                <w:numId w:val="13"/>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Frequency Analysis</w:t>
            </w:r>
            <w:r w:rsidRPr="00000000" w:rsidDel="00000000" w:rsidR="00000000">
              <w:rPr>
                <w:i w:val="0"/>
                <w:iCs w:val="0"/>
                <w:smallCaps w:val="0"/>
                <w:strike w:val="0"/>
                <w:color w:val="000000"/>
                <w:sz w:val="22"/>
                <w:szCs w:val="22"/>
                <w:u w:val="none"/>
                <w:shd w:val="clear" w:fill="auto"/>
                <w:vertAlign w:val="baseline"/>
                <w:rtl w:val="0"/>
              </w:rPr>
              <w:t xml:space="preserve">: Increased transaction frequencies with unknown high-risk wallets may suggest a potential connection with illicit activities.</w:t>
            </w:r>
            <w:r w:rsidRPr="00000000" w:rsidDel="00000000" w:rsidR="00000000">
              <w:rPr>
                <w:rtl w:val="0"/>
              </w:rPr>
            </w:r>
          </w:p>
        </w:tc>
      </w:tr>
    </w:tbl>
    <w:p w:rsidRPr="00000000" w:rsidR="00000000" w:rsidDel="00000000" w:rsidP="00000000" w:rsidRDefault="00000000" w14:paraId="00000345">
      <w:pPr>
        <w:spacing w:after="0" w:line="276" w:lineRule="auto"/>
        <w:jc w:val="both"/>
        <w:rPr/>
      </w:pPr>
      <w:r w:rsidRPr="00000000" w:rsidDel="00000000" w:rsidR="00000000">
        <w:rPr>
          <w:rtl w:val="0"/>
        </w:rPr>
      </w:r>
    </w:p>
    <w:p w:rsidRPr="00000000" w:rsidR="00000000" w:rsidDel="00000000" w:rsidP="00000000" w:rsidRDefault="00000000" w14:paraId="00000346">
      <w:pPr>
        <w:numPr>
          <w:ilvl w:val="2"/>
          <w:numId w:val="25"/>
        </w:numPr>
        <w:spacing w:after="240" w:lineRule="auto"/>
        <w:ind w:left="720" w:hanging="720"/>
        <w:jc w:val="both"/>
        <w:rPr/>
      </w:pPr>
      <w:bookmarkStart w:name="_heading=h.wta58u618aqi" w:colFirst="0" w:colLast="0" w:id="118"/>
      <w:bookmarkEnd w:id="118"/>
      <w:r w:rsidRPr="00000000" w:rsidDel="00000000" w:rsidR="00000000">
        <w:rPr>
          <w:rtl w:val="0"/>
        </w:rPr>
        <w:t xml:space="preserve">The above factors, in addition to a holistic review of the clients profile in a comparison with the alerted transaction, should be reviewed to complete an overall risk assessment of the user. In the event that a potential violation of Binance’s Global Sanctions Policy, Global AML Policy, or transactions that may be indicative of money laundering or terror financing, the associated transaction should be escalated for review.</w:t>
      </w:r>
    </w:p>
    <w:p w:rsidRPr="00000000" w:rsidR="00000000" w:rsidDel="00000000" w:rsidP="00000000" w:rsidRDefault="00000000" w14:paraId="00000347">
      <w:pPr>
        <w:pStyle w:val="Heading1"/>
        <w:keepNext w:val="1"/>
        <w:keepLines w:val="1"/>
        <w:pageBreakBefore w:val="0"/>
        <w:widowControl w:val="1"/>
        <w:numPr>
          <w:ilvl w:val="0"/>
          <w:numId w:val="25"/>
        </w:numPr>
        <w:pBdr>
          <w:top w:val="nil" w:sz="0" w:space="0"/>
          <w:left w:val="nil" w:sz="0" w:space="0"/>
          <w:bottom w:val="nil" w:sz="0" w:space="0"/>
          <w:right w:val="nil" w:sz="0" w:space="0"/>
          <w:between w:val="nil" w:sz="0" w:space="0"/>
        </w:pBdr>
        <w:shd w:val="clear" w:fill="auto"/>
        <w:spacing w:before="480" w:after="240" w:line="276" w:lineRule="auto"/>
        <w:ind w:left="720" w:right="0" w:hanging="720"/>
        <w:jc w:val="both"/>
        <w:rPr/>
      </w:pPr>
      <w:bookmarkStart w:name="_heading=h.hspyptfhb7ib" w:colFirst="0" w:colLast="0" w:id="119"/>
      <w:bookmarkEnd w:id="119"/>
      <w:r w:rsidRPr="00000000" w:rsidDel="00000000" w:rsidR="00000000">
        <w:rPr>
          <w:rFonts w:ascii="Arial" w:hAnsi="Arial" w:eastAsia="Arial" w:cs="Arial"/>
          <w:smallCaps w:val="1"/>
          <w:sz w:val="28"/>
          <w:szCs w:val="28"/>
          <w:rtl w:val="0"/>
        </w:rPr>
        <w:t xml:space="preserve">TRIGGER EVENT REFERRALS</w:t>
      </w:r>
    </w:p>
    <w:p w:rsidRPr="00000000" w:rsidR="00000000" w:rsidDel="00000000" w:rsidP="00000000" w:rsidRDefault="00000000" w14:paraId="00000348">
      <w:pPr>
        <w:pStyle w:val="Heading2"/>
        <w:numPr>
          <w:ilvl w:val="1"/>
          <w:numId w:val="25"/>
        </w:numPr>
        <w:spacing w:after="240" w:lineRule="auto"/>
        <w:ind w:left="720"/>
        <w:jc w:val="both"/>
        <w:rPr/>
      </w:pPr>
      <w:bookmarkStart w:name="_heading=h.49q281e38i54" w:colFirst="0" w:colLast="0" w:id="120"/>
      <w:bookmarkEnd w:id="120"/>
      <w:r w:rsidRPr="00000000" w:rsidDel="00000000" w:rsidR="00000000">
        <w:rPr>
          <w:rFonts w:ascii="Arial" w:hAnsi="Arial" w:eastAsia="Arial" w:cs="Arial"/>
          <w:sz w:val="24"/>
          <w:szCs w:val="24"/>
          <w:rtl w:val="0"/>
        </w:rPr>
        <w:t xml:space="preserve">Overview</w:t>
      </w:r>
    </w:p>
    <w:p w:rsidRPr="00000000" w:rsidR="00000000" w:rsidDel="00000000" w:rsidP="00000000" w:rsidRDefault="00000000" w14:paraId="00000349">
      <w:pPr>
        <w:numPr>
          <w:ilvl w:val="2"/>
          <w:numId w:val="25"/>
        </w:numPr>
        <w:spacing w:after="240" w:lineRule="auto"/>
        <w:ind w:left="720" w:hanging="720"/>
        <w:jc w:val="both"/>
        <w:rPr/>
      </w:pPr>
      <w:r w:rsidRPr="00000000" w:rsidDel="00000000" w:rsidR="00000000">
        <w:rPr>
          <w:rtl w:val="0"/>
        </w:rPr>
        <w:t xml:space="preserve">During the alert evaluation process, the Analysts may uncover new data or revised details that necessitate a re-evaluation of the CDD for specific clients. Binance Group’s High Risk Customer Monitoring Program overviews EDD Measures Binance takes for customers and activities that present higher than normal ML, TF and proliferation financing (PF) risk.</w:t>
      </w:r>
    </w:p>
    <w:p w:rsidRPr="00000000" w:rsidR="00000000" w:rsidDel="00000000" w:rsidP="00000000" w:rsidRDefault="00000000" w14:paraId="0000034A">
      <w:pPr>
        <w:pStyle w:val="Heading2"/>
        <w:numPr>
          <w:ilvl w:val="1"/>
          <w:numId w:val="25"/>
        </w:numPr>
        <w:spacing w:after="240" w:lineRule="auto"/>
        <w:ind w:left="720" w:right="30"/>
        <w:jc w:val="left"/>
        <w:rPr/>
      </w:pPr>
      <w:bookmarkStart w:name="_heading=h.iiadryksv34b" w:colFirst="0" w:colLast="0" w:id="121"/>
      <w:bookmarkEnd w:id="121"/>
      <w:r w:rsidRPr="00000000" w:rsidDel="00000000" w:rsidR="00000000">
        <w:rPr>
          <w:rFonts w:ascii="Arial" w:hAnsi="Arial" w:eastAsia="Arial" w:cs="Arial"/>
          <w:sz w:val="24"/>
          <w:szCs w:val="24"/>
          <w:rtl w:val="0"/>
        </w:rPr>
        <w:t xml:space="preserve">Identification of Politically Exposed Persons (PEPs) or High-Risk Individuals</w:t>
      </w:r>
    </w:p>
    <w:p w:rsidRPr="00000000" w:rsidR="00000000" w:rsidDel="00000000" w:rsidP="00000000" w:rsidRDefault="00000000" w14:paraId="0000034B">
      <w:pPr>
        <w:numPr>
          <w:ilvl w:val="2"/>
          <w:numId w:val="25"/>
        </w:numPr>
        <w:spacing w:after="240" w:lineRule="auto"/>
        <w:ind w:left="720" w:hanging="720"/>
        <w:jc w:val="both"/>
        <w:rPr/>
      </w:pPr>
      <w:bookmarkStart w:name="_heading=h.iym3mjmxg133" w:colFirst="0" w:colLast="0" w:id="122"/>
      <w:bookmarkEnd w:id="122"/>
      <w:r w:rsidRPr="00000000" w:rsidDel="00000000" w:rsidR="00000000">
        <w:rPr>
          <w:rtl w:val="0"/>
        </w:rPr>
        <w:t xml:space="preserve">If a customer is newly classified as a </w:t>
      </w:r>
      <w:r w:rsidRPr="00000000" w:rsidDel="00000000" w:rsidR="00000000">
        <w:rPr>
          <w:rtl w:val="0"/>
        </w:rPr>
        <w:t xml:space="preserve">PEP or high-risk individual through public domain research, this prompts a reevaluation of their profile.</w:t>
      </w:r>
      <w:r w:rsidRPr="00000000" w:rsidDel="00000000" w:rsidR="00000000">
        <w:rPr>
          <w:rtl w:val="0"/>
        </w:rPr>
        <w:t xml:space="preserve"> Enhanced due diligence procedures are undertaken to assess any additional risks associated with these classifications. Analysts may refer to PEP definition and identification described in the Global AML/CTF Policy and PEP Guidance Document.</w:t>
      </w:r>
    </w:p>
    <w:p w:rsidRPr="00000000" w:rsidR="00000000" w:rsidDel="00000000" w:rsidP="00000000" w:rsidRDefault="00000000" w14:paraId="0000034C">
      <w:pPr>
        <w:numPr>
          <w:ilvl w:val="2"/>
          <w:numId w:val="25"/>
        </w:numPr>
        <w:spacing w:after="240" w:lineRule="auto"/>
        <w:ind w:left="720" w:hanging="720"/>
        <w:jc w:val="both"/>
        <w:rPr/>
      </w:pPr>
      <w:bookmarkStart w:name="_heading=h.55bxb4dsu0hs" w:colFirst="0" w:colLast="0" w:id="123"/>
      <w:bookmarkEnd w:id="123"/>
      <w:r w:rsidRPr="00000000" w:rsidDel="00000000" w:rsidR="00000000">
        <w:rPr>
          <w:rtl w:val="0"/>
        </w:rPr>
        <w:t xml:space="preserve">Indeterminate </w:t>
      </w:r>
      <w:r w:rsidRPr="00000000" w:rsidDel="00000000" w:rsidR="00000000">
        <w:rPr>
          <w:rtl w:val="0"/>
        </w:rPr>
        <w:t xml:space="preserve">Source of Funds and/or Source of Wealth</w:t>
      </w:r>
      <w:r w:rsidRPr="00000000" w:rsidDel="00000000" w:rsidR="00000000">
        <w:rPr>
          <w:rtl w:val="0"/>
        </w:rPr>
        <w:t xml:space="preserve">: In cases where the source of a customer's funds and/or wealth remains vague or indeterminate, further investigation is required. This involves a deeper analysis of the customer’s financial activities and background to ascertain the legitimacy of their assets. </w:t>
      </w:r>
    </w:p>
    <w:p w:rsidRPr="00000000" w:rsidR="00000000" w:rsidDel="00000000" w:rsidP="00000000" w:rsidRDefault="00000000" w14:paraId="0000034D">
      <w:pPr>
        <w:numPr>
          <w:ilvl w:val="2"/>
          <w:numId w:val="25"/>
        </w:numPr>
        <w:spacing w:after="240" w:lineRule="auto"/>
        <w:ind w:left="720" w:hanging="720"/>
        <w:jc w:val="both"/>
        <w:rPr/>
      </w:pPr>
      <w:bookmarkStart w:name="_heading=h.8u1jysbxpc98" w:colFirst="0" w:colLast="0" w:id="124"/>
      <w:bookmarkEnd w:id="124"/>
      <w:r w:rsidRPr="00000000" w:rsidDel="00000000" w:rsidR="00000000">
        <w:rPr>
          <w:rtl w:val="0"/>
        </w:rPr>
        <w:t xml:space="preserve">Verification of Source of Funds includes obtaining independent corroborating evidence such as bank account statements, proof of dividend payments connected to a shareholding, salary/bonus certificates, loan documentation and proof of all transactions which gave rise to payments into the account. A customer should be able to demonstrate and have documented how the relevant funds are connected to a particular event which gave rise to the payment into the account or to the source of the funds for a transaction.</w:t>
      </w:r>
    </w:p>
    <w:p w:rsidRPr="00000000" w:rsidR="00000000" w:rsidDel="00000000" w:rsidP="00000000" w:rsidRDefault="00000000" w14:paraId="0000034E">
      <w:pPr>
        <w:numPr>
          <w:ilvl w:val="2"/>
          <w:numId w:val="25"/>
        </w:numPr>
        <w:spacing w:after="240" w:lineRule="auto"/>
        <w:ind w:left="720" w:hanging="720"/>
        <w:jc w:val="both"/>
        <w:rPr/>
      </w:pPr>
      <w:bookmarkStart w:name="_heading=h.1vify92mqkic" w:colFirst="0" w:colLast="0" w:id="125"/>
      <w:bookmarkEnd w:id="125"/>
      <w:r w:rsidRPr="00000000" w:rsidDel="00000000" w:rsidR="00000000">
        <w:rPr>
          <w:rtl w:val="0"/>
        </w:rPr>
        <w:t xml:space="preserve">Verification of Source of Wealth includes obtaining independent corroborating evidence such as bank account statements, share certificates, publicly available registers of ownership, probate documents, news items from a reputable source and other similar evidence. Source of Wealth is requested directly from the client if an investigation requires that (applicable for Bifinity and Onchain process only).</w:t>
      </w:r>
    </w:p>
    <w:p w:rsidRPr="00000000" w:rsidR="00000000" w:rsidDel="00000000" w:rsidP="00000000" w:rsidRDefault="00000000" w14:paraId="0000034F">
      <w:pPr>
        <w:pStyle w:val="Heading2"/>
        <w:numPr>
          <w:ilvl w:val="1"/>
          <w:numId w:val="25"/>
        </w:numPr>
        <w:spacing w:after="240" w:lineRule="auto"/>
        <w:ind w:left="720"/>
        <w:jc w:val="both"/>
        <w:rPr/>
      </w:pPr>
      <w:bookmarkStart w:name="_heading=h.iyr0rkhmjar0" w:colFirst="0" w:colLast="0" w:id="126"/>
      <w:bookmarkEnd w:id="126"/>
      <w:r w:rsidRPr="00000000" w:rsidDel="00000000" w:rsidR="00000000">
        <w:rPr>
          <w:rFonts w:ascii="Arial" w:hAnsi="Arial" w:eastAsia="Arial" w:cs="Arial"/>
          <w:sz w:val="24"/>
          <w:szCs w:val="24"/>
          <w:rtl w:val="0"/>
        </w:rPr>
        <w:t xml:space="preserve">Misuse of Account for Commercial Purposes</w:t>
      </w:r>
    </w:p>
    <w:p w:rsidRPr="00000000" w:rsidR="00000000" w:rsidDel="00000000" w:rsidP="00000000" w:rsidRDefault="00000000" w14:paraId="00000350">
      <w:pPr>
        <w:numPr>
          <w:ilvl w:val="2"/>
          <w:numId w:val="25"/>
        </w:numPr>
        <w:spacing w:after="240" w:lineRule="auto"/>
        <w:ind w:left="720" w:hanging="720"/>
        <w:rPr/>
      </w:pPr>
      <w:bookmarkStart w:name="_heading=h.i8neshlsf2pr" w:colFirst="0" w:colLast="0" w:id="127"/>
      <w:bookmarkEnd w:id="127"/>
      <w:r w:rsidRPr="00000000" w:rsidDel="00000000" w:rsidR="00000000">
        <w:rPr>
          <w:rtl w:val="0"/>
        </w:rPr>
        <w:t xml:space="preserve">If there are reasonable grounds to believe that a retail user is using his/her retail account for purposes described as follows:</w:t>
      </w:r>
    </w:p>
    <w:p w:rsidRPr="00000000" w:rsidR="00000000" w:rsidDel="00000000" w:rsidP="00000000" w:rsidRDefault="00000000" w14:paraId="00000351">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Commercial and business activities;</w:t>
      </w:r>
    </w:p>
    <w:p w:rsidRPr="00000000" w:rsidR="00000000" w:rsidDel="00000000" w:rsidP="00000000" w:rsidRDefault="00000000" w14:paraId="00000352">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Performing transactions not based on personal interest/gain or on behalf of other parties;</w:t>
      </w:r>
    </w:p>
    <w:p w:rsidRPr="00000000" w:rsidR="00000000" w:rsidDel="00000000" w:rsidP="00000000" w:rsidRDefault="00000000" w14:paraId="00000353">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Retail account was operated by more than one individual on behalf of the company for business activities;</w:t>
      </w:r>
    </w:p>
    <w:p w:rsidRPr="00000000" w:rsidR="00000000" w:rsidDel="00000000" w:rsidP="00000000" w:rsidRDefault="00000000" w14:paraId="00000354">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Any other activities that may lead to believe that user is using the retail account for the benefit of an entity;</w:t>
      </w:r>
    </w:p>
    <w:p w:rsidRPr="00000000" w:rsidR="00000000" w:rsidDel="00000000" w:rsidP="00000000" w:rsidRDefault="00000000" w14:paraId="00000355">
      <w:pPr>
        <w:spacing w:after="240" w:lineRule="auto"/>
        <w:ind w:left="720" w:firstLine="0"/>
        <w:jc w:val="both"/>
        <w:rPr/>
      </w:pPr>
      <w:bookmarkStart w:name="_heading=h.vpz8bjkaszyw" w:colFirst="0" w:colLast="0" w:id="128"/>
      <w:bookmarkEnd w:id="128"/>
      <w:r w:rsidRPr="00000000" w:rsidDel="00000000" w:rsidR="00000000">
        <w:rPr>
          <w:rtl w:val="0"/>
        </w:rPr>
        <w:t xml:space="preserve">and no unusual potential ML/TF activity is present, the analyst may decide to close the case but send the UID to the KYB Team (@KYBComplianceBot) for further review and RFI of the user (On-Chain BAU only). The aim is to ensure that accounts are used in accordance with their designated terms and to identify any potential misuse or unauthorized activities.</w:t>
      </w:r>
    </w:p>
    <w:p w:rsidRPr="00000000" w:rsidR="00000000" w:rsidDel="00000000" w:rsidP="00000000" w:rsidRDefault="00000000" w14:paraId="00000356">
      <w:pPr>
        <w:pStyle w:val="Heading2"/>
        <w:numPr>
          <w:ilvl w:val="1"/>
          <w:numId w:val="25"/>
        </w:numPr>
        <w:spacing w:after="240" w:lineRule="auto"/>
        <w:ind w:left="720"/>
        <w:jc w:val="both"/>
        <w:rPr/>
      </w:pPr>
      <w:bookmarkStart w:name="_heading=h.ekzjpobbex1n" w:colFirst="0" w:colLast="0" w:id="129"/>
      <w:bookmarkEnd w:id="129"/>
      <w:r w:rsidRPr="00000000" w:rsidDel="00000000" w:rsidR="00000000">
        <w:rPr>
          <w:rFonts w:ascii="Arial" w:hAnsi="Arial" w:eastAsia="Arial" w:cs="Arial"/>
          <w:sz w:val="24"/>
          <w:szCs w:val="24"/>
          <w:rtl w:val="0"/>
        </w:rPr>
        <w:t xml:space="preserve">Unusual KYC</w:t>
      </w:r>
    </w:p>
    <w:p w:rsidRPr="00000000" w:rsidR="00000000" w:rsidDel="00000000" w:rsidP="00000000" w:rsidRDefault="00000000" w14:paraId="00000357">
      <w:pPr>
        <w:numPr>
          <w:ilvl w:val="2"/>
          <w:numId w:val="25"/>
        </w:numPr>
        <w:spacing w:after="240" w:lineRule="auto"/>
        <w:ind w:left="720" w:hanging="720"/>
        <w:jc w:val="both"/>
        <w:rPr/>
      </w:pPr>
      <w:bookmarkStart w:name="_heading=h.hvn3nxqile3l" w:colFirst="0" w:colLast="0" w:id="130"/>
      <w:bookmarkEnd w:id="130"/>
      <w:r w:rsidRPr="00000000" w:rsidDel="00000000" w:rsidR="00000000">
        <w:rPr>
          <w:rtl w:val="0"/>
        </w:rPr>
        <w:t xml:space="preserve">If the account activities do not suggest unusual transaction patterns, however, there is reasonable grounds to believe that a retail user has high risk indicators suggesting KYC Fraud described as follows:</w:t>
      </w:r>
    </w:p>
    <w:p w:rsidRPr="00000000" w:rsidR="00000000" w:rsidDel="00000000" w:rsidP="00000000" w:rsidRDefault="00000000" w14:paraId="00000358">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Fake KYC / POA</w:t>
      </w:r>
    </w:p>
    <w:p w:rsidRPr="00000000" w:rsidR="00000000" w:rsidDel="00000000" w:rsidP="00000000" w:rsidRDefault="00000000" w14:paraId="00000359">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Face attack in video/selfie</w:t>
      </w:r>
    </w:p>
    <w:p w:rsidRPr="00000000" w:rsidR="00000000" w:rsidDel="00000000" w:rsidP="00000000" w:rsidRDefault="00000000" w14:paraId="0000035A">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Purchased KYC</w:t>
      </w:r>
    </w:p>
    <w:p w:rsidRPr="00000000" w:rsidR="00000000" w:rsidDel="00000000" w:rsidP="00000000" w:rsidRDefault="00000000" w14:paraId="0000035B">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Forged KYC</w:t>
      </w:r>
    </w:p>
    <w:p w:rsidRPr="00000000" w:rsidR="00000000" w:rsidDel="00000000" w:rsidP="00000000" w:rsidRDefault="00000000" w14:paraId="0000035C">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Force Face Verify</w:t>
      </w:r>
    </w:p>
    <w:p w:rsidRPr="00000000" w:rsidR="00000000" w:rsidDel="00000000" w:rsidP="00000000" w:rsidRDefault="00000000" w14:paraId="0000035D">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Duplicated Accounts (Users with multiple accounts)</w:t>
      </w:r>
    </w:p>
    <w:p w:rsidRPr="00000000" w:rsidR="00000000" w:rsidDel="00000000" w:rsidP="00000000" w:rsidRDefault="00000000" w14:paraId="0000035E">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Selfie vs ID photo mismatch</w:t>
      </w:r>
    </w:p>
    <w:p w:rsidRPr="00000000" w:rsidR="00000000" w:rsidDel="00000000" w:rsidP="00000000" w:rsidRDefault="00000000" w14:paraId="0000035F">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Multiple people in Jumio</w:t>
      </w:r>
    </w:p>
    <w:p w:rsidRPr="00000000" w:rsidR="00000000" w:rsidDel="00000000" w:rsidP="00000000" w:rsidRDefault="00000000" w14:paraId="00000360">
      <w:pPr>
        <w:numPr>
          <w:ilvl w:val="2"/>
          <w:numId w:val="25"/>
        </w:numPr>
        <w:spacing w:after="240" w:lineRule="auto"/>
        <w:ind w:left="720" w:hanging="720"/>
        <w:jc w:val="both"/>
        <w:rPr/>
      </w:pPr>
      <w:bookmarkStart w:name="_heading=h.yhwzu3niibbk" w:colFirst="0" w:colLast="0" w:id="131"/>
      <w:bookmarkEnd w:id="131"/>
      <w:r w:rsidRPr="00000000" w:rsidDel="00000000" w:rsidR="00000000">
        <w:rPr>
          <w:rtl w:val="0"/>
        </w:rPr>
        <w:t xml:space="preserve">If KYC triggers are prevalent, advise no unusual activity identified however escalating to the risk team due to triggers. KYC Fraud escalation should be done via BAdmin: Audit -&gt; Risk Case -&gt; Center -&gt; Case Manually Mark. Detailed process described in Off-chain Transaction Monitoring Step-by-step Guide.</w:t>
      </w:r>
    </w:p>
    <w:p w:rsidRPr="00000000" w:rsidR="00000000" w:rsidDel="00000000" w:rsidP="00000000" w:rsidRDefault="00000000" w14:paraId="00000361">
      <w:pPr>
        <w:pStyle w:val="Heading2"/>
        <w:numPr>
          <w:ilvl w:val="1"/>
          <w:numId w:val="25"/>
        </w:numPr>
        <w:spacing w:after="240" w:lineRule="auto"/>
        <w:ind w:left="720"/>
        <w:jc w:val="both"/>
        <w:rPr/>
      </w:pPr>
      <w:bookmarkStart w:name="_heading=h.p7we8cplqq14" w:colFirst="0" w:colLast="0" w:id="132"/>
      <w:bookmarkEnd w:id="132"/>
      <w:r w:rsidRPr="00000000" w:rsidDel="00000000" w:rsidR="00000000">
        <w:rPr>
          <w:rFonts w:ascii="Arial" w:hAnsi="Arial" w:eastAsia="Arial" w:cs="Arial"/>
          <w:sz w:val="24"/>
          <w:szCs w:val="24"/>
          <w:rtl w:val="0"/>
        </w:rPr>
        <w:t xml:space="preserve">Review of Employee Accounts</w:t>
      </w:r>
    </w:p>
    <w:p w:rsidRPr="00000000" w:rsidR="00000000" w:rsidDel="00000000" w:rsidP="00000000" w:rsidRDefault="00000000" w14:paraId="00000362">
      <w:pPr>
        <w:numPr>
          <w:ilvl w:val="2"/>
          <w:numId w:val="25"/>
        </w:numPr>
        <w:spacing w:after="240" w:lineRule="auto"/>
        <w:ind w:left="720" w:hanging="720"/>
        <w:jc w:val="both"/>
        <w:rPr/>
      </w:pPr>
      <w:bookmarkStart w:name="_heading=h.tt6r176e01uh" w:colFirst="0" w:colLast="0" w:id="133"/>
      <w:bookmarkEnd w:id="133"/>
      <w:r w:rsidRPr="00000000" w:rsidDel="00000000" w:rsidR="00000000">
        <w:rPr>
          <w:rtl w:val="0"/>
        </w:rPr>
        <w:t xml:space="preserve">An employee case refers to any case involving a member of staff, regardless of their role within Binance Group.  Analysts must not directly contact the staff member subject.  Staff cases are </w:t>
      </w:r>
      <w:r w:rsidRPr="00000000" w:rsidDel="00000000" w:rsidR="00000000">
        <w:rPr>
          <w:b w:val="1"/>
          <w:bCs w:val="1"/>
          <w:i w:val="1"/>
          <w:iCs w:val="1"/>
          <w:u w:val="single"/>
          <w:rtl w:val="0"/>
        </w:rPr>
        <w:t xml:space="preserve">not</w:t>
      </w:r>
      <w:r w:rsidRPr="00000000" w:rsidDel="00000000" w:rsidR="00000000">
        <w:rPr>
          <w:rtl w:val="0"/>
        </w:rPr>
        <w:t xml:space="preserve"> limited to where the subject is a member of staff but will also include other parties involved in the case, such as counterparties, beneficiaries or originators of transactions under review.</w:t>
      </w:r>
    </w:p>
    <w:p w:rsidRPr="00000000" w:rsidR="00000000" w:rsidDel="00000000" w:rsidP="00000000" w:rsidRDefault="00000000" w14:paraId="00000363">
      <w:pPr>
        <w:numPr>
          <w:ilvl w:val="2"/>
          <w:numId w:val="25"/>
        </w:numPr>
        <w:spacing w:after="240" w:lineRule="auto"/>
        <w:ind w:left="720" w:hanging="720"/>
        <w:jc w:val="both"/>
        <w:rPr/>
      </w:pPr>
      <w:bookmarkStart w:name="_heading=h.ozf27n1zcgd" w:colFirst="0" w:colLast="0" w:id="134"/>
      <w:bookmarkEnd w:id="134"/>
      <w:r w:rsidRPr="00000000" w:rsidDel="00000000" w:rsidR="00000000">
        <w:rPr>
          <w:rtl w:val="0"/>
        </w:rPr>
        <w:t xml:space="preserve">A Binance Employee is defined as a Binance account holder who is employed full-time by the Binance Group. The users pose a particular risk due to both their level of internal access at Binance, in addition to the standard risks posed by a normal user of Binance’s digital asset exchange platform. As a result, a specific and targeted procedure is required to mitigate the enhanced risk posed by employee accounts. Binance Employee Accounts are identified as such via Binance Admin User Info Hub search (user_grp_employee error) and confirmed by AccessOpsBot as Employee Accounts.</w:t>
      </w:r>
    </w:p>
    <w:p w:rsidRPr="00000000" w:rsidR="00000000" w:rsidDel="00000000" w:rsidP="00000000" w:rsidRDefault="00000000" w14:paraId="00000364">
      <w:pPr>
        <w:numPr>
          <w:ilvl w:val="2"/>
          <w:numId w:val="25"/>
        </w:numPr>
        <w:spacing w:after="240" w:lineRule="auto"/>
        <w:ind w:left="720" w:hanging="720"/>
        <w:jc w:val="both"/>
        <w:rPr/>
      </w:pPr>
      <w:bookmarkStart w:name="_heading=h.7uandkts2l" w:colFirst="0" w:colLast="0" w:id="135"/>
      <w:bookmarkEnd w:id="135"/>
      <w:r w:rsidRPr="00000000" w:rsidDel="00000000" w:rsidR="00000000">
        <w:rPr>
          <w:rtl w:val="0"/>
        </w:rPr>
        <w:t xml:space="preserve">In the event of a triggered Transaction Monitoring / Screening alert on a Binance Employee account, the following steps should be taken to ensure adequate documentation, escalation, and risk mitigation:</w:t>
      </w:r>
    </w:p>
    <w:p w:rsidRPr="00000000" w:rsidR="00000000" w:rsidDel="00000000" w:rsidP="00000000" w:rsidRDefault="00000000" w14:paraId="00000365">
      <w:pPr>
        <w:numPr>
          <w:ilvl w:val="0"/>
          <w:numId w:val="14"/>
        </w:numPr>
        <w:spacing w:after="0" w:line="256" w:lineRule="auto"/>
        <w:ind w:left="1080" w:hanging="360"/>
        <w:jc w:val="both"/>
        <w:rPr>
          <w:rFonts w:ascii="Arial" w:hAnsi="Arial" w:eastAsia="Arial" w:cs="Arial"/>
        </w:rPr>
      </w:pPr>
      <w:r w:rsidRPr="00000000" w:rsidDel="00000000" w:rsidR="00000000">
        <w:rPr>
          <w:rtl w:val="0"/>
        </w:rPr>
        <w:t xml:space="preserve">Immediately escalate the case to a Transaction Monitoring Team Lead for review;</w:t>
      </w:r>
    </w:p>
    <w:p w:rsidRPr="00000000" w:rsidR="00000000" w:rsidDel="00000000" w:rsidP="00000000" w:rsidRDefault="00000000" w14:paraId="00000366">
      <w:pPr>
        <w:numPr>
          <w:ilvl w:val="0"/>
          <w:numId w:val="14"/>
        </w:numPr>
        <w:spacing w:after="0" w:line="256" w:lineRule="auto"/>
        <w:ind w:left="1080" w:hanging="360"/>
        <w:jc w:val="both"/>
        <w:rPr>
          <w:rFonts w:ascii="Arial" w:hAnsi="Arial" w:eastAsia="Arial" w:cs="Arial"/>
        </w:rPr>
      </w:pPr>
      <w:r w:rsidRPr="00000000" w:rsidDel="00000000" w:rsidR="00000000">
        <w:rPr>
          <w:rtl w:val="0"/>
        </w:rPr>
        <w:t xml:space="preserve">Transaction Monitoring Team Lead to document the case and findings within </w:t>
      </w:r>
      <w:hyperlink r:id="rId24">
        <w:r w:rsidRPr="00000000" w:rsidDel="00000000" w:rsidR="00000000">
          <w:rPr>
            <w:color w:val="1155cc"/>
            <w:u w:val="single"/>
            <w:rtl w:val="0"/>
          </w:rPr>
          <w:t xml:space="preserve">Employee Account Reviews</w:t>
        </w:r>
      </w:hyperlink>
      <w:r w:rsidRPr="00000000" w:rsidDel="00000000" w:rsidR="00000000">
        <w:rPr>
          <w:rtl w:val="0"/>
        </w:rPr>
        <w:t xml:space="preserve"> , of which access is strictly managed. The cases should be adjudicated inline with the current Global Transaction Monitoring Operating Procedures.</w:t>
      </w:r>
    </w:p>
    <w:p w:rsidRPr="00000000" w:rsidR="00000000" w:rsidDel="00000000" w:rsidP="00000000" w:rsidRDefault="00000000" w14:paraId="00000367">
      <w:pPr>
        <w:numPr>
          <w:ilvl w:val="0"/>
          <w:numId w:val="14"/>
        </w:numPr>
        <w:spacing w:after="0" w:line="256" w:lineRule="auto"/>
        <w:ind w:left="1080" w:hanging="360"/>
        <w:jc w:val="both"/>
        <w:rPr>
          <w:rFonts w:ascii="Arial" w:hAnsi="Arial" w:eastAsia="Arial" w:cs="Arial"/>
        </w:rPr>
      </w:pPr>
      <w:r w:rsidRPr="00000000" w:rsidDel="00000000" w:rsidR="00000000">
        <w:rPr>
          <w:rtl w:val="0"/>
        </w:rPr>
        <w:t xml:space="preserve">After the Transaction Monitoring Team Lead has conducted the review, the case status on HD to be changed to [Solved - Closed] or [Solved - Escalated to FCI]. Employee accounts reviews will not be part of Supervisory Review Sampling as well as not subject to L2 check.</w:t>
      </w:r>
    </w:p>
    <w:p w:rsidRPr="00000000" w:rsidR="00000000" w:rsidDel="00000000" w:rsidP="00000000" w:rsidRDefault="00000000" w14:paraId="00000368">
      <w:pPr>
        <w:numPr>
          <w:ilvl w:val="0"/>
          <w:numId w:val="14"/>
        </w:numPr>
        <w:spacing w:after="0" w:line="256" w:lineRule="auto"/>
        <w:ind w:left="1080" w:hanging="360"/>
        <w:jc w:val="both"/>
        <w:rPr>
          <w:rFonts w:ascii="Arial" w:hAnsi="Arial" w:eastAsia="Arial" w:cs="Arial"/>
        </w:rPr>
      </w:pPr>
      <w:r w:rsidRPr="00000000" w:rsidDel="00000000" w:rsidR="00000000">
        <w:rPr>
          <w:rtl w:val="0"/>
        </w:rPr>
        <w:t xml:space="preserve">In the event that potentially suspicious activity is identified, the user account and employee should be escalated to Internal Audit (@InternalAuditBot), the relevant Compliance Human Resources Business Partner (HRBP), in addition to the standard compliance escalation process referenced in the Binance Global AML Policy.</w:t>
      </w:r>
    </w:p>
    <w:p w:rsidRPr="00000000" w:rsidR="00000000" w:rsidDel="00000000" w:rsidP="00000000" w:rsidRDefault="00000000" w14:paraId="00000369">
      <w:pPr>
        <w:numPr>
          <w:ilvl w:val="0"/>
          <w:numId w:val="14"/>
        </w:numPr>
        <w:spacing w:after="0" w:line="256" w:lineRule="auto"/>
        <w:ind w:left="1080" w:hanging="360"/>
        <w:jc w:val="both"/>
        <w:rPr>
          <w:rFonts w:ascii="Arial" w:hAnsi="Arial" w:eastAsia="Arial" w:cs="Arial"/>
        </w:rPr>
      </w:pPr>
      <w:r w:rsidRPr="00000000" w:rsidDel="00000000" w:rsidR="00000000">
        <w:rPr>
          <w:rtl w:val="0"/>
        </w:rPr>
        <w:t xml:space="preserve">In the event that this potentially suspicious activity identified has occurred with one of Binance’s Licensed Entities, the affiliated user should also be escalated to the Financial Crime Investigations Team inline with local requirements.</w:t>
      </w:r>
    </w:p>
    <w:p w:rsidRPr="00000000" w:rsidR="00000000" w:rsidDel="00000000" w:rsidP="00000000" w:rsidRDefault="00000000" w14:paraId="0000036A">
      <w:pPr>
        <w:numPr>
          <w:ilvl w:val="0"/>
          <w:numId w:val="14"/>
        </w:numPr>
        <w:spacing w:after="0" w:line="256" w:lineRule="auto"/>
        <w:ind w:left="1080" w:hanging="360"/>
        <w:jc w:val="both"/>
        <w:rPr>
          <w:rFonts w:ascii="Arial" w:hAnsi="Arial" w:eastAsia="Arial" w:cs="Arial"/>
        </w:rPr>
      </w:pPr>
      <w:r w:rsidRPr="00000000" w:rsidDel="00000000" w:rsidR="00000000">
        <w:rPr>
          <w:rtl w:val="0"/>
        </w:rPr>
        <w:t xml:space="preserve">All communications should be held in strict confidentiality, with no communications to the affected employee whatsoever. The review outcome should be adequately documented, and never shared with the affected party(s).</w:t>
      </w:r>
    </w:p>
    <w:p w:rsidRPr="00000000" w:rsidR="00000000" w:rsidDel="00000000" w:rsidP="00000000" w:rsidRDefault="00000000" w14:paraId="0000036B">
      <w:pPr>
        <w:spacing w:after="0" w:line="256" w:lineRule="auto"/>
        <w:jc w:val="both"/>
        <w:rPr/>
      </w:pPr>
      <w:r w:rsidRPr="00000000" w:rsidDel="00000000" w:rsidR="00000000">
        <w:rPr>
          <w:rtl w:val="0"/>
        </w:rPr>
      </w:r>
    </w:p>
    <w:p w:rsidRPr="00000000" w:rsidR="00000000" w:rsidDel="00000000" w:rsidP="00000000" w:rsidRDefault="00000000" w14:paraId="0000036C">
      <w:pPr>
        <w:pStyle w:val="Heading2"/>
        <w:numPr>
          <w:ilvl w:val="1"/>
          <w:numId w:val="25"/>
        </w:numPr>
        <w:spacing w:after="240" w:lineRule="auto"/>
        <w:ind w:left="720"/>
        <w:jc w:val="both"/>
        <w:rPr/>
      </w:pPr>
      <w:bookmarkStart w:name="_heading=h.ev7ff0iryt49" w:colFirst="0" w:colLast="0" w:id="136"/>
      <w:bookmarkEnd w:id="136"/>
      <w:r w:rsidRPr="00000000" w:rsidDel="00000000" w:rsidR="00000000">
        <w:rPr>
          <w:rFonts w:ascii="Arial" w:hAnsi="Arial" w:eastAsia="Arial" w:cs="Arial"/>
          <w:sz w:val="24"/>
          <w:szCs w:val="24"/>
          <w:rtl w:val="0"/>
        </w:rPr>
        <w:t xml:space="preserve">Sub-account Identification and Reviews</w:t>
      </w:r>
    </w:p>
    <w:p w:rsidRPr="00000000" w:rsidR="00000000" w:rsidDel="00000000" w:rsidP="00000000" w:rsidRDefault="00000000" w14:paraId="0000036D">
      <w:pPr>
        <w:numPr>
          <w:ilvl w:val="2"/>
          <w:numId w:val="25"/>
        </w:numPr>
        <w:spacing w:after="240" w:lineRule="auto"/>
        <w:ind w:left="720" w:hanging="720"/>
        <w:jc w:val="both"/>
        <w:rPr/>
      </w:pPr>
      <w:bookmarkStart w:name="_heading=h.f48pnk2rh1pa" w:colFirst="0" w:colLast="0" w:id="137"/>
      <w:bookmarkEnd w:id="137"/>
      <w:r w:rsidRPr="00000000" w:rsidDel="00000000" w:rsidR="00000000">
        <w:rPr>
          <w:rtl w:val="0"/>
        </w:rPr>
        <w:t xml:space="preserve">Master and sub-accounts provide clients with a more organized, flexible, and efficient way to manage their funds and trading activities on Binance. The Master account is a user's primary account, while Sub-accounts are secondary accounts linked to the user's main account. Clients can segregate their funds, trading strategies, or operational activities. </w:t>
      </w:r>
    </w:p>
    <w:p w:rsidRPr="00000000" w:rsidR="00000000" w:rsidDel="00000000" w:rsidP="00000000" w:rsidRDefault="00000000" w14:paraId="0000036E">
      <w:pPr>
        <w:numPr>
          <w:ilvl w:val="2"/>
          <w:numId w:val="25"/>
        </w:numPr>
        <w:spacing w:after="240" w:lineRule="auto"/>
        <w:ind w:left="720" w:hanging="720"/>
        <w:jc w:val="both"/>
        <w:rPr/>
      </w:pPr>
      <w:bookmarkStart w:name="_heading=h.mywhelybivl8" w:colFirst="0" w:colLast="0" w:id="138"/>
      <w:bookmarkEnd w:id="138"/>
      <w:r w:rsidRPr="00000000" w:rsidDel="00000000" w:rsidR="00000000">
        <w:rPr>
          <w:rtl w:val="0"/>
        </w:rPr>
        <w:t xml:space="preserve">To access user data, initiate a search via the BA path: https://ba.blsdkrgjf.io/#/users/user-info-hub. Sub-accounts can be identified by reviewing the Account Type and Master Account details.</w:t>
      </w:r>
    </w:p>
    <w:p w:rsidRPr="00000000" w:rsidR="00000000" w:rsidDel="00000000" w:rsidP="00000000" w:rsidRDefault="00000000" w14:paraId="0000036F">
      <w:pPr>
        <w:numPr>
          <w:ilvl w:val="2"/>
          <w:numId w:val="25"/>
        </w:numPr>
        <w:spacing w:after="240" w:lineRule="auto"/>
        <w:ind w:left="720" w:hanging="720"/>
        <w:jc w:val="both"/>
        <w:rPr/>
      </w:pPr>
      <w:bookmarkStart w:name="_heading=h.yjm9x2lvjx7h" w:colFirst="0" w:colLast="0" w:id="139"/>
      <w:bookmarkEnd w:id="139"/>
      <w:r w:rsidRPr="00000000" w:rsidDel="00000000" w:rsidR="00000000">
        <w:rPr>
          <w:rtl w:val="0"/>
        </w:rPr>
        <w:t xml:space="preserve">Note that Cloud and Link exchanges follow this Master and sub-account structure. In cases necessitating further escalation, such as information requests or escalation of alerts/cases related to these accounts, the master account UID should serve as the primary UID, followed by the Sub-account UID for escalation under the user report. </w:t>
      </w:r>
    </w:p>
    <w:p w:rsidRPr="00000000" w:rsidR="00000000" w:rsidDel="00000000" w:rsidP="00000000" w:rsidRDefault="00000000" w14:paraId="00000370">
      <w:pPr>
        <w:numPr>
          <w:ilvl w:val="2"/>
          <w:numId w:val="25"/>
        </w:numPr>
        <w:spacing w:after="240" w:lineRule="auto"/>
        <w:ind w:left="720" w:hanging="720"/>
        <w:jc w:val="both"/>
        <w:rPr/>
      </w:pPr>
      <w:bookmarkStart w:name="_heading=h.bh7yn7m0387e" w:colFirst="0" w:colLast="0" w:id="140"/>
      <w:bookmarkEnd w:id="140"/>
      <w:r w:rsidRPr="00000000" w:rsidDel="00000000" w:rsidR="00000000">
        <w:rPr>
          <w:rtl w:val="0"/>
        </w:rPr>
        <w:t xml:space="preserve">Relating to the completion of the Know-Your-Customer (KYC) Broker KYC As A Service (SAA) System, Global TM has access to all relevant CDD Information, which should be leveraged during the alert adjudication process, including for CDD name searches and email searches.</w:t>
      </w:r>
    </w:p>
    <w:p w:rsidRPr="00000000" w:rsidR="00000000" w:rsidDel="00000000" w:rsidP="00000000" w:rsidRDefault="00000000" w14:paraId="00000371">
      <w:pPr>
        <w:numPr>
          <w:ilvl w:val="2"/>
          <w:numId w:val="25"/>
        </w:numPr>
        <w:spacing w:after="240" w:lineRule="auto"/>
        <w:ind w:left="720" w:hanging="720"/>
        <w:jc w:val="both"/>
        <w:rPr/>
      </w:pPr>
      <w:bookmarkStart w:name="_heading=h.kpcsfta3lbcn" w:colFirst="0" w:colLast="0" w:id="141"/>
      <w:bookmarkEnd w:id="141"/>
      <w:r w:rsidRPr="00000000" w:rsidDel="00000000" w:rsidR="00000000">
        <w:rPr>
          <w:rtl w:val="0"/>
        </w:rPr>
        <w:t xml:space="preserve">Brokerage Accounts, Sub-Accounts, and Master Accounts are to be adjudicated according to all Binance L1 requirements, including the </w:t>
      </w:r>
      <w:r w:rsidRPr="00000000" w:rsidDel="00000000" w:rsidR="00000000">
        <w:rPr>
          <w:rtl w:val="0"/>
        </w:rPr>
        <w:t xml:space="preserve">Onchain TM Matrix and TM Offchain Workflow</w:t>
      </w:r>
      <w:r w:rsidRPr="00000000" w:rsidDel="00000000" w:rsidR="00000000">
        <w:rPr>
          <w:rtl w:val="0"/>
        </w:rPr>
        <w:t xml:space="preserve"> sections below.</w:t>
      </w:r>
    </w:p>
    <w:p w:rsidRPr="00000000" w:rsidR="00000000" w:rsidDel="00000000" w:rsidP="00000000" w:rsidRDefault="00000000" w14:paraId="00000372">
      <w:pPr>
        <w:numPr>
          <w:ilvl w:val="2"/>
          <w:numId w:val="25"/>
        </w:numPr>
        <w:spacing w:after="240" w:lineRule="auto"/>
        <w:ind w:left="720" w:hanging="720"/>
        <w:jc w:val="both"/>
        <w:rPr/>
      </w:pPr>
      <w:bookmarkStart w:name="_heading=h.rf5ukslq2ly6" w:colFirst="0" w:colLast="0" w:id="142"/>
      <w:bookmarkEnd w:id="142"/>
      <w:r w:rsidRPr="00000000" w:rsidDel="00000000" w:rsidR="00000000">
        <w:rPr>
          <w:rtl w:val="0"/>
        </w:rPr>
        <w:t xml:space="preserve">Analysts should take account </w:t>
      </w:r>
      <w:r w:rsidRPr="00000000" w:rsidDel="00000000" w:rsidR="00000000">
        <w:rPr>
          <w:rtl w:val="0"/>
        </w:rPr>
        <w:t xml:space="preserve">to the</w:t>
      </w:r>
      <w:r w:rsidRPr="00000000" w:rsidDel="00000000" w:rsidR="00000000">
        <w:rPr>
          <w:rtl w:val="0"/>
        </w:rPr>
        <w:t xml:space="preserve"> restrictions of Sub account and Master Account during Account Review. In particular, the fact that users can receive deposits from external addresses into sub-account but cannot conduct withdrawals to external addresses through the sub account. The only way to withdraw is through transfer to the main account, which means in case an unusual pattern is observed, the analyst would be required to further analyze fund movement on the Parent (Master) Account.</w:t>
      </w:r>
    </w:p>
    <w:p w:rsidRPr="00000000" w:rsidR="00000000" w:rsidDel="00000000" w:rsidP="00000000" w:rsidRDefault="00000000" w14:paraId="00000373">
      <w:pPr>
        <w:numPr>
          <w:ilvl w:val="2"/>
          <w:numId w:val="25"/>
        </w:numPr>
        <w:spacing w:after="240" w:lineRule="auto"/>
        <w:ind w:left="720" w:hanging="720"/>
        <w:jc w:val="both"/>
        <w:rPr/>
      </w:pPr>
      <w:bookmarkStart w:name="_heading=h.yb2rrxcbingf" w:colFirst="0" w:colLast="0" w:id="143"/>
      <w:bookmarkEnd w:id="143"/>
      <w:r w:rsidRPr="00000000" w:rsidDel="00000000" w:rsidR="00000000">
        <w:rPr>
          <w:rtl w:val="0"/>
        </w:rPr>
        <w:t xml:space="preserve">If a sub-account triggers an off-chain transaction monitoring (TM) alert, a CDD check should also be conducted for the master (parent) account (Email, Name and Date of Account Registry). Further scrutiny should be applied when analyzing sub-account activity and noting any red flags. The Analyst may need to understand the source and destination of funds for both the sub-account and the master (parent) account, considering that they belong to the same user.</w:t>
      </w:r>
    </w:p>
    <w:p w:rsidRPr="00000000" w:rsidR="00000000" w:rsidDel="00000000" w:rsidP="00000000" w:rsidRDefault="00000000" w14:paraId="00000374">
      <w:pPr>
        <w:pStyle w:val="Heading2"/>
        <w:numPr>
          <w:ilvl w:val="1"/>
          <w:numId w:val="25"/>
        </w:numPr>
        <w:spacing w:after="240" w:lineRule="auto"/>
        <w:ind w:left="720"/>
        <w:jc w:val="both"/>
        <w:rPr/>
      </w:pPr>
      <w:bookmarkStart w:name="_heading=h.teqz5kwaz920" w:colFirst="0" w:colLast="0" w:id="144"/>
      <w:bookmarkEnd w:id="144"/>
      <w:r w:rsidRPr="00000000" w:rsidDel="00000000" w:rsidR="00000000">
        <w:rPr>
          <w:rFonts w:ascii="Arial" w:hAnsi="Arial" w:eastAsia="Arial" w:cs="Arial"/>
          <w:rtl w:val="0"/>
        </w:rPr>
        <w:t xml:space="preserve">Monitoring Controls for Cloud Broker/Link Model Program</w:t>
      </w:r>
    </w:p>
    <w:p w:rsidRPr="00000000" w:rsidR="00000000" w:rsidDel="00000000" w:rsidP="00000000" w:rsidRDefault="00000000" w14:paraId="00000375">
      <w:pPr>
        <w:numPr>
          <w:ilvl w:val="2"/>
          <w:numId w:val="25"/>
        </w:numPr>
        <w:spacing w:after="240" w:lineRule="auto"/>
        <w:ind w:left="720" w:hanging="720"/>
        <w:jc w:val="both"/>
        <w:rPr/>
      </w:pPr>
      <w:bookmarkStart w:name="_heading=h.9xiek7duixh0" w:colFirst="0" w:colLast="0" w:id="145"/>
      <w:bookmarkEnd w:id="145"/>
      <w:r w:rsidRPr="00000000" w:rsidDel="00000000" w:rsidR="00000000">
        <w:rPr>
          <w:rtl w:val="0"/>
        </w:rPr>
        <w:t xml:space="preserve">Binance Group implements screening controls across all client types. This includes establishing robust monitoring controls for the broker model program.  All broker-client relationships where the brokers utilize Binance Group's exchange liquidity to offer services to their clients are subjected to real-time screening under separate rulesets with different thresholds and controls (as a part of On-chain TM Process). The escalation criteria, regardless of client-type or profile, applies to both retail users, corporate users, and users of Binance’s Cloud Broker/Link Model program, as described above.</w:t>
      </w:r>
    </w:p>
    <w:p w:rsidRPr="00000000" w:rsidR="00000000" w:rsidDel="00000000" w:rsidP="00000000" w:rsidRDefault="00000000" w14:paraId="00000376">
      <w:pPr>
        <w:pStyle w:val="Heading2"/>
        <w:numPr>
          <w:ilvl w:val="1"/>
          <w:numId w:val="25"/>
        </w:numPr>
        <w:spacing w:after="240" w:lineRule="auto"/>
        <w:ind w:left="720"/>
        <w:jc w:val="both"/>
        <w:rPr/>
      </w:pPr>
      <w:bookmarkStart w:name="_heading=h.b1cbhvazdba8" w:colFirst="0" w:colLast="0" w:id="146"/>
      <w:bookmarkEnd w:id="146"/>
      <w:r w:rsidRPr="00000000" w:rsidDel="00000000" w:rsidR="00000000">
        <w:rPr>
          <w:rFonts w:ascii="Arial" w:hAnsi="Arial" w:eastAsia="Arial" w:cs="Arial"/>
          <w:rtl w:val="0"/>
        </w:rPr>
        <w:t xml:space="preserve">Corporate Account Review</w:t>
      </w:r>
    </w:p>
    <w:p w:rsidRPr="00000000" w:rsidR="00000000" w:rsidDel="00000000" w:rsidP="00000000" w:rsidRDefault="00000000" w14:paraId="00000377">
      <w:pPr>
        <w:numPr>
          <w:ilvl w:val="2"/>
          <w:numId w:val="25"/>
        </w:numPr>
        <w:spacing w:after="240" w:lineRule="auto"/>
        <w:ind w:left="720" w:hanging="720"/>
        <w:jc w:val="both"/>
        <w:rPr/>
      </w:pPr>
      <w:bookmarkStart w:name="_heading=h.bmitql3yeum" w:colFirst="0" w:colLast="0" w:id="147"/>
      <w:bookmarkEnd w:id="147"/>
      <w:r w:rsidRPr="00000000" w:rsidDel="00000000" w:rsidR="00000000">
        <w:rPr>
          <w:rtl w:val="0"/>
        </w:rPr>
        <w:t xml:space="preserve">Binance Group assesses every customer and provides a risk rating according to the Risk Matrix. Some considerations include, but are not limited to:</w:t>
      </w:r>
    </w:p>
    <w:p w:rsidRPr="00000000" w:rsidR="00000000" w:rsidDel="00000000" w:rsidP="00000000" w:rsidRDefault="00000000" w14:paraId="00000378">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Legal Form</w:t>
      </w:r>
    </w:p>
    <w:p w:rsidRPr="00000000" w:rsidR="00000000" w:rsidDel="00000000" w:rsidP="00000000" w:rsidRDefault="00000000" w14:paraId="00000379">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Nature of Business/Industry</w:t>
      </w:r>
    </w:p>
    <w:p w:rsidRPr="00000000" w:rsidR="00000000" w:rsidDel="00000000" w:rsidP="00000000" w:rsidRDefault="00000000" w14:paraId="0000037A">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Source of Wealth/Source of Funds &amp; Capital</w:t>
      </w:r>
    </w:p>
    <w:p w:rsidRPr="00000000" w:rsidR="00000000" w:rsidDel="00000000" w:rsidP="00000000" w:rsidRDefault="00000000" w14:paraId="0000037B">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Incorporation Date</w:t>
      </w:r>
    </w:p>
    <w:p w:rsidRPr="00000000" w:rsidR="00000000" w:rsidDel="00000000" w:rsidP="00000000" w:rsidRDefault="00000000" w14:paraId="0000037C">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Ownership Structure</w:t>
      </w:r>
    </w:p>
    <w:p w:rsidRPr="00000000" w:rsidR="00000000" w:rsidDel="00000000" w:rsidP="00000000" w:rsidRDefault="00000000" w14:paraId="0000037D">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Country of Incorporation and Domicile</w:t>
      </w:r>
    </w:p>
    <w:p w:rsidRPr="00000000" w:rsidR="00000000" w:rsidDel="00000000" w:rsidP="00000000" w:rsidRDefault="00000000" w14:paraId="0000037E">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Sanctions, PEP and Adverse Media screening</w:t>
      </w:r>
    </w:p>
    <w:p w:rsidRPr="00000000" w:rsidR="00000000" w:rsidDel="00000000" w:rsidP="00000000" w:rsidRDefault="00000000" w14:paraId="0000037F">
      <w:pPr>
        <w:spacing w:after="240" w:lineRule="auto"/>
        <w:ind w:left="720" w:firstLine="0"/>
        <w:jc w:val="both"/>
        <w:rPr/>
      </w:pPr>
      <w:bookmarkStart w:name="_heading=h.uiqffnj5y3a3" w:colFirst="0" w:colLast="0" w:id="148"/>
      <w:bookmarkEnd w:id="148"/>
      <w:r w:rsidRPr="00000000" w:rsidDel="00000000" w:rsidR="00000000">
        <w:rPr>
          <w:rtl w:val="0"/>
        </w:rPr>
        <w:t xml:space="preserve">Further details on the customer risk assessment criteria can be found in the </w:t>
      </w:r>
      <w:hyperlink r:id="rId25">
        <w:r w:rsidRPr="00000000" w:rsidDel="00000000" w:rsidR="00000000">
          <w:rPr>
            <w:color w:val="1155cc"/>
            <w:u w:val="single"/>
            <w:rtl w:val="0"/>
          </w:rPr>
          <w:t xml:space="preserve">Corporate KYB Program</w:t>
        </w:r>
      </w:hyperlink>
      <w:r w:rsidRPr="00000000" w:rsidDel="00000000" w:rsidR="00000000">
        <w:rPr>
          <w:rtl w:val="0"/>
        </w:rPr>
        <w:t xml:space="preserve">. </w:t>
      </w:r>
    </w:p>
    <w:p w:rsidRPr="00000000" w:rsidR="00000000" w:rsidDel="00000000" w:rsidP="00000000" w:rsidRDefault="00000000" w14:paraId="00000380">
      <w:pPr>
        <w:numPr>
          <w:ilvl w:val="2"/>
          <w:numId w:val="25"/>
        </w:numPr>
        <w:spacing w:after="240" w:lineRule="auto"/>
        <w:ind w:left="720" w:hanging="720"/>
        <w:jc w:val="both"/>
        <w:rPr/>
      </w:pPr>
      <w:bookmarkStart w:name="_heading=h.t5vkpyn5frsf" w:colFirst="0" w:colLast="0" w:id="149"/>
      <w:bookmarkEnd w:id="149"/>
      <w:r w:rsidRPr="00000000" w:rsidDel="00000000" w:rsidR="00000000">
        <w:rPr>
          <w:rtl w:val="0"/>
        </w:rPr>
        <w:t xml:space="preserve">While transaction patterns and general account reviews to be conducted according to the current procedure, additional checks may be beneficial for corporate account reviews:</w:t>
      </w:r>
    </w:p>
    <w:p w:rsidRPr="00000000" w:rsidR="00000000" w:rsidDel="00000000" w:rsidP="00000000" w:rsidRDefault="00000000" w14:paraId="00000381">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bookmarkStart w:name="_heading=h.v6lc40no9m6f" w:colFirst="0" w:colLast="0" w:id="150"/>
      <w:bookmarkEnd w:id="150"/>
      <w:r w:rsidRPr="00000000" w:rsidDel="00000000" w:rsidR="00000000">
        <w:rPr>
          <w:i w:val="0"/>
          <w:iCs w:val="0"/>
          <w:smallCaps w:val="0"/>
          <w:strike w:val="0"/>
          <w:color w:val="000000"/>
          <w:sz w:val="22"/>
          <w:szCs w:val="22"/>
          <w:u w:val="none"/>
          <w:shd w:val="clear" w:fill="auto"/>
          <w:vertAlign w:val="baseline"/>
          <w:rtl w:val="0"/>
        </w:rPr>
        <w:t xml:space="preserve">Review the Corporate account profile, including the reason for account opening, nature of the business, source of funds, and KYC details of directors, ultimate beneficial owners (UBOs), and Traders or Controllers</w:t>
      </w:r>
      <w:r w:rsidRPr="00000000" w:rsidDel="00000000" w:rsidR="00000000">
        <w:rPr>
          <w:i w:val="0"/>
          <w:iCs w:val="0"/>
          <w:smallCaps w:val="0"/>
          <w:strike w:val="0"/>
          <w:color w:val="000000"/>
          <w:sz w:val="22"/>
          <w:szCs w:val="22"/>
          <w:u w:val="none"/>
          <w:shd w:val="clear" w:fill="auto"/>
          <w:vertAlign w:val="superscript"/>
        </w:rPr>
        <w:footnoteReference w:customMarkFollows="0" w:id="5"/>
      </w:r>
      <w:r w:rsidRPr="00000000" w:rsidDel="00000000" w:rsidR="00000000">
        <w:rPr>
          <w:i w:val="0"/>
          <w:iCs w:val="0"/>
          <w:smallCaps w:val="0"/>
          <w:strike w:val="0"/>
          <w:color w:val="000000"/>
          <w:sz w:val="22"/>
          <w:szCs w:val="22"/>
          <w:u w:val="none"/>
          <w:shd w:val="clear" w:fill="auto"/>
          <w:vertAlign w:val="baseline"/>
          <w:rtl w:val="0"/>
        </w:rPr>
        <w:t xml:space="preserve">.</w:t>
      </w:r>
    </w:p>
    <w:p w:rsidRPr="00000000" w:rsidR="00000000" w:rsidDel="00000000" w:rsidP="00000000" w:rsidRDefault="00000000" w14:paraId="00000382">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Conduct additional CDD checks for Directors, UBOs, Traders, Dealers and Controllers as part of the account review.</w:t>
      </w:r>
    </w:p>
    <w:p w:rsidRPr="00000000" w:rsidR="00000000" w:rsidDel="00000000" w:rsidP="00000000" w:rsidRDefault="00000000" w14:paraId="00000383">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Analyze transaction patterns, taking into account the company's business nature and understanding of potential transaction volumes and patterns related to the specified business.</w:t>
      </w:r>
    </w:p>
    <w:p w:rsidRPr="00000000" w:rsidR="00000000" w:rsidDel="00000000" w:rsidP="00000000" w:rsidRDefault="00000000" w14:paraId="00000384">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Additional OSINT Search might be beneficial to obtain additional information about company activity, such as observe website, location, any adverse media on Company’s email or phone number, etc.</w:t>
      </w:r>
    </w:p>
    <w:p w:rsidRPr="00000000" w:rsidR="00000000" w:rsidDel="00000000" w:rsidP="00000000" w:rsidRDefault="00000000" w14:paraId="00000385">
      <w:pPr>
        <w:pStyle w:val="Heading2"/>
        <w:numPr>
          <w:ilvl w:val="1"/>
          <w:numId w:val="25"/>
        </w:numPr>
        <w:spacing w:after="240" w:lineRule="auto"/>
        <w:ind w:left="720"/>
        <w:jc w:val="both"/>
        <w:rPr/>
      </w:pPr>
      <w:bookmarkStart w:name="_heading=h.89c1t1tsb3vi" w:colFirst="0" w:colLast="0" w:id="151"/>
      <w:bookmarkEnd w:id="151"/>
      <w:r w:rsidRPr="00000000" w:rsidDel="00000000" w:rsidR="00000000">
        <w:rPr>
          <w:rFonts w:ascii="Arial" w:hAnsi="Arial" w:eastAsia="Arial" w:cs="Arial"/>
          <w:sz w:val="24"/>
          <w:szCs w:val="24"/>
          <w:rtl w:val="0"/>
        </w:rPr>
        <w:t xml:space="preserve">Conflict of Interest</w:t>
      </w:r>
    </w:p>
    <w:p w:rsidRPr="00000000" w:rsidR="00000000" w:rsidDel="00000000" w:rsidP="00000000" w:rsidRDefault="00000000" w14:paraId="00000386">
      <w:pPr>
        <w:numPr>
          <w:ilvl w:val="2"/>
          <w:numId w:val="25"/>
        </w:numPr>
        <w:spacing w:after="240" w:lineRule="auto"/>
        <w:ind w:left="720" w:hanging="720"/>
        <w:jc w:val="both"/>
        <w:rPr/>
      </w:pPr>
      <w:r w:rsidRPr="00000000" w:rsidDel="00000000" w:rsidR="00000000">
        <w:rPr>
          <w:rtl w:val="0"/>
        </w:rPr>
        <w:t xml:space="preserve">If at any point a team member (Analyst, L2 analyst/QC Assessor, Team Leader etc) has a personal relationship to a subject, counterparty, or associate of either in a case, then this must be brought to the attention of a TM Manager for case or supervision re-assignment. Please also refer to the Code of Conduct and </w:t>
      </w:r>
      <w:r w:rsidRPr="00000000" w:rsidDel="00000000" w:rsidR="00000000">
        <w:rPr>
          <w:rtl w:val="0"/>
        </w:rPr>
        <w:t xml:space="preserve">Conflict of Interest Management Procedure in </w:t>
      </w:r>
      <w:hyperlink w:anchor="_heading=h.swk3glp1r725">
        <w:r w:rsidRPr="00000000" w:rsidDel="00000000" w:rsidR="00000000">
          <w:rPr>
            <w:color w:val="1155cc"/>
            <w:u w:val="single"/>
            <w:rtl w:val="0"/>
          </w:rPr>
          <w:t xml:space="preserve">Appendix 1. RELATED DOCUMENTATION</w:t>
        </w:r>
      </w:hyperlink>
      <w:r w:rsidRPr="00000000" w:rsidDel="00000000" w:rsidR="00000000">
        <w:rPr>
          <w:rtl w:val="0"/>
        </w:rPr>
        <w:t xml:space="preserve">.</w:t>
      </w:r>
    </w:p>
    <w:p w:rsidRPr="00000000" w:rsidR="00000000" w:rsidDel="00000000" w:rsidP="00000000" w:rsidRDefault="00000000" w14:paraId="00000387">
      <w:pPr>
        <w:pStyle w:val="Heading1"/>
        <w:keepNext w:val="1"/>
        <w:keepLines w:val="1"/>
        <w:pageBreakBefore w:val="0"/>
        <w:widowControl w:val="1"/>
        <w:numPr>
          <w:ilvl w:val="0"/>
          <w:numId w:val="25"/>
        </w:numPr>
        <w:pBdr>
          <w:top w:val="nil" w:sz="0" w:space="0"/>
          <w:left w:val="nil" w:sz="0" w:space="0"/>
          <w:bottom w:val="nil" w:sz="0" w:space="0"/>
          <w:right w:val="nil" w:sz="0" w:space="0"/>
          <w:between w:val="nil" w:sz="0" w:space="0"/>
        </w:pBdr>
        <w:shd w:val="clear" w:fill="auto"/>
        <w:spacing w:before="480" w:after="240" w:line="276" w:lineRule="auto"/>
        <w:ind w:left="720" w:right="0" w:hanging="720"/>
        <w:jc w:val="both"/>
        <w:rPr/>
      </w:pPr>
      <w:bookmarkStart w:name="_heading=h.k5vyaa26itb0" w:colFirst="0" w:colLast="0" w:id="152"/>
      <w:bookmarkEnd w:id="152"/>
      <w:r w:rsidRPr="00000000" w:rsidDel="00000000" w:rsidR="00000000">
        <w:rPr>
          <w:rFonts w:ascii="Arial" w:hAnsi="Arial" w:eastAsia="Arial" w:cs="Arial"/>
          <w:smallCaps w:val="1"/>
          <w:sz w:val="28"/>
          <w:szCs w:val="28"/>
          <w:rtl w:val="0"/>
        </w:rPr>
        <w:t xml:space="preserve">REQUEST FOR INFORMATION (RFI)</w:t>
      </w:r>
    </w:p>
    <w:p w:rsidRPr="00000000" w:rsidR="00000000" w:rsidDel="00000000" w:rsidP="00000000" w:rsidRDefault="00000000" w14:paraId="00000388">
      <w:pPr>
        <w:pStyle w:val="Heading2"/>
        <w:numPr>
          <w:ilvl w:val="1"/>
          <w:numId w:val="25"/>
        </w:numPr>
        <w:spacing w:after="240" w:lineRule="auto"/>
        <w:ind w:left="720"/>
        <w:jc w:val="both"/>
        <w:rPr/>
      </w:pPr>
      <w:bookmarkStart w:name="_heading=h.epiinotg3hwu" w:colFirst="0" w:colLast="0" w:id="153"/>
      <w:bookmarkEnd w:id="153"/>
      <w:r w:rsidRPr="00000000" w:rsidDel="00000000" w:rsidR="00000000">
        <w:rPr>
          <w:rFonts w:ascii="Arial" w:hAnsi="Arial" w:eastAsia="Arial" w:cs="Arial"/>
          <w:sz w:val="24"/>
          <w:szCs w:val="24"/>
          <w:rtl w:val="0"/>
        </w:rPr>
        <w:t xml:space="preserve">Overview</w:t>
      </w:r>
    </w:p>
    <w:p w:rsidRPr="00000000" w:rsidR="00000000" w:rsidDel="00000000" w:rsidP="00000000" w:rsidRDefault="00000000" w14:paraId="00000389">
      <w:pPr>
        <w:numPr>
          <w:ilvl w:val="2"/>
          <w:numId w:val="25"/>
        </w:numPr>
        <w:spacing w:after="240" w:lineRule="auto"/>
        <w:ind w:left="720" w:hanging="720"/>
        <w:jc w:val="both"/>
        <w:rPr/>
      </w:pPr>
      <w:bookmarkStart w:name="_heading=h.g1h96rw9s7mh" w:colFirst="0" w:colLast="0" w:id="154"/>
      <w:bookmarkEnd w:id="154"/>
      <w:r w:rsidRPr="00000000" w:rsidDel="00000000" w:rsidR="00000000">
        <w:rPr>
          <w:rtl w:val="0"/>
        </w:rPr>
        <w:t xml:space="preserve">If a review of the alert details, customer information, the alerted transactions, prior transaction activity and any external searches does not provide a basis to close the case, then an RFI could be raised. If any link has been identified that the subject, counterparty or activity is related to a sanctions or terrorist financing concern, an RFI should not be raised but the case must be escalated to Investigations immediately.  </w:t>
      </w:r>
    </w:p>
    <w:p w:rsidRPr="00000000" w:rsidR="00000000" w:rsidDel="00000000" w:rsidP="00000000" w:rsidRDefault="00000000" w14:paraId="0000038A">
      <w:pPr>
        <w:numPr>
          <w:ilvl w:val="2"/>
          <w:numId w:val="25"/>
        </w:numPr>
        <w:spacing w:after="240" w:lineRule="auto"/>
        <w:ind w:left="720" w:hanging="720"/>
        <w:jc w:val="both"/>
        <w:rPr/>
      </w:pPr>
      <w:bookmarkStart w:name="_heading=h.uu4xp4akix8z" w:colFirst="0" w:colLast="0" w:id="155"/>
      <w:bookmarkEnd w:id="155"/>
      <w:r w:rsidRPr="00000000" w:rsidDel="00000000" w:rsidR="00000000">
        <w:rPr>
          <w:rtl w:val="0"/>
        </w:rPr>
        <w:t xml:space="preserve">To improve the evaluation of transactions, additional Customer Due Diligence (CDD) information as a part of the RFI Process may be collected when necessary. </w:t>
      </w:r>
      <w:r w:rsidRPr="00000000" w:rsidDel="00000000" w:rsidR="00000000">
        <w:rPr>
          <w:rtl w:val="0"/>
        </w:rPr>
      </w:r>
    </w:p>
    <w:p w:rsidRPr="00000000" w:rsidR="00000000" w:rsidDel="00000000" w:rsidP="00000000" w:rsidRDefault="00000000" w14:paraId="0000038B">
      <w:pPr>
        <w:numPr>
          <w:ilvl w:val="2"/>
          <w:numId w:val="25"/>
        </w:numPr>
        <w:spacing w:after="240" w:lineRule="auto"/>
        <w:ind w:left="720" w:hanging="720"/>
        <w:jc w:val="both"/>
        <w:rPr/>
      </w:pPr>
      <w:r w:rsidRPr="00000000" w:rsidDel="00000000" w:rsidR="00000000">
        <w:rPr>
          <w:rtl w:val="0"/>
        </w:rPr>
        <w:t xml:space="preserve">Analysts are reminded of the prohibitions under tipping off. It is Binance’s policy that no employee shall disclose to any customer or any unauthorized third party the fact that a SAR/STR has been filed or is to be filed with the relevant authorities. As tipping off is a criminal offense in many countries, Binance considers tipping off as a serious breach by the employee. Violations will lead to disciplinary actions up to and including termination and possible referral to local law enforcement for legal action. </w:t>
      </w:r>
    </w:p>
    <w:p w:rsidRPr="00000000" w:rsidR="00000000" w:rsidDel="00000000" w:rsidP="00000000" w:rsidRDefault="00000000" w14:paraId="0000038C">
      <w:pPr>
        <w:numPr>
          <w:ilvl w:val="2"/>
          <w:numId w:val="25"/>
        </w:numPr>
        <w:spacing w:after="240" w:lineRule="auto"/>
        <w:ind w:left="720" w:hanging="720"/>
        <w:jc w:val="both"/>
        <w:rPr/>
      </w:pPr>
      <w:r w:rsidRPr="00000000" w:rsidDel="00000000" w:rsidR="00000000">
        <w:rPr>
          <w:rtl w:val="0"/>
        </w:rPr>
        <w:t xml:space="preserve">As an integral part of customer due diligence and ongoing monitoring, reasonable enquiries may be requested from the customer. These inquiries must be conducted in such a way as to not alert the customer that the matter may be referred as an ICR to the relevant authorities. Analysts may make reasonable enquiries of a customer regarding the background of a transaction or activity that is inconsistent with the customer's usual pattern of transactions or activity. The analyst and the customer-facing employee can inform the customer they are making such enquiries. However, the Analysts and the customer-facing employee cannot mention the consideration of filing a ICR/UAR or potentially filing a ICR/UAR with the relevant authorities. </w:t>
      </w:r>
      <w:r w:rsidRPr="00000000" w:rsidDel="00000000" w:rsidR="00000000">
        <w:rPr>
          <w:b w:val="1"/>
          <w:bCs w:val="1"/>
          <w:u w:val="single"/>
          <w:rtl w:val="0"/>
        </w:rPr>
        <w:t xml:space="preserve">Where tipping off doubt exists, the analyst should consult with their Team Leader / Manager.</w:t>
      </w:r>
      <w:r w:rsidRPr="00000000" w:rsidDel="00000000" w:rsidR="00000000">
        <w:rPr>
          <w:rtl w:val="0"/>
        </w:rPr>
      </w:r>
    </w:p>
    <w:p w:rsidRPr="00000000" w:rsidR="00000000" w:rsidDel="00000000" w:rsidP="00000000" w:rsidRDefault="00000000" w14:paraId="0000038D">
      <w:pPr>
        <w:numPr>
          <w:ilvl w:val="2"/>
          <w:numId w:val="25"/>
        </w:numPr>
        <w:spacing w:after="240" w:lineRule="auto"/>
        <w:ind w:left="720" w:hanging="720"/>
        <w:jc w:val="both"/>
        <w:rPr/>
      </w:pPr>
      <w:bookmarkStart w:name="_heading=h.p042n8aquyty" w:colFirst="0" w:colLast="0" w:id="156"/>
      <w:bookmarkEnd w:id="156"/>
      <w:r w:rsidRPr="00000000" w:rsidDel="00000000" w:rsidR="00000000">
        <w:rPr>
          <w:rtl w:val="0"/>
        </w:rPr>
        <w:t xml:space="preserve">The RFI must:</w:t>
      </w:r>
    </w:p>
    <w:p w:rsidRPr="00000000" w:rsidR="00000000" w:rsidDel="00000000" w:rsidP="00000000" w:rsidRDefault="00000000" w14:paraId="0000038E">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bookmarkStart w:name="_heading=h.oql01lbn5iny" w:colFirst="0" w:colLast="0" w:id="157"/>
      <w:bookmarkEnd w:id="157"/>
      <w:r w:rsidRPr="00000000" w:rsidDel="00000000" w:rsidR="00000000">
        <w:rPr>
          <w:i w:val="0"/>
          <w:iCs w:val="0"/>
          <w:smallCaps w:val="0"/>
          <w:strike w:val="0"/>
          <w:color w:val="000000"/>
          <w:sz w:val="22"/>
          <w:szCs w:val="22"/>
          <w:u w:val="none"/>
          <w:shd w:val="clear" w:fill="auto"/>
          <w:vertAlign w:val="baseline"/>
          <w:rtl w:val="0"/>
        </w:rPr>
        <w:t xml:space="preserve">Provide sufficient background and reasoning for raising an RFI;</w:t>
      </w:r>
    </w:p>
    <w:p w:rsidRPr="00000000" w:rsidR="00000000" w:rsidDel="00000000" w:rsidP="00000000" w:rsidRDefault="00000000" w14:paraId="0000038F">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State the questions that will gather needed information; the questions must be relevant to the activity being reviewed;</w:t>
      </w:r>
    </w:p>
    <w:p w:rsidRPr="00000000" w:rsidR="00000000" w:rsidDel="00000000" w:rsidP="00000000" w:rsidRDefault="00000000" w14:paraId="00000390">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Frame questions that are specific and focused on mitigating a potential risk that has been identified and cannot be ruled out with the information available;</w:t>
      </w:r>
    </w:p>
    <w:p w:rsidRPr="00000000" w:rsidR="00000000" w:rsidDel="00000000" w:rsidP="00000000" w:rsidRDefault="00000000" w14:paraId="00000391">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Not provide too much information so that the real purpose/query gets distorted or is unclear.</w:t>
      </w:r>
    </w:p>
    <w:p w:rsidRPr="00000000" w:rsidR="00000000" w:rsidDel="00000000" w:rsidP="00000000" w:rsidRDefault="00000000" w14:paraId="00000392">
      <w:pPr>
        <w:numPr>
          <w:ilvl w:val="2"/>
          <w:numId w:val="25"/>
        </w:numPr>
        <w:spacing w:after="240" w:lineRule="auto"/>
        <w:ind w:left="720" w:hanging="720"/>
        <w:jc w:val="both"/>
        <w:rPr/>
      </w:pPr>
      <w:bookmarkStart w:name="_heading=h.yqe497iftvrr" w:colFirst="0" w:colLast="0" w:id="158"/>
      <w:bookmarkEnd w:id="158"/>
      <w:r w:rsidRPr="00000000" w:rsidDel="00000000" w:rsidR="00000000">
        <w:rPr>
          <w:rtl w:val="0"/>
        </w:rPr>
        <w:t xml:space="preserve">Analysts must consider the Red Flag Checklist set out under section ‎6.6 above before sending an RFI. </w:t>
      </w:r>
    </w:p>
    <w:p w:rsidRPr="00000000" w:rsidR="00000000" w:rsidDel="00000000" w:rsidP="00000000" w:rsidRDefault="00000000" w14:paraId="00000393">
      <w:pPr>
        <w:pStyle w:val="Heading2"/>
        <w:numPr>
          <w:ilvl w:val="1"/>
          <w:numId w:val="25"/>
        </w:numPr>
        <w:spacing w:after="240" w:lineRule="auto"/>
        <w:ind w:left="720"/>
        <w:jc w:val="both"/>
        <w:rPr/>
      </w:pPr>
      <w:bookmarkStart w:name="_heading=h.5zffreutkhr8" w:colFirst="0" w:colLast="0" w:id="159"/>
      <w:bookmarkEnd w:id="159"/>
      <w:r w:rsidRPr="00000000" w:rsidDel="00000000" w:rsidR="00000000">
        <w:rPr>
          <w:rFonts w:ascii="Arial" w:hAnsi="Arial" w:eastAsia="Arial" w:cs="Arial"/>
          <w:sz w:val="24"/>
          <w:szCs w:val="24"/>
          <w:rtl w:val="0"/>
        </w:rPr>
        <w:t xml:space="preserve">The RFI process applicable to the On-chain Transaction Screening Team</w:t>
      </w:r>
    </w:p>
    <w:p w:rsidRPr="00000000" w:rsidR="00000000" w:rsidDel="00000000" w:rsidP="00000000" w:rsidRDefault="00000000" w14:paraId="00000394">
      <w:pPr>
        <w:numPr>
          <w:ilvl w:val="2"/>
          <w:numId w:val="25"/>
        </w:numPr>
        <w:spacing w:after="240" w:lineRule="auto"/>
        <w:ind w:left="720" w:hanging="720"/>
        <w:jc w:val="both"/>
        <w:rPr/>
      </w:pPr>
      <w:bookmarkStart w:name="_heading=h.9gi4j4hmx5wb" w:colFirst="0" w:colLast="0" w:id="160"/>
      <w:bookmarkEnd w:id="160"/>
      <w:r w:rsidRPr="00000000" w:rsidDel="00000000" w:rsidR="00000000">
        <w:rPr>
          <w:rtl w:val="0"/>
        </w:rPr>
        <w:t xml:space="preserve">A request for information is a common business process whose purpose is to collect written information from users and written warning notices to users who violate Terms of Use.</w:t>
      </w:r>
    </w:p>
    <w:p w:rsidRPr="00000000" w:rsidR="00000000" w:rsidDel="00000000" w:rsidP="00000000" w:rsidRDefault="00000000" w14:paraId="00000395">
      <w:pPr>
        <w:numPr>
          <w:ilvl w:val="2"/>
          <w:numId w:val="25"/>
        </w:numPr>
        <w:spacing w:after="240" w:lineRule="auto"/>
        <w:ind w:left="720" w:hanging="720"/>
        <w:jc w:val="both"/>
        <w:rPr/>
      </w:pPr>
      <w:bookmarkStart w:name="_heading=h.ulcm8g1r8ygu" w:colFirst="0" w:colLast="0" w:id="161"/>
      <w:bookmarkEnd w:id="161"/>
      <w:r w:rsidRPr="00000000" w:rsidDel="00000000" w:rsidR="00000000">
        <w:rPr>
          <w:rtl w:val="0"/>
        </w:rPr>
        <w:t xml:space="preserve">The RFI process for CTM will be issued manually for rules that are not automatically configured and/or require follow-up.</w:t>
      </w:r>
    </w:p>
    <w:p w:rsidRPr="00000000" w:rsidR="00000000" w:rsidDel="00000000" w:rsidP="00000000" w:rsidRDefault="00000000" w14:paraId="00000396">
      <w:pPr>
        <w:numPr>
          <w:ilvl w:val="2"/>
          <w:numId w:val="25"/>
        </w:numPr>
        <w:spacing w:after="100" w:line="276" w:lineRule="auto"/>
        <w:ind w:left="720" w:hanging="720"/>
        <w:jc w:val="both"/>
        <w:rPr/>
      </w:pPr>
      <w:bookmarkStart w:name="_heading=h.gld9cwpju0i2" w:colFirst="0" w:colLast="0" w:id="162"/>
      <w:bookmarkEnd w:id="162"/>
      <w:r w:rsidRPr="00000000" w:rsidDel="00000000" w:rsidR="00000000">
        <w:rPr>
          <w:rtl w:val="0"/>
        </w:rPr>
        <w:t xml:space="preserve">A technological implementation detailed in the document </w:t>
      </w:r>
      <w:hyperlink r:id="rId26">
        <w:r w:rsidRPr="00000000" w:rsidDel="00000000" w:rsidR="00000000">
          <w:rPr>
            <w:color w:val="1155cc"/>
            <w:u w:val="single"/>
            <w:rtl w:val="0"/>
          </w:rPr>
          <w:t xml:space="preserve">[BRD] Automation of RFIs _ L1</w:t>
        </w:r>
      </w:hyperlink>
      <w:r w:rsidRPr="00000000" w:rsidDel="00000000" w:rsidR="00000000">
        <w:rPr>
          <w:rtl w:val="0"/>
        </w:rPr>
        <w:t xml:space="preserve"> </w:t>
      </w:r>
      <w:r w:rsidRPr="00000000" w:rsidDel="00000000" w:rsidR="00000000">
        <w:rPr>
          <w:rtl w:val="0"/>
        </w:rPr>
        <w:t xml:space="preserve"> enables Onchain Transaction Monitoring Alerts to be automatically triggered alongside an Automated Request for Information based on the associated Risk Rules and the alert outcome. These alerts are initiated and managed by L1 Transaction Monitoring Analysts. The corresponding templates are automatically populated with relevant transaction details and sent by the analysts, eliminating the need for a secondary review. Any further review will be conducted by L2 Analysts/Investigators in accordance with their established processes and procedures. </w:t>
      </w:r>
    </w:p>
    <w:p w:rsidRPr="00000000" w:rsidR="00000000" w:rsidDel="00000000" w:rsidP="00000000" w:rsidRDefault="00000000" w14:paraId="00000397">
      <w:pPr>
        <w:spacing w:after="0" w:lineRule="auto"/>
        <w:ind w:left="0" w:firstLine="0"/>
        <w:rPr/>
      </w:pPr>
      <w:r w:rsidRPr="00000000" w:rsidDel="00000000" w:rsidR="00000000">
        <w:rPr/>
        <w:drawing>
          <wp:inline distT="114300" distB="114300" distL="114300" distR="114300">
            <wp:extent cx="5682803" cy="2663976"/>
            <wp:effectExtent l="12700" t="12700" r="12700" b="12700"/>
            <wp:docPr id="17" name="image6.png"/>
            <a:graphic>
              <a:graphicData uri="http://schemas.openxmlformats.org/drawingml/2006/picture">
                <pic:pic>
                  <pic:nvPicPr>
                    <pic:cNvPr id="0" name="image6.png"/>
                    <pic:cNvPicPr preferRelativeResize="0"/>
                  </pic:nvPicPr>
                  <pic:blipFill>
                    <a:blip r:embed="rId27"/>
                    <a:srcRect l="0" t="0" r="0" b="0"/>
                    <a:stretch>
                      <a:fillRect/>
                    </a:stretch>
                  </pic:blipFill>
                  <pic:spPr>
                    <a:xfrm>
                      <a:off x="0" y="0"/>
                      <a:ext cx="5682803" cy="2663976"/>
                    </a:xfrm>
                    <a:prstGeom prst="rect"/>
                    <a:ln w="12700">
                      <a:solidFill>
                        <a:srgbClr val="999999"/>
                      </a:solidFill>
                      <a:prstDash val="solid"/>
                    </a:ln>
                  </pic:spPr>
                </pic:pic>
              </a:graphicData>
            </a:graphic>
          </wp:inline>
        </w:drawing>
      </w:r>
      <w:r w:rsidRPr="00000000" w:rsidDel="00000000" w:rsidR="00000000">
        <w:rPr>
          <w:rtl w:val="0"/>
        </w:rPr>
      </w:r>
    </w:p>
    <w:p w:rsidRPr="00000000" w:rsidR="00000000" w:rsidDel="00000000" w:rsidP="00000000" w:rsidRDefault="00000000" w14:paraId="00000398">
      <w:pPr>
        <w:spacing w:after="0" w:line="240" w:lineRule="auto"/>
        <w:jc w:val="both"/>
        <w:rPr>
          <w:sz w:val="10"/>
          <w:szCs w:val="10"/>
        </w:rPr>
      </w:pPr>
      <w:r w:rsidRPr="00000000" w:rsidDel="00000000" w:rsidR="00000000">
        <w:rPr>
          <w:rtl w:val="0"/>
        </w:rPr>
      </w:r>
    </w:p>
    <w:p w:rsidRPr="00000000" w:rsidR="00000000" w:rsidDel="00000000" w:rsidP="00000000" w:rsidRDefault="00000000" w14:paraId="00000399">
      <w:pPr>
        <w:numPr>
          <w:ilvl w:val="2"/>
          <w:numId w:val="25"/>
        </w:numPr>
        <w:spacing w:after="240" w:lineRule="auto"/>
        <w:ind w:left="720" w:hanging="720"/>
        <w:jc w:val="both"/>
        <w:rPr/>
      </w:pPr>
      <w:bookmarkStart w:name="_heading=h.w5rzqm991m31" w:colFirst="0" w:colLast="0" w:id="163"/>
      <w:bookmarkEnd w:id="163"/>
      <w:r w:rsidRPr="00000000" w:rsidDel="00000000" w:rsidR="00000000">
        <w:rPr>
          <w:rtl w:val="0"/>
        </w:rPr>
        <w:t xml:space="preserve">In the event that the analyst cannot adequately rationalize adequate risk mitigation, based on both the client’s profile and the analyst's industry knowledge, an RFI can be an effective tool to gain further insight into a certain transaction. </w:t>
      </w:r>
    </w:p>
    <w:p w:rsidRPr="00000000" w:rsidR="00000000" w:rsidDel="00000000" w:rsidP="00000000" w:rsidRDefault="00000000" w14:paraId="0000039A">
      <w:pPr>
        <w:numPr>
          <w:ilvl w:val="2"/>
          <w:numId w:val="25"/>
        </w:numPr>
        <w:spacing w:after="240" w:lineRule="auto"/>
        <w:ind w:left="720" w:hanging="720"/>
        <w:jc w:val="both"/>
        <w:rPr/>
      </w:pPr>
      <w:bookmarkStart w:name="_heading=h.awze2ytgp172" w:colFirst="0" w:colLast="0" w:id="164"/>
      <w:bookmarkEnd w:id="164"/>
      <w:r w:rsidRPr="00000000" w:rsidDel="00000000" w:rsidR="00000000">
        <w:rPr>
          <w:rtl w:val="0"/>
        </w:rPr>
        <w:t xml:space="preserve">Appropriate informational questions are automatically populated within RFI Rules described for ease of operational use and include the following questions:</w:t>
      </w:r>
    </w:p>
    <w:p w:rsidRPr="00000000" w:rsidR="00000000" w:rsidDel="00000000" w:rsidP="00000000" w:rsidRDefault="00000000" w14:paraId="0000039B">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The Purpose/Business reason of the transaction</w:t>
      </w:r>
    </w:p>
    <w:p w:rsidRPr="00000000" w:rsidR="00000000" w:rsidDel="00000000" w:rsidP="00000000" w:rsidRDefault="00000000" w14:paraId="0000039C">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The owner(s) of the above-mentioned cryptocurrency addresses.</w:t>
      </w:r>
    </w:p>
    <w:p w:rsidRPr="00000000" w:rsidR="00000000" w:rsidDel="00000000" w:rsidP="00000000" w:rsidRDefault="00000000" w14:paraId="0000039D">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rtl w:val="0"/>
        </w:rPr>
        <w:t xml:space="preserve">If the cryptocurrency address is a service provider, what is the name of such service provider?</w:t>
      </w:r>
    </w:p>
    <w:p w:rsidRPr="00000000" w:rsidR="00000000" w:rsidDel="00000000" w:rsidP="00000000" w:rsidRDefault="00000000" w14:paraId="0000039E">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rtl w:val="0"/>
        </w:rPr>
        <w:t xml:space="preserve">Any </w:t>
      </w:r>
      <w:r w:rsidRPr="00000000" w:rsidDel="00000000" w:rsidR="00000000">
        <w:rPr>
          <w:i w:val="0"/>
          <w:iCs w:val="0"/>
          <w:smallCaps w:val="0"/>
          <w:strike w:val="0"/>
          <w:color w:val="000000"/>
          <w:sz w:val="22"/>
          <w:szCs w:val="22"/>
          <w:u w:val="none"/>
          <w:shd w:val="clear" w:fill="auto"/>
          <w:vertAlign w:val="baseline"/>
          <w:rtl w:val="0"/>
        </w:rPr>
        <w:t xml:space="preserve">supporting documents (Mandatory)</w:t>
      </w:r>
      <w:r w:rsidRPr="00000000" w:rsidDel="00000000" w:rsidR="00000000">
        <w:rPr>
          <w:rtl w:val="0"/>
        </w:rPr>
      </w:r>
    </w:p>
    <w:p w:rsidRPr="00000000" w:rsidR="00000000" w:rsidDel="00000000" w:rsidP="00000000" w:rsidRDefault="00000000" w14:paraId="0000039F">
      <w:pPr>
        <w:numPr>
          <w:ilvl w:val="2"/>
          <w:numId w:val="25"/>
        </w:numPr>
        <w:spacing w:after="240" w:lineRule="auto"/>
        <w:ind w:left="720" w:hanging="720"/>
        <w:jc w:val="both"/>
        <w:rPr/>
      </w:pPr>
      <w:bookmarkStart w:name="_heading=h.1kig4fngsgdb" w:colFirst="0" w:colLast="0" w:id="165"/>
      <w:bookmarkEnd w:id="165"/>
      <w:r w:rsidRPr="00000000" w:rsidDel="00000000" w:rsidR="00000000">
        <w:rPr>
          <w:b w:val="1"/>
          <w:bCs w:val="1"/>
          <w:u w:val="single"/>
          <w:rtl w:val="0"/>
        </w:rPr>
        <w:t xml:space="preserve">If an RFI has been conducted within the last 30 days, a subsequent RFI will not be sent for the same risk address</w:t>
      </w:r>
      <w:r w:rsidRPr="00000000" w:rsidDel="00000000" w:rsidR="00000000">
        <w:rPr>
          <w:rtl w:val="0"/>
        </w:rPr>
        <w:t xml:space="preserve">.</w:t>
      </w:r>
    </w:p>
    <w:p w:rsidRPr="00000000" w:rsidR="00000000" w:rsidDel="00000000" w:rsidP="00000000" w:rsidRDefault="00000000" w14:paraId="000003A0">
      <w:pPr>
        <w:pStyle w:val="Heading2"/>
        <w:numPr>
          <w:ilvl w:val="1"/>
          <w:numId w:val="25"/>
        </w:numPr>
        <w:spacing w:after="240" w:lineRule="auto"/>
        <w:ind w:left="720"/>
        <w:jc w:val="both"/>
        <w:rPr/>
      </w:pPr>
      <w:bookmarkStart w:name="_heading=h.iz31p4c018kn" w:colFirst="0" w:colLast="0" w:id="166"/>
      <w:bookmarkEnd w:id="166"/>
      <w:r w:rsidRPr="00000000" w:rsidDel="00000000" w:rsidR="00000000">
        <w:rPr>
          <w:rFonts w:ascii="Arial" w:hAnsi="Arial" w:eastAsia="Arial" w:cs="Arial"/>
          <w:sz w:val="24"/>
          <w:szCs w:val="24"/>
          <w:rtl w:val="0"/>
        </w:rPr>
        <w:t xml:space="preserve">The RFI process applicable to the Off-chain Transaction Monitoring and Bifinity Teams</w:t>
      </w:r>
    </w:p>
    <w:p w:rsidRPr="00000000" w:rsidR="00000000" w:rsidDel="00000000" w:rsidP="00000000" w:rsidRDefault="00000000" w14:paraId="000003A1">
      <w:pPr>
        <w:numPr>
          <w:ilvl w:val="2"/>
          <w:numId w:val="25"/>
        </w:numPr>
        <w:spacing w:after="240" w:lineRule="auto"/>
        <w:ind w:left="720" w:hanging="720"/>
        <w:jc w:val="both"/>
        <w:rPr/>
      </w:pPr>
      <w:bookmarkStart w:name="_heading=h.fqwd58fsrvbt" w:colFirst="0" w:colLast="0" w:id="167"/>
      <w:bookmarkEnd w:id="167"/>
      <w:r w:rsidRPr="00000000" w:rsidDel="00000000" w:rsidR="00000000">
        <w:rPr>
          <w:rtl w:val="0"/>
        </w:rPr>
        <w:t xml:space="preserve">RFI processes for Binance.com Off-chain TM and Bifinity alerts is used as a part of risk mitigation exercise when there is not enough grounds for escalation but the analysis of available information about the user’s profile, transactions and open source search did not have sufficient rationale for case closure. </w:t>
      </w:r>
    </w:p>
    <w:p w:rsidRPr="00000000" w:rsidR="00000000" w:rsidDel="00000000" w:rsidP="00000000" w:rsidRDefault="00000000" w14:paraId="000003A2">
      <w:pPr>
        <w:numPr>
          <w:ilvl w:val="2"/>
          <w:numId w:val="25"/>
        </w:numPr>
        <w:spacing w:after="240" w:lineRule="auto"/>
        <w:ind w:left="720" w:hanging="720"/>
        <w:jc w:val="both"/>
        <w:rPr/>
      </w:pPr>
      <w:bookmarkStart w:name="_heading=h.9yvh3z3tsve6" w:colFirst="0" w:colLast="0" w:id="168"/>
      <w:bookmarkEnd w:id="168"/>
      <w:r w:rsidRPr="00000000" w:rsidDel="00000000" w:rsidR="00000000">
        <w:rPr>
          <w:rtl w:val="0"/>
        </w:rPr>
        <w:t xml:space="preserve">Analysts should exhaust available sources of information (internal and external) to reasonably explain the purpose of the alerted activity before raising an RFI, also it's important to consider various red flags and transactional factors to determine if an RFI is a suitable risk mitigation measure.  Where there is enough evidence to discount the alert, the Analyst should close the case. </w:t>
      </w:r>
    </w:p>
    <w:p w:rsidRPr="00000000" w:rsidR="00000000" w:rsidDel="00000000" w:rsidP="00000000" w:rsidRDefault="00000000" w14:paraId="000003A3">
      <w:pPr>
        <w:numPr>
          <w:ilvl w:val="2"/>
          <w:numId w:val="25"/>
        </w:numPr>
        <w:spacing w:after="240" w:lineRule="auto"/>
        <w:ind w:left="720" w:hanging="720"/>
        <w:jc w:val="both"/>
        <w:rPr/>
      </w:pPr>
      <w:bookmarkStart w:name="_heading=h.v6kezpfa4fwj" w:colFirst="0" w:colLast="0" w:id="169"/>
      <w:bookmarkEnd w:id="169"/>
      <w:r w:rsidRPr="00000000" w:rsidDel="00000000" w:rsidR="00000000">
        <w:rPr>
          <w:rtl w:val="0"/>
        </w:rPr>
        <w:t xml:space="preserve">However, where all sources of information available, including the review of previous RFIs on prior cases, have been reviewed, and additional information on the subject or a counterparty including the nature of use of the account, could facilitate an assessment on the alerted transactions, then an RFI should be used.</w:t>
      </w:r>
    </w:p>
    <w:p w:rsidRPr="00000000" w:rsidR="00000000" w:rsidDel="00000000" w:rsidP="00000000" w:rsidRDefault="00000000" w14:paraId="000003A4">
      <w:pPr>
        <w:numPr>
          <w:ilvl w:val="2"/>
          <w:numId w:val="25"/>
        </w:numPr>
        <w:spacing w:after="240" w:lineRule="auto"/>
        <w:ind w:left="720" w:hanging="720"/>
        <w:jc w:val="both"/>
        <w:rPr/>
      </w:pPr>
      <w:bookmarkStart w:name="_heading=h.89ivcfaowqax" w:colFirst="0" w:colLast="0" w:id="170"/>
      <w:bookmarkEnd w:id="170"/>
      <w:r w:rsidRPr="00000000" w:rsidDel="00000000" w:rsidR="00000000">
        <w:rPr>
          <w:rtl w:val="0"/>
        </w:rPr>
        <w:t xml:space="preserve">The table below shows information questions which are automatically populated according to the rules in the RFI processes:</w:t>
      </w:r>
    </w:p>
    <w:tbl>
      <w:tblPr>
        <w:tblStyle w:val="Table20"/>
        <w:tblW w:w="901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4508"/>
        <w:gridCol w:w="4508"/>
        <w:tblGridChange w:id="0">
          <w:tblGrid>
            <w:gridCol w:w="4508"/>
            <w:gridCol w:w="4508"/>
          </w:tblGrid>
        </w:tblGridChange>
      </w:tblGrid>
      <w:tr>
        <w:trPr>
          <w:cantSplit w:val="0"/>
          <w:trHeight w:val="640.95703125" w:hRule="atLeast"/>
          <w:tblHeader w:val="0"/>
        </w:trPr>
        <w:tc>
          <w:tcPr>
            <w:shd w:val="clear" w:fill="f7cbac"/>
            <w:vAlign w:val="center"/>
          </w:tcPr>
          <w:p w:rsidRPr="00000000" w:rsidR="00000000" w:rsidDel="00000000" w:rsidP="00000000" w:rsidRDefault="00000000" w14:paraId="000003A5">
            <w:pPr>
              <w:jc w:val="both"/>
              <w:rPr>
                <w:b w:val="1"/>
                <w:bCs w:val="1"/>
              </w:rPr>
            </w:pPr>
            <w:bookmarkStart w:name="_heading=h.t3clzcg04nfb" w:colFirst="0" w:colLast="0" w:id="171"/>
            <w:bookmarkEnd w:id="171"/>
            <w:r w:rsidRPr="00000000" w:rsidDel="00000000" w:rsidR="00000000">
              <w:rPr>
                <w:b w:val="1"/>
                <w:bCs w:val="1"/>
                <w:rtl w:val="0"/>
              </w:rPr>
              <w:t xml:space="preserve">Rule 9248* SOW - (Bifinity)</w:t>
            </w:r>
            <w:r w:rsidRPr="00000000" w:rsidDel="00000000" w:rsidR="00000000">
              <w:rPr>
                <w:rtl w:val="0"/>
              </w:rPr>
            </w:r>
          </w:p>
        </w:tc>
        <w:tc>
          <w:tcPr>
            <w:shd w:val="clear" w:fill="f7cbac"/>
            <w:vAlign w:val="center"/>
          </w:tcPr>
          <w:p w:rsidRPr="00000000" w:rsidR="00000000" w:rsidDel="00000000" w:rsidP="00000000" w:rsidRDefault="00000000" w14:paraId="000003A6">
            <w:pPr>
              <w:jc w:val="both"/>
              <w:rPr>
                <w:b w:val="1"/>
                <w:bCs w:val="1"/>
              </w:rPr>
            </w:pPr>
            <w:bookmarkStart w:name="_heading=h.qz3mlrwtcifk" w:colFirst="0" w:colLast="0" w:id="172"/>
            <w:bookmarkEnd w:id="172"/>
            <w:r w:rsidRPr="00000000" w:rsidDel="00000000" w:rsidR="00000000">
              <w:rPr>
                <w:b w:val="1"/>
                <w:bCs w:val="1"/>
                <w:rtl w:val="0"/>
              </w:rPr>
              <w:t xml:space="preserve">Rule 9243 Requesting for Information on Account Activity (Off-Chain and Bifinity)</w:t>
            </w:r>
          </w:p>
        </w:tc>
      </w:tr>
      <w:tr>
        <w:trPr>
          <w:cantSplit w:val="0"/>
          <w:trHeight w:val="2989.2529296875005" w:hRule="atLeast"/>
          <w:tblHeader w:val="0"/>
        </w:trPr>
        <w:tc>
          <w:tcPr/>
          <w:p w:rsidRPr="00000000" w:rsidR="00000000" w:rsidDel="00000000" w:rsidP="00000000" w:rsidRDefault="00000000" w14:paraId="000003A7">
            <w:pPr>
              <w:keepNext w:val="0"/>
              <w:keepLines w:val="0"/>
              <w:pageBreakBefore w:val="0"/>
              <w:widowControl w:val="1"/>
              <w:numPr>
                <w:ilvl w:val="0"/>
                <w:numId w:val="15"/>
              </w:numPr>
              <w:pBdr>
                <w:top w:val="nil" w:sz="0" w:space="0"/>
                <w:left w:val="nil" w:sz="0" w:space="0"/>
                <w:bottom w:val="nil" w:sz="0" w:space="0"/>
                <w:right w:val="nil" w:sz="0" w:space="0"/>
                <w:between w:val="nil" w:sz="0" w:space="0"/>
              </w:pBdr>
              <w:shd w:val="clear" w:fill="auto"/>
              <w:spacing w:before="0" w:after="0" w:line="276" w:lineRule="auto"/>
              <w:ind w:left="360" w:right="0" w:hanging="360"/>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A detailed explanation of your sources of funds, including the origin and nature of the funds deposited into your account.</w:t>
            </w:r>
          </w:p>
          <w:p w:rsidRPr="00000000" w:rsidR="00000000" w:rsidDel="00000000" w:rsidP="00000000" w:rsidRDefault="00000000" w14:paraId="000003A8">
            <w:pPr>
              <w:keepNext w:val="0"/>
              <w:keepLines w:val="0"/>
              <w:pageBreakBefore w:val="0"/>
              <w:widowControl w:val="1"/>
              <w:numPr>
                <w:ilvl w:val="0"/>
                <w:numId w:val="15"/>
              </w:numPr>
              <w:pBdr>
                <w:top w:val="nil" w:sz="0" w:space="0"/>
                <w:left w:val="nil" w:sz="0" w:space="0"/>
                <w:bottom w:val="nil" w:sz="0" w:space="0"/>
                <w:right w:val="nil" w:sz="0" w:space="0"/>
                <w:between w:val="nil" w:sz="0" w:space="0"/>
              </w:pBdr>
              <w:shd w:val="clear" w:fill="auto"/>
              <w:spacing w:before="0" w:after="200" w:line="276" w:lineRule="auto"/>
              <w:ind w:left="360" w:right="0" w:hanging="360"/>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Documentation, including payslips, income statements, or investment statements, that confirm the source of the funding into your Binance account. </w:t>
            </w:r>
          </w:p>
        </w:tc>
        <w:tc>
          <w:tcPr/>
          <w:p w:rsidRPr="00000000" w:rsidR="00000000" w:rsidDel="00000000" w:rsidP="00000000" w:rsidRDefault="00000000" w14:paraId="000003A9">
            <w:pPr>
              <w:keepNext w:val="0"/>
              <w:keepLines w:val="0"/>
              <w:pageBreakBefore w:val="0"/>
              <w:widowControl w:val="0"/>
              <w:numPr>
                <w:ilvl w:val="0"/>
                <w:numId w:val="15"/>
              </w:numPr>
              <w:pBdr>
                <w:top w:val="nil" w:sz="0" w:space="0"/>
                <w:left w:val="nil" w:sz="0" w:space="0"/>
                <w:bottom w:val="nil" w:sz="0" w:space="0"/>
                <w:right w:val="nil" w:sz="0" w:space="0"/>
                <w:between w:val="nil" w:sz="0" w:space="0"/>
              </w:pBdr>
              <w:shd w:val="clear" w:fill="auto"/>
              <w:spacing w:before="0" w:after="0" w:line="276" w:lineRule="auto"/>
              <w:ind w:left="360" w:right="0" w:hanging="360"/>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What is the purpose of these transactions?</w:t>
            </w:r>
          </w:p>
          <w:p w:rsidRPr="00000000" w:rsidR="00000000" w:rsidDel="00000000" w:rsidP="00000000" w:rsidRDefault="00000000" w14:paraId="000003AA">
            <w:pPr>
              <w:keepNext w:val="0"/>
              <w:keepLines w:val="0"/>
              <w:pageBreakBefore w:val="0"/>
              <w:widowControl w:val="0"/>
              <w:numPr>
                <w:ilvl w:val="0"/>
                <w:numId w:val="15"/>
              </w:numPr>
              <w:pBdr>
                <w:top w:val="nil" w:sz="0" w:space="0"/>
                <w:left w:val="nil" w:sz="0" w:space="0"/>
                <w:bottom w:val="nil" w:sz="0" w:space="0"/>
                <w:right w:val="nil" w:sz="0" w:space="0"/>
                <w:between w:val="nil" w:sz="0" w:space="0"/>
              </w:pBdr>
              <w:shd w:val="clear" w:fill="auto"/>
              <w:spacing w:before="0" w:after="0" w:line="276" w:lineRule="auto"/>
              <w:ind w:left="360" w:right="0" w:hanging="360"/>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Who are the owner(s) of the above-mentioned addresses?</w:t>
            </w:r>
          </w:p>
          <w:p w:rsidRPr="00000000" w:rsidR="00000000" w:rsidDel="00000000" w:rsidP="00000000" w:rsidRDefault="00000000" w14:paraId="000003AB">
            <w:pPr>
              <w:keepNext w:val="0"/>
              <w:keepLines w:val="0"/>
              <w:pageBreakBefore w:val="0"/>
              <w:widowControl w:val="0"/>
              <w:numPr>
                <w:ilvl w:val="0"/>
                <w:numId w:val="15"/>
              </w:numPr>
              <w:pBdr>
                <w:top w:val="nil" w:sz="0" w:space="0"/>
                <w:left w:val="nil" w:sz="0" w:space="0"/>
                <w:bottom w:val="nil" w:sz="0" w:space="0"/>
                <w:right w:val="nil" w:sz="0" w:space="0"/>
                <w:between w:val="nil" w:sz="0" w:space="0"/>
              </w:pBdr>
              <w:shd w:val="clear" w:fill="auto"/>
              <w:spacing w:before="0" w:after="0" w:line="276" w:lineRule="auto"/>
              <w:ind w:left="360" w:right="0" w:hanging="360"/>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What is the relationship between the counterparty and yourself?</w:t>
            </w:r>
          </w:p>
          <w:p w:rsidRPr="00000000" w:rsidR="00000000" w:rsidDel="00000000" w:rsidP="00000000" w:rsidRDefault="00000000" w14:paraId="000003AC">
            <w:pPr>
              <w:keepNext w:val="0"/>
              <w:keepLines w:val="0"/>
              <w:pageBreakBefore w:val="0"/>
              <w:widowControl w:val="0"/>
              <w:numPr>
                <w:ilvl w:val="0"/>
                <w:numId w:val="15"/>
              </w:numPr>
              <w:pBdr>
                <w:top w:val="nil" w:sz="0" w:space="0"/>
                <w:left w:val="nil" w:sz="0" w:space="0"/>
                <w:bottom w:val="nil" w:sz="0" w:space="0"/>
                <w:right w:val="nil" w:sz="0" w:space="0"/>
                <w:between w:val="nil" w:sz="0" w:space="0"/>
              </w:pBdr>
              <w:shd w:val="clear" w:fill="auto"/>
              <w:spacing w:before="0" w:after="200" w:line="276" w:lineRule="auto"/>
              <w:ind w:left="360" w:right="0" w:hanging="360"/>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Will we be expecting similar transactions with the identified addresses/counterparties in the future, if yes, what is the expected volume?</w:t>
            </w:r>
          </w:p>
        </w:tc>
      </w:tr>
    </w:tbl>
    <w:p w:rsidRPr="00000000" w:rsidR="00000000" w:rsidDel="00000000" w:rsidP="00000000" w:rsidRDefault="00000000" w14:paraId="000003AD">
      <w:pPr>
        <w:spacing w:after="0" w:line="240" w:lineRule="auto"/>
        <w:jc w:val="both"/>
        <w:rPr/>
      </w:pPr>
      <w:r w:rsidRPr="00000000" w:rsidDel="00000000" w:rsidR="00000000">
        <w:rPr>
          <w:rtl w:val="0"/>
        </w:rPr>
        <w:t xml:space="preserve">*Additionally, Rule 9249 used as Bifinity Offchain TM - SOW follow-up</w:t>
      </w:r>
    </w:p>
    <w:p w:rsidRPr="00000000" w:rsidR="00000000" w:rsidDel="00000000" w:rsidP="00000000" w:rsidRDefault="00000000" w14:paraId="000003AE">
      <w:pPr>
        <w:spacing w:after="0" w:line="240" w:lineRule="auto"/>
        <w:jc w:val="both"/>
        <w:rPr/>
      </w:pPr>
      <w:r w:rsidRPr="00000000" w:rsidDel="00000000" w:rsidR="00000000">
        <w:rPr>
          <w:rtl w:val="0"/>
        </w:rPr>
      </w:r>
    </w:p>
    <w:p w:rsidRPr="00000000" w:rsidR="00000000" w:rsidDel="00000000" w:rsidP="00000000" w:rsidRDefault="00000000" w14:paraId="000003AF">
      <w:pPr>
        <w:numPr>
          <w:ilvl w:val="2"/>
          <w:numId w:val="25"/>
        </w:numPr>
        <w:spacing w:after="240" w:lineRule="auto"/>
        <w:ind w:left="720" w:hanging="720"/>
        <w:jc w:val="both"/>
        <w:rPr/>
      </w:pPr>
      <w:bookmarkStart w:name="_heading=h.clunjorrs78h" w:colFirst="0" w:colLast="0" w:id="173"/>
      <w:bookmarkEnd w:id="173"/>
      <w:r w:rsidRPr="00000000" w:rsidDel="00000000" w:rsidR="00000000">
        <w:rPr>
          <w:rtl w:val="0"/>
        </w:rPr>
        <w:t xml:space="preserve">Further details regarding the RFI flow for Offchain Transaction Monitoring Team can be found in the Bifinity Step-by-step Guide (Off-chain Transaction Monitoring).</w:t>
      </w:r>
    </w:p>
    <w:p w:rsidRPr="00000000" w:rsidR="00000000" w:rsidDel="00000000" w:rsidP="00000000" w:rsidRDefault="00000000" w14:paraId="000003B0">
      <w:pPr>
        <w:pStyle w:val="Heading2"/>
        <w:numPr>
          <w:ilvl w:val="1"/>
          <w:numId w:val="25"/>
        </w:numPr>
        <w:spacing w:after="240" w:lineRule="auto"/>
        <w:ind w:left="720"/>
        <w:jc w:val="both"/>
        <w:rPr/>
      </w:pPr>
      <w:bookmarkStart w:name="_heading=h.yf32clei5kdx" w:colFirst="0" w:colLast="0" w:id="174"/>
      <w:bookmarkEnd w:id="174"/>
      <w:r w:rsidRPr="00000000" w:rsidDel="00000000" w:rsidR="00000000">
        <w:rPr>
          <w:rFonts w:ascii="Arial" w:hAnsi="Arial" w:eastAsia="Arial" w:cs="Arial"/>
          <w:sz w:val="24"/>
          <w:szCs w:val="24"/>
          <w:rtl w:val="0"/>
        </w:rPr>
        <w:t xml:space="preserve">RFI Response</w:t>
      </w:r>
    </w:p>
    <w:p w:rsidRPr="00000000" w:rsidR="00000000" w:rsidDel="00000000" w:rsidP="00000000" w:rsidRDefault="00000000" w14:paraId="000003B1">
      <w:pPr>
        <w:numPr>
          <w:ilvl w:val="2"/>
          <w:numId w:val="25"/>
        </w:numPr>
        <w:spacing w:after="240" w:lineRule="auto"/>
        <w:ind w:left="720" w:hanging="720"/>
        <w:rPr/>
      </w:pPr>
      <w:bookmarkStart w:name="_heading=h.bgqyko2qpjf1" w:colFirst="0" w:colLast="0" w:id="175"/>
      <w:bookmarkEnd w:id="175"/>
      <w:r w:rsidRPr="00000000" w:rsidDel="00000000" w:rsidR="00000000">
        <w:rPr>
          <w:rtl w:val="0"/>
        </w:rPr>
        <w:t xml:space="preserve">If the response received back fully answers the original request or is an acceptable response, a copy of the completed RFI must be attached to the alert/case as evidence. The RFI may be reviewed via the RFI System at any time.</w:t>
      </w:r>
    </w:p>
    <w:p w:rsidRPr="00000000" w:rsidR="00000000" w:rsidDel="00000000" w:rsidP="00000000" w:rsidRDefault="00000000" w14:paraId="000003B2">
      <w:pPr>
        <w:numPr>
          <w:ilvl w:val="2"/>
          <w:numId w:val="25"/>
        </w:numPr>
        <w:spacing w:after="240" w:lineRule="auto"/>
        <w:ind w:left="720" w:hanging="720"/>
        <w:jc w:val="both"/>
        <w:rPr/>
      </w:pPr>
      <w:bookmarkStart w:name="_heading=h.z67fzd6j6prw" w:colFirst="0" w:colLast="0" w:id="176"/>
      <w:bookmarkEnd w:id="176"/>
      <w:r w:rsidRPr="00000000" w:rsidDel="00000000" w:rsidR="00000000">
        <w:rPr>
          <w:rtl w:val="0"/>
        </w:rPr>
        <w:t xml:space="preserve">If the response from the user is unacceptable or does not answer the question raised fully, then a further request may need to be sent.  If no response is received, the analyst should utilize the available information to explain the activity, however if the Analyst is unable to explain the alerted activity they should escalate the case to the FCI Team with documented rationale.</w:t>
      </w:r>
    </w:p>
    <w:p w:rsidRPr="00000000" w:rsidR="00000000" w:rsidDel="00000000" w:rsidP="00000000" w:rsidRDefault="00000000" w14:paraId="000003B3">
      <w:pPr>
        <w:numPr>
          <w:ilvl w:val="2"/>
          <w:numId w:val="25"/>
        </w:numPr>
        <w:spacing w:after="240" w:lineRule="auto"/>
        <w:ind w:left="720" w:hanging="720"/>
        <w:jc w:val="both"/>
        <w:rPr/>
      </w:pPr>
      <w:bookmarkStart w:name="_heading=h.i3lnshpvb3ji" w:colFirst="0" w:colLast="0" w:id="177"/>
      <w:bookmarkEnd w:id="177"/>
      <w:r w:rsidRPr="00000000" w:rsidDel="00000000" w:rsidR="00000000">
        <w:rPr>
          <w:rtl w:val="0"/>
        </w:rPr>
        <w:t xml:space="preserve">The following are some guidelines for evaluating RFI responses:</w:t>
      </w:r>
    </w:p>
    <w:p w:rsidRPr="00000000" w:rsidR="00000000" w:rsidDel="00000000" w:rsidP="00000000" w:rsidRDefault="00000000" w14:paraId="000003B4">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Verification</w:t>
      </w:r>
      <w:r w:rsidRPr="00000000" w:rsidDel="00000000" w:rsidR="00000000">
        <w:rPr>
          <w:i w:val="0"/>
          <w:iCs w:val="0"/>
          <w:smallCaps w:val="0"/>
          <w:strike w:val="0"/>
          <w:color w:val="000000"/>
          <w:sz w:val="22"/>
          <w:szCs w:val="22"/>
          <w:u w:val="none"/>
          <w:shd w:val="clear" w:fill="auto"/>
          <w:vertAlign w:val="baseline"/>
          <w:rtl w:val="0"/>
        </w:rPr>
        <w:t xml:space="preserve">: Confirm that the response addresses all questions raised in the RFI.</w:t>
      </w:r>
    </w:p>
    <w:p w:rsidRPr="00000000" w:rsidR="00000000" w:rsidDel="00000000" w:rsidP="00000000" w:rsidRDefault="00000000" w14:paraId="000003B5">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Completeness:</w:t>
      </w:r>
      <w:r w:rsidRPr="00000000" w:rsidDel="00000000" w:rsidR="00000000">
        <w:rPr>
          <w:i w:val="0"/>
          <w:iCs w:val="0"/>
          <w:smallCaps w:val="0"/>
          <w:strike w:val="0"/>
          <w:color w:val="000000"/>
          <w:sz w:val="22"/>
          <w:szCs w:val="22"/>
          <w:u w:val="none"/>
          <w:shd w:val="clear" w:fill="auto"/>
          <w:vertAlign w:val="baseline"/>
          <w:rtl w:val="0"/>
        </w:rPr>
        <w:t xml:space="preserve"> Ensure that the provided information is complete and there are no gaps in the user’s explanation or documentation.</w:t>
      </w:r>
    </w:p>
    <w:p w:rsidRPr="00000000" w:rsidR="00000000" w:rsidDel="00000000" w:rsidP="00000000" w:rsidRDefault="00000000" w14:paraId="000003B6">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Consistency:</w:t>
      </w:r>
      <w:r w:rsidRPr="00000000" w:rsidDel="00000000" w:rsidR="00000000">
        <w:rPr>
          <w:i w:val="0"/>
          <w:iCs w:val="0"/>
          <w:smallCaps w:val="0"/>
          <w:strike w:val="0"/>
          <w:color w:val="000000"/>
          <w:sz w:val="22"/>
          <w:szCs w:val="22"/>
          <w:u w:val="none"/>
          <w:shd w:val="clear" w:fill="auto"/>
          <w:vertAlign w:val="baseline"/>
          <w:rtl w:val="0"/>
        </w:rPr>
        <w:t xml:space="preserve"> Check for consistency between the RFI response and known customer information, transaction patterns, and risk profile.</w:t>
      </w:r>
    </w:p>
    <w:p w:rsidRPr="00000000" w:rsidR="00000000" w:rsidDel="00000000" w:rsidP="00000000" w:rsidRDefault="00000000" w14:paraId="000003B7">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Risk Reassessment:</w:t>
      </w:r>
      <w:r w:rsidRPr="00000000" w:rsidDel="00000000" w:rsidR="00000000">
        <w:rPr>
          <w:i w:val="0"/>
          <w:iCs w:val="0"/>
          <w:smallCaps w:val="0"/>
          <w:strike w:val="0"/>
          <w:color w:val="000000"/>
          <w:sz w:val="22"/>
          <w:szCs w:val="22"/>
          <w:u w:val="none"/>
          <w:shd w:val="clear" w:fill="auto"/>
          <w:vertAlign w:val="baseline"/>
          <w:rtl w:val="0"/>
        </w:rPr>
        <w:t xml:space="preserve"> Reassess the risk based on the new information, determining if it aligns with the customer's expected behavior or business profile. Additionally, the risk of the response should also be assessed to determine if the response actually increases the risk of the client’s transaction. Consider the client’s RFI response in the context of the Onchain TM Matrix.</w:t>
      </w:r>
    </w:p>
    <w:p w:rsidRPr="00000000" w:rsidR="00000000" w:rsidDel="00000000" w:rsidP="00000000" w:rsidRDefault="00000000" w14:paraId="000003B8">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Historical Activity/RFIs</w:t>
      </w:r>
      <w:r w:rsidRPr="00000000" w:rsidDel="00000000" w:rsidR="00000000">
        <w:rPr>
          <w:i w:val="0"/>
          <w:iCs w:val="0"/>
          <w:smallCaps w:val="0"/>
          <w:strike w:val="0"/>
          <w:color w:val="000000"/>
          <w:sz w:val="22"/>
          <w:szCs w:val="22"/>
          <w:u w:val="none"/>
          <w:shd w:val="clear" w:fill="auto"/>
          <w:vertAlign w:val="baseline"/>
          <w:rtl w:val="0"/>
        </w:rPr>
        <w:t xml:space="preserve">: If the user has been previously warned regarding risky transactions, or a subsequent alert has triggered for similar historic activity, a subsequent RFI should consider the historical RFI record of the client.</w:t>
      </w:r>
    </w:p>
    <w:p w:rsidRPr="00000000" w:rsidR="00000000" w:rsidDel="00000000" w:rsidP="00000000" w:rsidRDefault="00000000" w14:paraId="000003B9">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Lack of Response</w:t>
      </w:r>
      <w:r w:rsidRPr="00000000" w:rsidDel="00000000" w:rsidR="00000000">
        <w:rPr>
          <w:i w:val="0"/>
          <w:iCs w:val="0"/>
          <w:smallCaps w:val="0"/>
          <w:strike w:val="0"/>
          <w:color w:val="000000"/>
          <w:sz w:val="22"/>
          <w:szCs w:val="22"/>
          <w:u w:val="none"/>
          <w:shd w:val="clear" w:fill="auto"/>
          <w:vertAlign w:val="baseline"/>
          <w:rtl w:val="0"/>
        </w:rPr>
        <w:t xml:space="preserve">: A lack of a response to an RFI may be evident of potential evasion on behalf of the client. A lack of a response to an RFI should be considered amongst the various factors, client due diligence, and enhanced due diligence aspects of a review to conclude with a holistic recommendation.</w:t>
      </w:r>
    </w:p>
    <w:p w:rsidRPr="00000000" w:rsidR="00000000" w:rsidDel="00000000" w:rsidP="00000000" w:rsidRDefault="00000000" w14:paraId="000003BA">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Documentation</w:t>
      </w:r>
      <w:r w:rsidRPr="00000000" w:rsidDel="00000000" w:rsidR="00000000">
        <w:rPr>
          <w:i w:val="0"/>
          <w:iCs w:val="0"/>
          <w:smallCaps w:val="0"/>
          <w:strike w:val="0"/>
          <w:color w:val="000000"/>
          <w:sz w:val="22"/>
          <w:szCs w:val="22"/>
          <w:u w:val="none"/>
          <w:shd w:val="clear" w:fill="auto"/>
          <w:vertAlign w:val="baseline"/>
          <w:rtl w:val="0"/>
        </w:rPr>
        <w:t xml:space="preserve">: Document the evaluation of the RFI response, including any decisions or additional actions taken due to the information provided. RFI reference ID should be cited within the alert or case file as evidence to document the resolution.</w:t>
      </w:r>
    </w:p>
    <w:p w:rsidRPr="00000000" w:rsidR="00000000" w:rsidDel="00000000" w:rsidP="00000000" w:rsidRDefault="00000000" w14:paraId="000003BB">
      <w:pPr>
        <w:numPr>
          <w:ilvl w:val="2"/>
          <w:numId w:val="25"/>
        </w:numPr>
        <w:spacing w:after="240" w:lineRule="auto"/>
        <w:ind w:left="720" w:hanging="720"/>
        <w:jc w:val="both"/>
        <w:rPr/>
      </w:pPr>
      <w:bookmarkStart w:name="_heading=h.n3qpv2h156o0" w:colFirst="0" w:colLast="0" w:id="178"/>
      <w:bookmarkEnd w:id="178"/>
      <w:r w:rsidRPr="00000000" w:rsidDel="00000000" w:rsidR="00000000">
        <w:rPr>
          <w:rtl w:val="0"/>
        </w:rPr>
        <w:t xml:space="preserve">With reference to the </w:t>
      </w:r>
      <w:hyperlink r:id="rId28">
        <w:r w:rsidRPr="00000000" w:rsidDel="00000000" w:rsidR="00000000">
          <w:rPr>
            <w:color w:val="0563c1"/>
            <w:u w:val="single"/>
            <w:rtl w:val="0"/>
          </w:rPr>
          <w:t xml:space="preserve">Guide to On-chain TM Matrix</w:t>
        </w:r>
      </w:hyperlink>
      <w:r w:rsidRPr="00000000" w:rsidDel="00000000" w:rsidR="00000000">
        <w:rPr>
          <w:rtl w:val="0"/>
        </w:rPr>
        <w:t xml:space="preserve">, multiple risky transactions should be considered for escalation should adequate risk factors exist based on a holistic review of the client in the context of the triggered alert rule. Specifically, re-triggering the RFI is not required at the L1 stage, and rather, a case decision should be completed at the L1 stage, allowing for a subsequent RFI to be conducted at the L2 level, if deemed appropriate to escalate, to ensure operational efficiency.</w:t>
      </w:r>
    </w:p>
    <w:p w:rsidRPr="00000000" w:rsidR="00000000" w:rsidDel="00000000" w:rsidP="00000000" w:rsidRDefault="00000000" w14:paraId="000003BC">
      <w:pPr>
        <w:pStyle w:val="Heading1"/>
        <w:keepNext w:val="1"/>
        <w:keepLines w:val="1"/>
        <w:pageBreakBefore w:val="0"/>
        <w:widowControl w:val="1"/>
        <w:numPr>
          <w:ilvl w:val="0"/>
          <w:numId w:val="25"/>
        </w:numPr>
        <w:pBdr>
          <w:top w:val="nil" w:sz="0" w:space="0"/>
          <w:left w:val="nil" w:sz="0" w:space="0"/>
          <w:bottom w:val="nil" w:sz="0" w:space="0"/>
          <w:right w:val="nil" w:sz="0" w:space="0"/>
          <w:between w:val="nil" w:sz="0" w:space="0"/>
        </w:pBdr>
        <w:shd w:val="clear" w:fill="auto"/>
        <w:spacing w:before="480" w:after="240" w:line="276" w:lineRule="auto"/>
        <w:ind w:left="720" w:right="0" w:hanging="720"/>
        <w:jc w:val="both"/>
        <w:rPr/>
      </w:pPr>
      <w:bookmarkStart w:name="_heading=h.8wbhrzybcfkf" w:colFirst="0" w:colLast="0" w:id="179"/>
      <w:bookmarkEnd w:id="179"/>
      <w:r w:rsidRPr="00000000" w:rsidDel="00000000" w:rsidR="00000000">
        <w:rPr>
          <w:rFonts w:ascii="Arial" w:hAnsi="Arial" w:eastAsia="Arial" w:cs="Arial"/>
          <w:smallCaps w:val="1"/>
          <w:sz w:val="28"/>
          <w:szCs w:val="28"/>
          <w:rtl w:val="0"/>
        </w:rPr>
        <w:t xml:space="preserve">WHITELISTING APPROACH AND GOVERNANCE PROCESS</w:t>
      </w:r>
    </w:p>
    <w:p w:rsidRPr="00000000" w:rsidR="00000000" w:rsidDel="00000000" w:rsidP="00000000" w:rsidRDefault="00000000" w14:paraId="000003BD">
      <w:pPr>
        <w:numPr>
          <w:ilvl w:val="2"/>
          <w:numId w:val="25"/>
        </w:numPr>
        <w:spacing w:after="240" w:lineRule="auto"/>
        <w:ind w:left="720" w:hanging="720"/>
        <w:jc w:val="both"/>
        <w:rPr/>
      </w:pPr>
      <w:bookmarkStart w:name="_heading=h.45s0pyynraa4" w:colFirst="0" w:colLast="0" w:id="180"/>
      <w:bookmarkEnd w:id="180"/>
      <w:r w:rsidRPr="00000000" w:rsidDel="00000000" w:rsidR="00000000">
        <w:rPr>
          <w:rtl w:val="0"/>
        </w:rPr>
        <w:t xml:space="preserve">By adhering to the whitelisting process, organizations can effectively manage and monitor internal user accounts, minimizing the chances of triggering unnecessary alerts. Accounts that need to be whitelisted are identified based on clear criteria, including account type and purpose. This identification is carried out by the TM OffChain Lead, TM OnChain Lead, or TM Manager. Once an account is deemed necessary for whitelisting, the responsible individual sends a message to the System Risk Manager who will add the User ID (UID) into the </w:t>
      </w:r>
      <w:hyperlink r:id="rId29">
        <w:r w:rsidRPr="00000000" w:rsidDel="00000000" w:rsidR="00000000">
          <w:rPr>
            <w:color w:val="0563c1"/>
            <w:u w:val="single"/>
            <w:rtl w:val="0"/>
          </w:rPr>
          <w:t xml:space="preserve">TM Whitelisted UID List</w:t>
        </w:r>
      </w:hyperlink>
      <w:r w:rsidRPr="00000000" w:rsidDel="00000000" w:rsidR="00000000">
        <w:rPr>
          <w:rtl w:val="0"/>
        </w:rPr>
        <w:t xml:space="preserve">. Prior approval from the TM Manager is required for account whitelisting.</w:t>
      </w:r>
    </w:p>
    <w:p w:rsidRPr="00000000" w:rsidR="00000000" w:rsidDel="00000000" w:rsidP="00000000" w:rsidRDefault="00000000" w14:paraId="000003BE">
      <w:pPr>
        <w:pStyle w:val="Heading1"/>
        <w:keepNext w:val="1"/>
        <w:keepLines w:val="1"/>
        <w:pageBreakBefore w:val="0"/>
        <w:widowControl w:val="1"/>
        <w:pBdr>
          <w:top w:val="nil" w:sz="0" w:space="0"/>
          <w:left w:val="nil" w:sz="0" w:space="0"/>
          <w:bottom w:val="nil" w:sz="0" w:space="0"/>
          <w:right w:val="nil" w:sz="0" w:space="0"/>
          <w:between w:val="nil" w:sz="0" w:space="0"/>
        </w:pBdr>
        <w:shd w:val="clear" w:fill="auto"/>
        <w:spacing w:before="480" w:after="240" w:line="276" w:lineRule="auto"/>
        <w:ind w:right="0" w:firstLine="720"/>
        <w:jc w:val="both"/>
        <w:rPr>
          <w:rFonts w:ascii="Arial" w:hAnsi="Arial" w:eastAsia="Arial" w:cs="Arial"/>
          <w:smallCaps w:val="1"/>
          <w:sz w:val="28"/>
          <w:szCs w:val="28"/>
        </w:rPr>
      </w:pPr>
      <w:bookmarkStart w:name="_heading=h.locxr323ki94" w:colFirst="0" w:colLast="0" w:id="181"/>
      <w:bookmarkEnd w:id="181"/>
      <w:r w:rsidRPr="00000000" w:rsidDel="00000000" w:rsidR="00000000">
        <w:br w:type="page"/>
      </w:r>
      <w:r w:rsidRPr="00000000" w:rsidDel="00000000" w:rsidR="00000000">
        <w:rPr>
          <w:rtl w:val="0"/>
        </w:rPr>
      </w:r>
    </w:p>
    <w:p w:rsidRPr="00000000" w:rsidR="00000000" w:rsidDel="00000000" w:rsidP="00000000" w:rsidRDefault="00000000" w14:paraId="000003BF">
      <w:pPr>
        <w:pStyle w:val="Heading1"/>
        <w:keepNext w:val="1"/>
        <w:keepLines w:val="1"/>
        <w:pageBreakBefore w:val="0"/>
        <w:widowControl w:val="1"/>
        <w:numPr>
          <w:ilvl w:val="0"/>
          <w:numId w:val="25"/>
        </w:numPr>
        <w:pBdr>
          <w:top w:val="nil" w:sz="0" w:space="0"/>
          <w:left w:val="nil" w:sz="0" w:space="0"/>
          <w:bottom w:val="nil" w:sz="0" w:space="0"/>
          <w:right w:val="nil" w:sz="0" w:space="0"/>
          <w:between w:val="nil" w:sz="0" w:space="0"/>
        </w:pBdr>
        <w:shd w:val="clear" w:fill="auto"/>
        <w:spacing w:before="480" w:after="240" w:line="276" w:lineRule="auto"/>
        <w:ind w:left="720" w:right="0" w:hanging="720"/>
        <w:jc w:val="both"/>
        <w:rPr/>
      </w:pPr>
      <w:bookmarkStart w:name="_heading=h.mhsjo64vohun" w:colFirst="0" w:colLast="0" w:id="182"/>
      <w:bookmarkEnd w:id="182"/>
      <w:r w:rsidRPr="00000000" w:rsidDel="00000000" w:rsidR="00000000">
        <w:rPr>
          <w:rFonts w:ascii="Arial" w:hAnsi="Arial" w:eastAsia="Arial" w:cs="Arial"/>
          <w:smallCaps w:val="1"/>
          <w:sz w:val="28"/>
          <w:szCs w:val="28"/>
          <w:rtl w:val="0"/>
        </w:rPr>
        <w:t xml:space="preserve">ESCALATIONS</w:t>
      </w:r>
    </w:p>
    <w:p w:rsidRPr="00000000" w:rsidR="00000000" w:rsidDel="00000000" w:rsidP="00000000" w:rsidRDefault="00000000" w14:paraId="000003C0">
      <w:pPr>
        <w:pStyle w:val="Heading2"/>
        <w:numPr>
          <w:ilvl w:val="1"/>
          <w:numId w:val="25"/>
        </w:numPr>
        <w:spacing w:after="240" w:lineRule="auto"/>
        <w:ind w:left="720"/>
        <w:jc w:val="both"/>
        <w:rPr/>
      </w:pPr>
      <w:bookmarkStart w:name="_heading=h.2u9d1msfgye" w:colFirst="0" w:colLast="0" w:id="183"/>
      <w:bookmarkEnd w:id="183"/>
      <w:r w:rsidRPr="00000000" w:rsidDel="00000000" w:rsidR="00000000">
        <w:rPr>
          <w:rFonts w:ascii="Arial" w:hAnsi="Arial" w:eastAsia="Arial" w:cs="Arial"/>
          <w:sz w:val="24"/>
          <w:szCs w:val="24"/>
          <w:rtl w:val="0"/>
        </w:rPr>
        <w:t xml:space="preserve">Escalation to High Risk Customer Team</w:t>
      </w:r>
    </w:p>
    <w:p w:rsidRPr="00000000" w:rsidR="00000000" w:rsidDel="00000000" w:rsidP="00000000" w:rsidRDefault="00000000" w14:paraId="000003C1">
      <w:pPr>
        <w:numPr>
          <w:ilvl w:val="2"/>
          <w:numId w:val="25"/>
        </w:numPr>
        <w:spacing w:after="240" w:lineRule="auto"/>
        <w:ind w:left="720" w:hanging="720"/>
        <w:jc w:val="both"/>
        <w:rPr/>
      </w:pPr>
      <w:bookmarkStart w:name="_heading=h.lzte55qhg8xo" w:colFirst="0" w:colLast="0" w:id="184"/>
      <w:bookmarkEnd w:id="184"/>
      <w:r w:rsidRPr="00000000" w:rsidDel="00000000" w:rsidR="00000000">
        <w:rPr>
          <w:rtl w:val="0"/>
        </w:rPr>
        <w:t xml:space="preserve">Where unusual activity is observed for:</w:t>
      </w:r>
    </w:p>
    <w:p w:rsidRPr="00000000" w:rsidR="00000000" w:rsidDel="00000000" w:rsidP="00000000" w:rsidRDefault="00000000" w14:paraId="000003C2">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VASPs accounts or sub-accounts</w:t>
      </w:r>
    </w:p>
    <w:p w:rsidRPr="00000000" w:rsidR="00000000" w:rsidDel="00000000" w:rsidP="00000000" w:rsidRDefault="00000000" w14:paraId="000003C3">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Brokers accounts or sub-accounts</w:t>
      </w:r>
    </w:p>
    <w:p w:rsidRPr="00000000" w:rsidR="00000000" w:rsidDel="00000000" w:rsidP="00000000" w:rsidRDefault="00000000" w14:paraId="000003C4">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Nested Exchange (VASPs) accounts or sub-accounts</w:t>
      </w:r>
    </w:p>
    <w:p w:rsidRPr="00000000" w:rsidR="00000000" w:rsidDel="00000000" w:rsidP="00000000" w:rsidRDefault="00000000" w14:paraId="000003C5">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Politically Exposed Persons (PEPs) / PEP Known Close Associates accounts,</w:t>
      </w:r>
    </w:p>
    <w:p w:rsidRPr="00000000" w:rsidR="00000000" w:rsidDel="00000000" w:rsidP="00000000" w:rsidRDefault="00000000" w14:paraId="000003C6">
      <w:pPr>
        <w:spacing w:after="240" w:lineRule="auto"/>
        <w:ind w:left="720" w:firstLine="0"/>
        <w:jc w:val="both"/>
        <w:rPr/>
      </w:pPr>
      <w:bookmarkStart w:name="_heading=h.vmza8dlrna5j" w:colFirst="0" w:colLast="0" w:id="185"/>
      <w:bookmarkEnd w:id="185"/>
      <w:r w:rsidRPr="00000000" w:rsidDel="00000000" w:rsidR="00000000">
        <w:rPr>
          <w:rtl w:val="0"/>
        </w:rPr>
        <w:t xml:space="preserve">Analysts should escalate the account to both the FCI Team, and the HRC Team by completing the HRC Referral Form in Appendix 1. RELATED DOCUMENTATION (</w:t>
      </w:r>
      <w:r w:rsidRPr="00000000" w:rsidDel="00000000" w:rsidR="00000000">
        <w:rPr>
          <w:rtl w:val="0"/>
        </w:rPr>
        <w:t xml:space="preserve">TM to HRC Referral Form).</w:t>
      </w:r>
      <w:r w:rsidRPr="00000000" w:rsidDel="00000000" w:rsidR="00000000">
        <w:rPr>
          <w:vertAlign w:val="superscript"/>
        </w:rPr>
        <w:footnoteReference w:customMarkFollows="0" w:id="6"/>
      </w:r>
      <w:r w:rsidRPr="00000000" w:rsidDel="00000000" w:rsidR="00000000">
        <w:rPr>
          <w:rtl w:val="0"/>
        </w:rPr>
        <w:t xml:space="preserve"> </w:t>
      </w:r>
      <w:r w:rsidRPr="00000000" w:rsidDel="00000000" w:rsidR="00000000">
        <w:rPr>
          <w:rtl w:val="0"/>
        </w:rPr>
      </w:r>
    </w:p>
    <w:p w:rsidRPr="00000000" w:rsidR="00000000" w:rsidDel="00000000" w:rsidP="00000000" w:rsidRDefault="00000000" w14:paraId="000003C7">
      <w:pPr>
        <w:spacing w:before="40" w:after="0" w:line="271" w:lineRule="auto"/>
        <w:jc w:val="both"/>
        <w:rPr/>
      </w:pPr>
      <w:r w:rsidRPr="00000000" w:rsidDel="00000000" w:rsidR="00000000">
        <w:rPr>
          <w:rtl w:val="0"/>
        </w:rPr>
      </w:r>
    </w:p>
    <w:p w:rsidRPr="00000000" w:rsidR="00000000" w:rsidDel="00000000" w:rsidP="00000000" w:rsidRDefault="00000000" w14:paraId="000003C8">
      <w:pPr>
        <w:numPr>
          <w:ilvl w:val="2"/>
          <w:numId w:val="25"/>
        </w:numPr>
        <w:spacing w:after="240" w:lineRule="auto"/>
        <w:ind w:left="720" w:hanging="720"/>
        <w:jc w:val="both"/>
        <w:rPr/>
      </w:pPr>
      <w:bookmarkStart w:name="_heading=h.p0ii635omja3" w:colFirst="0" w:colLast="0" w:id="186"/>
      <w:bookmarkEnd w:id="186"/>
      <w:r w:rsidRPr="00000000" w:rsidDel="00000000" w:rsidR="00000000">
        <w:rPr>
          <w:rtl w:val="0"/>
        </w:rPr>
        <w:t xml:space="preserve">VASPs are platforms used to buy, sell, exchange, or otherwise interact with the cryptocurrency market and may include: Crypto exchanges, Crypto ATM operators, Mining pools, Investment vehicles, Digital wallet providers, Companies offering escrow services.</w:t>
      </w:r>
    </w:p>
    <w:p w:rsidRPr="00000000" w:rsidR="00000000" w:rsidDel="00000000" w:rsidP="00000000" w:rsidRDefault="00000000" w14:paraId="000003C9">
      <w:pPr>
        <w:numPr>
          <w:ilvl w:val="2"/>
          <w:numId w:val="25"/>
        </w:numPr>
        <w:spacing w:after="240" w:lineRule="auto"/>
        <w:ind w:left="720" w:hanging="720"/>
        <w:jc w:val="both"/>
        <w:rPr/>
      </w:pPr>
      <w:bookmarkStart w:name="_heading=h.8skbhvhn79qa" w:colFirst="0" w:colLast="0" w:id="187"/>
      <w:bookmarkEnd w:id="187"/>
      <w:r w:rsidRPr="00000000" w:rsidDel="00000000" w:rsidR="00000000">
        <w:rPr>
          <w:rtl w:val="0"/>
        </w:rPr>
        <w:t xml:space="preserve">Nested services are known to involve offering secondary services within our platform. These services are either registered as VASPs on the platform, or can be disguised as retail accounts with the following indicators:</w:t>
      </w:r>
    </w:p>
    <w:p w:rsidRPr="00000000" w:rsidR="00000000" w:rsidDel="00000000" w:rsidP="00000000" w:rsidRDefault="00000000" w14:paraId="000003CA">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High number of Onchain alerts and transactional activity that is inconsistent with a personal retail account;</w:t>
      </w:r>
    </w:p>
    <w:p w:rsidRPr="00000000" w:rsidR="00000000" w:rsidDel="00000000" w:rsidP="00000000" w:rsidRDefault="00000000" w14:paraId="000003CB">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Low asset balance;</w:t>
      </w:r>
    </w:p>
    <w:p w:rsidRPr="00000000" w:rsidR="00000000" w:rsidDel="00000000" w:rsidP="00000000" w:rsidRDefault="00000000" w14:paraId="000003CC">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API integration; and</w:t>
      </w:r>
    </w:p>
    <w:p w:rsidRPr="00000000" w:rsidR="00000000" w:rsidDel="00000000" w:rsidP="00000000" w:rsidRDefault="00000000" w14:paraId="000003CD">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Insufficient supporting documentation or self-declaration of facilitating funds on behalf of  third-parties.</w:t>
      </w:r>
    </w:p>
    <w:p w:rsidRPr="00000000" w:rsidR="00000000" w:rsidDel="00000000" w:rsidP="00000000" w:rsidRDefault="00000000" w14:paraId="000003CE">
      <w:pPr>
        <w:numPr>
          <w:ilvl w:val="2"/>
          <w:numId w:val="25"/>
        </w:numPr>
        <w:spacing w:after="240" w:lineRule="auto"/>
        <w:ind w:left="720" w:hanging="720"/>
        <w:jc w:val="both"/>
        <w:rPr/>
      </w:pPr>
      <w:bookmarkStart w:name="_heading=h.dlxnx7ejllkx" w:colFirst="0" w:colLast="0" w:id="188"/>
      <w:bookmarkEnd w:id="188"/>
      <w:r w:rsidRPr="00000000" w:rsidDel="00000000" w:rsidR="00000000">
        <w:rPr>
          <w:rtl w:val="0"/>
        </w:rPr>
        <w:t xml:space="preserve">Analysts may escalate to the HRC team for further risk assessment in such situations where users are suspected of being nested service providers via the HRC Referral Form</w:t>
      </w:r>
      <w:r w:rsidRPr="00000000" w:rsidDel="00000000" w:rsidR="00000000">
        <w:rPr>
          <w:rtl w:val="0"/>
        </w:rPr>
        <w:t xml:space="preserve"> or @HRCBot. It is important that any and all business providers, or handlers of third-party funds, are adequately identified and reviewed as per the High Risk Client Standard Operating Procedure. If the Analyst made a submission using the </w:t>
      </w:r>
      <w:r w:rsidRPr="00000000" w:rsidDel="00000000" w:rsidR="00000000">
        <w:rPr>
          <w:rtl w:val="0"/>
        </w:rPr>
        <w:t xml:space="preserve">HRC Referral Form</w:t>
      </w:r>
      <w:r w:rsidRPr="00000000" w:rsidDel="00000000" w:rsidR="00000000">
        <w:rPr>
          <w:rtl w:val="0"/>
        </w:rPr>
        <w:t xml:space="preserve">, the Analyst also should send a message to the @HRCBot in Wea to notify the HRC team of a new submission, and include the UID.</w:t>
      </w:r>
    </w:p>
    <w:p w:rsidRPr="00000000" w:rsidR="00000000" w:rsidDel="00000000" w:rsidP="00000000" w:rsidRDefault="00000000" w14:paraId="000003CF">
      <w:pPr>
        <w:numPr>
          <w:ilvl w:val="2"/>
          <w:numId w:val="25"/>
        </w:numPr>
        <w:spacing w:after="240" w:lineRule="auto"/>
        <w:ind w:left="720" w:hanging="720"/>
        <w:jc w:val="both"/>
        <w:rPr/>
      </w:pPr>
      <w:bookmarkStart w:name="_heading=h.6dulkd61wsqk" w:colFirst="0" w:colLast="0" w:id="189"/>
      <w:bookmarkEnd w:id="189"/>
      <w:r w:rsidRPr="00000000" w:rsidDel="00000000" w:rsidR="00000000">
        <w:rPr>
          <w:rtl w:val="0"/>
        </w:rPr>
        <w:t xml:space="preserve">To identify the nature of business and whether the company may be related to High Risk Client Type mentioned above, the analyst should review KYB Documents, located under Company KYB Documentation on the Backend (User -&gt; Certificate -&gt; Enterprise Detail) or on GDrive (for legacy cases) via Company Name/Email/UID search. Open sources check can be useful for such purposes as well.</w:t>
      </w:r>
    </w:p>
    <w:p w:rsidRPr="00000000" w:rsidR="00000000" w:rsidDel="00000000" w:rsidP="00000000" w:rsidRDefault="00000000" w14:paraId="000003D0">
      <w:pPr>
        <w:numPr>
          <w:ilvl w:val="2"/>
          <w:numId w:val="25"/>
        </w:numPr>
        <w:spacing w:after="240" w:lineRule="auto"/>
        <w:ind w:left="720" w:hanging="720"/>
        <w:jc w:val="both"/>
        <w:rPr/>
      </w:pPr>
      <w:bookmarkStart w:name="_heading=h.raphw8qbhotv" w:colFirst="0" w:colLast="0" w:id="190"/>
      <w:bookmarkEnd w:id="190"/>
      <w:r w:rsidRPr="00000000" w:rsidDel="00000000" w:rsidR="00000000">
        <w:rPr>
          <w:rtl w:val="0"/>
        </w:rPr>
        <w:t xml:space="preserve">The higher risk of such Corporate Users arises from the indirect nature of relationships with VASP’s/Broker’s users.</w:t>
      </w:r>
    </w:p>
    <w:p w:rsidRPr="00000000" w:rsidR="00000000" w:rsidDel="00000000" w:rsidP="00000000" w:rsidRDefault="00000000" w14:paraId="000003D1">
      <w:pPr>
        <w:pStyle w:val="Heading2"/>
        <w:numPr>
          <w:ilvl w:val="1"/>
          <w:numId w:val="25"/>
        </w:numPr>
        <w:spacing w:after="240" w:lineRule="auto"/>
        <w:ind w:left="720"/>
        <w:jc w:val="both"/>
        <w:rPr/>
      </w:pPr>
      <w:bookmarkStart w:name="_heading=h.kzw3qt313g6y" w:colFirst="0" w:colLast="0" w:id="191"/>
      <w:bookmarkEnd w:id="191"/>
      <w:r w:rsidRPr="00000000" w:rsidDel="00000000" w:rsidR="00000000">
        <w:rPr>
          <w:rFonts w:ascii="Arial" w:hAnsi="Arial" w:eastAsia="Arial" w:cs="Arial"/>
          <w:sz w:val="24"/>
          <w:szCs w:val="24"/>
          <w:rtl w:val="0"/>
        </w:rPr>
        <w:t xml:space="preserve">Discrepancies in User Profile</w:t>
      </w:r>
    </w:p>
    <w:p w:rsidRPr="00000000" w:rsidR="00000000" w:rsidDel="00000000" w:rsidP="00000000" w:rsidRDefault="00000000" w14:paraId="000003D2">
      <w:pPr>
        <w:numPr>
          <w:ilvl w:val="2"/>
          <w:numId w:val="25"/>
        </w:numPr>
        <w:spacing w:after="240" w:lineRule="auto"/>
        <w:ind w:left="720" w:hanging="720"/>
        <w:jc w:val="both"/>
        <w:rPr/>
      </w:pPr>
      <w:bookmarkStart w:name="_heading=h.tzin8pvj3rx1" w:colFirst="0" w:colLast="0" w:id="192"/>
      <w:bookmarkEnd w:id="192"/>
      <w:r w:rsidRPr="00000000" w:rsidDel="00000000" w:rsidR="00000000">
        <w:rPr>
          <w:rtl w:val="0"/>
        </w:rPr>
        <w:t xml:space="preserve">Where the Analyst noticed any discrepancies in a User profile such as wrong account classification, incorrect KYC or POA, etc – such accounts should be escalated to the CDD Team via KYCComplianceBot.</w:t>
      </w:r>
    </w:p>
    <w:p w:rsidRPr="00000000" w:rsidR="00000000" w:rsidDel="00000000" w:rsidP="00000000" w:rsidRDefault="00000000" w14:paraId="000003D3">
      <w:pPr>
        <w:pStyle w:val="Heading2"/>
        <w:numPr>
          <w:ilvl w:val="1"/>
          <w:numId w:val="25"/>
        </w:numPr>
        <w:spacing w:after="240" w:lineRule="auto"/>
        <w:ind w:left="720"/>
        <w:jc w:val="both"/>
        <w:rPr/>
      </w:pPr>
      <w:bookmarkStart w:name="_heading=h.u4g59bnhxmqs" w:colFirst="0" w:colLast="0" w:id="193"/>
      <w:bookmarkEnd w:id="193"/>
      <w:r w:rsidRPr="00000000" w:rsidDel="00000000" w:rsidR="00000000">
        <w:rPr>
          <w:rFonts w:ascii="Arial" w:hAnsi="Arial" w:eastAsia="Arial" w:cs="Arial"/>
          <w:sz w:val="24"/>
          <w:szCs w:val="24"/>
          <w:rtl w:val="0"/>
        </w:rPr>
        <w:t xml:space="preserve">Escalation to Sanctions Investigations Team</w:t>
      </w:r>
    </w:p>
    <w:p w:rsidRPr="00000000" w:rsidR="00000000" w:rsidDel="00000000" w:rsidP="00000000" w:rsidRDefault="00000000" w14:paraId="000003D4">
      <w:pPr>
        <w:numPr>
          <w:ilvl w:val="2"/>
          <w:numId w:val="25"/>
        </w:numPr>
        <w:spacing w:after="240" w:lineRule="auto"/>
        <w:ind w:left="720" w:hanging="720"/>
        <w:jc w:val="both"/>
        <w:rPr/>
      </w:pPr>
      <w:bookmarkStart w:name="_heading=h.mqbe72aiaf1i" w:colFirst="0" w:colLast="0" w:id="194"/>
      <w:bookmarkEnd w:id="194"/>
      <w:r w:rsidRPr="00000000" w:rsidDel="00000000" w:rsidR="00000000">
        <w:rPr>
          <w:rtl w:val="0"/>
        </w:rPr>
        <w:t xml:space="preserve">Cases involving hits against sanction lists or entities related to sanctioned entities or countries pursuant to the Global Sanctions Policy and Global Sanctions Operations Procedures should be escalated to the </w:t>
      </w:r>
      <w:r w:rsidRPr="00000000" w:rsidDel="00000000" w:rsidR="00000000">
        <w:rPr>
          <w:rtl w:val="0"/>
        </w:rPr>
        <w:t xml:space="preserve">Sanction Investigations Team</w:t>
      </w:r>
      <w:r w:rsidRPr="00000000" w:rsidDel="00000000" w:rsidR="00000000">
        <w:rPr>
          <w:rtl w:val="0"/>
        </w:rPr>
        <w:t xml:space="preserve">.</w:t>
      </w:r>
    </w:p>
    <w:p w:rsidRPr="00000000" w:rsidR="00000000" w:rsidDel="00000000" w:rsidP="00000000" w:rsidRDefault="00000000" w14:paraId="000003D5">
      <w:pPr>
        <w:pStyle w:val="Heading1"/>
        <w:keepNext w:val="1"/>
        <w:keepLines w:val="1"/>
        <w:pageBreakBefore w:val="0"/>
        <w:widowControl w:val="1"/>
        <w:numPr>
          <w:ilvl w:val="0"/>
          <w:numId w:val="25"/>
        </w:numPr>
        <w:pBdr>
          <w:top w:val="nil" w:sz="0" w:space="0"/>
          <w:left w:val="nil" w:sz="0" w:space="0"/>
          <w:bottom w:val="nil" w:sz="0" w:space="0"/>
          <w:right w:val="nil" w:sz="0" w:space="0"/>
          <w:between w:val="nil" w:sz="0" w:space="0"/>
        </w:pBdr>
        <w:shd w:val="clear" w:fill="auto"/>
        <w:spacing w:before="480" w:after="240" w:line="276" w:lineRule="auto"/>
        <w:ind w:left="720" w:right="0" w:hanging="720"/>
        <w:jc w:val="both"/>
        <w:rPr/>
      </w:pPr>
      <w:bookmarkStart w:name="_heading=h.fl47twaft2j3" w:colFirst="0" w:colLast="0" w:id="195"/>
      <w:bookmarkEnd w:id="195"/>
      <w:r w:rsidRPr="00000000" w:rsidDel="00000000" w:rsidR="00000000">
        <w:rPr>
          <w:rFonts w:ascii="Arial" w:hAnsi="Arial" w:eastAsia="Arial" w:cs="Arial"/>
          <w:smallCaps w:val="1"/>
          <w:sz w:val="28"/>
          <w:szCs w:val="28"/>
          <w:rtl w:val="0"/>
        </w:rPr>
        <w:t xml:space="preserve">ON-CHAIN TRANSACTION SCREENING WORKFLOW</w:t>
      </w:r>
    </w:p>
    <w:p w:rsidRPr="00000000" w:rsidR="00000000" w:rsidDel="00000000" w:rsidP="00000000" w:rsidRDefault="00000000" w14:paraId="000003D6">
      <w:pPr>
        <w:pStyle w:val="Heading2"/>
        <w:numPr>
          <w:ilvl w:val="1"/>
          <w:numId w:val="25"/>
        </w:numPr>
        <w:spacing w:after="240" w:lineRule="auto"/>
        <w:ind w:left="720"/>
        <w:jc w:val="both"/>
        <w:rPr/>
      </w:pPr>
      <w:bookmarkStart w:name="_heading=h.t8n81ukyfpsh" w:colFirst="0" w:colLast="0" w:id="196"/>
      <w:bookmarkEnd w:id="196"/>
      <w:r w:rsidRPr="00000000" w:rsidDel="00000000" w:rsidR="00000000">
        <w:rPr>
          <w:rFonts w:ascii="Arial" w:hAnsi="Arial" w:eastAsia="Arial" w:cs="Arial"/>
          <w:sz w:val="24"/>
          <w:szCs w:val="24"/>
          <w:rtl w:val="0"/>
        </w:rPr>
        <w:t xml:space="preserve">Overview</w:t>
      </w:r>
    </w:p>
    <w:p w:rsidRPr="00000000" w:rsidR="00000000" w:rsidDel="00000000" w:rsidP="00000000" w:rsidRDefault="00000000" w14:paraId="000003D7">
      <w:pPr>
        <w:numPr>
          <w:ilvl w:val="2"/>
          <w:numId w:val="25"/>
        </w:numPr>
        <w:spacing w:after="240" w:lineRule="auto"/>
        <w:ind w:left="720" w:hanging="720"/>
        <w:jc w:val="both"/>
        <w:rPr/>
      </w:pPr>
      <w:bookmarkStart w:name="_heading=h.t2nezj420kv8" w:colFirst="0" w:colLast="0" w:id="197"/>
      <w:bookmarkEnd w:id="197"/>
      <w:r w:rsidRPr="00000000" w:rsidDel="00000000" w:rsidR="00000000">
        <w:rPr>
          <w:rtl w:val="0"/>
        </w:rPr>
        <w:t xml:space="preserve">Binance Global leverages Elliptic to perform both live and automated post-transaction monitoring on cryptocurrency transactions. Elliptic has multiple tools that Binance leverages to make risk-based decisions on its transactional risk, including Elliptic Lens and Elliptic Navigator, which delivers risk-based intelligence to both Binance’s Internal Risk Engine and its Transaction Monitoring Team. </w:t>
      </w:r>
    </w:p>
    <w:p w:rsidRPr="00000000" w:rsidR="00000000" w:rsidDel="00000000" w:rsidP="00000000" w:rsidRDefault="00000000" w14:paraId="000003D8">
      <w:pPr>
        <w:numPr>
          <w:ilvl w:val="2"/>
          <w:numId w:val="25"/>
        </w:numPr>
        <w:spacing w:after="240" w:lineRule="auto"/>
        <w:ind w:left="720" w:hanging="720"/>
        <w:jc w:val="both"/>
        <w:rPr/>
      </w:pPr>
      <w:bookmarkStart w:name="_heading=h.23a1jzxlq237" w:colFirst="0" w:colLast="0" w:id="198"/>
      <w:bookmarkEnd w:id="198"/>
      <w:r w:rsidRPr="00000000" w:rsidDel="00000000" w:rsidR="00000000">
        <w:rPr>
          <w:rtl w:val="0"/>
        </w:rPr>
        <w:t xml:space="preserve">Upon an on-chain transaction being requested by a user, either a cryptocurrency deposit or withdrawal, the following flow is realized:</w:t>
      </w:r>
    </w:p>
    <w:p w:rsidRPr="00000000" w:rsidR="00000000" w:rsidDel="00000000" w:rsidP="00000000" w:rsidRDefault="00000000" w14:paraId="000003D9">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Transactional information, including but notwithstanding, transaction hash, input and output address, asset, and chain flow to the Inhouse Risk Engine (IHRE) to determine monitoring vendor;</w:t>
      </w:r>
    </w:p>
    <w:p w:rsidRPr="00000000" w:rsidR="00000000" w:rsidDel="00000000" w:rsidP="00000000" w:rsidRDefault="00000000" w14:paraId="000003DA">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Subsequently, the IHRE calls the Application Programming Interface (API) of the relevant screening vendor, Blocktracer;</w:t>
      </w:r>
    </w:p>
    <w:p w:rsidRPr="00000000" w:rsidR="00000000" w:rsidDel="00000000" w:rsidP="00000000" w:rsidRDefault="00000000" w14:paraId="000003DB">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The API Response with the associated risk intelligence flows back to the IHRE to determine the next steps, which may include asset freezes, account blocks, and alert triggering.</w:t>
      </w:r>
    </w:p>
    <w:p w:rsidRPr="00000000" w:rsidR="00000000" w:rsidDel="00000000" w:rsidP="00000000" w:rsidRDefault="00000000" w14:paraId="000003DC">
      <w:pPr>
        <w:numPr>
          <w:ilvl w:val="2"/>
          <w:numId w:val="25"/>
        </w:numPr>
        <w:spacing w:after="240" w:lineRule="auto"/>
        <w:ind w:left="720" w:hanging="720"/>
        <w:jc w:val="both"/>
        <w:rPr/>
      </w:pPr>
      <w:bookmarkStart w:name="_heading=h.latu8dcnfn1e" w:colFirst="0" w:colLast="0" w:id="199"/>
      <w:bookmarkEnd w:id="199"/>
      <w:r w:rsidRPr="00000000" w:rsidDel="00000000" w:rsidR="00000000">
        <w:rPr>
          <w:rtl w:val="0"/>
        </w:rPr>
        <w:t xml:space="preserve">In the event of no alert being triggered (using Blocktracer), a subsequent Application Programming Interface (API) call will be conducted to Ellipic, with the associated risk intelligence flows back to the IHRE to determine the next steps, which may include asset freezes, account blocks, and alert triggering. This approach allows Binance to always prioritize exposures to high risk in case of discrepancies between tools</w:t>
      </w:r>
      <w:r w:rsidRPr="00000000" w:rsidDel="00000000" w:rsidR="00000000">
        <w:rPr>
          <w:rtl w:val="0"/>
        </w:rPr>
        <w:t xml:space="preserve">.</w:t>
      </w:r>
    </w:p>
    <w:p w:rsidRPr="00000000" w:rsidR="00000000" w:rsidDel="00000000" w:rsidP="00000000" w:rsidRDefault="00000000" w14:paraId="000003DD">
      <w:pPr>
        <w:numPr>
          <w:ilvl w:val="2"/>
          <w:numId w:val="25"/>
        </w:numPr>
        <w:spacing w:after="240" w:lineRule="auto"/>
        <w:ind w:left="720" w:hanging="720"/>
        <w:jc w:val="both"/>
        <w:rPr/>
      </w:pPr>
      <w:bookmarkStart w:name="_heading=h.avxcqnsp9q3x" w:colFirst="0" w:colLast="0" w:id="200"/>
      <w:bookmarkEnd w:id="200"/>
      <w:r w:rsidRPr="00000000" w:rsidDel="00000000" w:rsidR="00000000">
        <w:rPr>
          <w:rtl w:val="0"/>
        </w:rPr>
        <w:t xml:space="preserve">Elliptic’s API Response includes various pieces of risk-based intelligence that Binance leverages to determine subsequent actions including alert triggering and escalation. The following information is delivered in Elliptic’s API Response:</w:t>
      </w:r>
    </w:p>
    <w:p w:rsidRPr="00000000" w:rsidR="00000000" w:rsidDel="00000000" w:rsidP="00000000" w:rsidRDefault="00000000" w14:paraId="000003DE">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Transactional Risk Score: Based on various indicators including attribution and risk;</w:t>
      </w:r>
    </w:p>
    <w:p w:rsidRPr="00000000" w:rsidR="00000000" w:rsidDel="00000000" w:rsidP="00000000" w:rsidRDefault="00000000" w14:paraId="000003DF">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Identification of Output Address (if applicable);</w:t>
      </w:r>
    </w:p>
    <w:p w:rsidRPr="00000000" w:rsidR="00000000" w:rsidDel="00000000" w:rsidP="00000000" w:rsidRDefault="00000000" w14:paraId="000003E0">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Indirect Exposure Identifications (if applicable);</w:t>
      </w:r>
    </w:p>
    <w:p w:rsidRPr="00000000" w:rsidR="00000000" w:rsidDel="00000000" w:rsidP="00000000" w:rsidRDefault="00000000" w14:paraId="000003E1">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Transactional Information, including address, transaction hash, blockchain, amounts, etc.</w:t>
      </w:r>
    </w:p>
    <w:p w:rsidRPr="00000000" w:rsidR="00000000" w:rsidDel="00000000" w:rsidP="00000000" w:rsidRDefault="00000000" w14:paraId="000003E2">
      <w:pPr>
        <w:pStyle w:val="Heading2"/>
        <w:numPr>
          <w:ilvl w:val="1"/>
          <w:numId w:val="25"/>
        </w:numPr>
        <w:spacing w:after="240" w:lineRule="auto"/>
        <w:ind w:left="720"/>
        <w:jc w:val="both"/>
        <w:rPr/>
      </w:pPr>
      <w:bookmarkStart w:name="_heading=h.doahsk2gbs8f" w:colFirst="0" w:colLast="0" w:id="201"/>
      <w:bookmarkEnd w:id="201"/>
      <w:r w:rsidRPr="00000000" w:rsidDel="00000000" w:rsidR="00000000">
        <w:rPr>
          <w:rFonts w:ascii="Arial" w:hAnsi="Arial" w:eastAsia="Arial" w:cs="Arial"/>
          <w:sz w:val="24"/>
          <w:szCs w:val="24"/>
          <w:rtl w:val="0"/>
        </w:rPr>
        <w:t xml:space="preserve">Case Prioritization and Assignment</w:t>
      </w:r>
    </w:p>
    <w:p w:rsidRPr="00000000" w:rsidR="00000000" w:rsidDel="00000000" w:rsidP="00000000" w:rsidRDefault="00000000" w14:paraId="000003E3">
      <w:pPr>
        <w:numPr>
          <w:ilvl w:val="2"/>
          <w:numId w:val="25"/>
        </w:numPr>
        <w:spacing w:after="240" w:lineRule="auto"/>
        <w:ind w:left="720" w:hanging="720"/>
        <w:jc w:val="both"/>
        <w:rPr/>
      </w:pPr>
      <w:bookmarkStart w:name="_heading=h.2whhaeh5ab47" w:colFirst="0" w:colLast="0" w:id="202"/>
      <w:bookmarkEnd w:id="202"/>
      <w:r w:rsidRPr="00000000" w:rsidDel="00000000" w:rsidR="00000000">
        <w:rPr>
          <w:rtl w:val="0"/>
        </w:rPr>
        <w:t xml:space="preserve">When new cases are generated within Binance’s Onchain Transaction Monitoring taskpool, they should be prioritized based on risk urgency. Team leads/Managers should monitor and track these cases to ensure they are assigned and completed within the stipulated SLA. Further details can be found in Binance Group’s </w:t>
      </w:r>
      <w:hyperlink r:id="rId30">
        <w:r w:rsidRPr="00000000" w:rsidDel="00000000" w:rsidR="00000000">
          <w:rPr>
            <w:color w:val="0000ee"/>
            <w:u w:val="single"/>
            <w:rtl w:val="0"/>
          </w:rPr>
          <w:t xml:space="preserve">Onchain Risk Rules</w:t>
        </w:r>
      </w:hyperlink>
      <w:r w:rsidRPr="00000000" w:rsidDel="00000000" w:rsidR="00000000">
        <w:rPr>
          <w:rtl w:val="0"/>
        </w:rPr>
        <w:t xml:space="preserve">.</w:t>
      </w:r>
    </w:p>
    <w:p w:rsidRPr="00000000" w:rsidR="00000000" w:rsidDel="00000000" w:rsidP="00000000" w:rsidRDefault="00000000" w14:paraId="000003E4">
      <w:pPr>
        <w:numPr>
          <w:ilvl w:val="2"/>
          <w:numId w:val="25"/>
        </w:numPr>
        <w:spacing w:after="240" w:lineRule="auto"/>
        <w:ind w:left="720" w:hanging="720"/>
        <w:jc w:val="both"/>
        <w:rPr/>
      </w:pPr>
      <w:bookmarkStart w:name="_heading=h.qoj2wll1ekt" w:colFirst="0" w:colLast="0" w:id="203"/>
      <w:bookmarkEnd w:id="203"/>
      <w:r w:rsidRPr="00000000" w:rsidDel="00000000" w:rsidR="00000000">
        <w:rPr>
          <w:rtl w:val="0"/>
        </w:rPr>
        <w:t xml:space="preserve">The table below sets out the alert type and the relevant SLA:</w:t>
      </w:r>
    </w:p>
    <w:tbl>
      <w:tblPr>
        <w:tblStyle w:val="Table21"/>
        <w:tblW w:w="8295.0" w:type="dxa"/>
        <w:jc w:val="left"/>
        <w:tblInd w:w="7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3780"/>
        <w:gridCol w:w="4515"/>
        <w:tblGridChange w:id="0">
          <w:tblGrid>
            <w:gridCol w:w="3780"/>
            <w:gridCol w:w="4515"/>
          </w:tblGrid>
        </w:tblGridChange>
      </w:tblGrid>
      <w:tr>
        <w:trPr>
          <w:cantSplit w:val="0"/>
          <w:trHeight w:val="440.92529296875" w:hRule="atLeast"/>
          <w:tblHeader w:val="0"/>
        </w:trPr>
        <w:tc>
          <w:tcPr>
            <w:shd w:val="clear" w:fill="f7cbac"/>
            <w:tcMar>
              <w:top w:w="43.2" w:type="dxa"/>
              <w:left w:w="43.2" w:type="dxa"/>
              <w:bottom w:w="43.2" w:type="dxa"/>
              <w:right w:w="43.2" w:type="dxa"/>
            </w:tcMar>
          </w:tcPr>
          <w:p w:rsidRPr="00000000" w:rsidR="00000000" w:rsidDel="00000000" w:rsidP="00000000" w:rsidRDefault="00000000" w14:paraId="000003E5">
            <w:pPr>
              <w:spacing w:line="276" w:lineRule="auto"/>
              <w:ind w:firstLine="180"/>
              <w:jc w:val="both"/>
              <w:rPr>
                <w:b w:val="1"/>
                <w:bCs w:val="1"/>
              </w:rPr>
            </w:pPr>
            <w:bookmarkStart w:name="_heading=h.ktt8fc2acuzw" w:colFirst="0" w:colLast="0" w:id="204"/>
            <w:bookmarkEnd w:id="204"/>
            <w:r w:rsidRPr="00000000" w:rsidDel="00000000" w:rsidR="00000000">
              <w:rPr>
                <w:b w:val="1"/>
                <w:bCs w:val="1"/>
                <w:rtl w:val="0"/>
              </w:rPr>
              <w:t xml:space="preserve">Alert Type</w:t>
            </w:r>
          </w:p>
        </w:tc>
        <w:tc>
          <w:tcPr>
            <w:shd w:val="clear" w:fill="f7cbac"/>
            <w:tcMar>
              <w:top w:w="43.2" w:type="dxa"/>
              <w:left w:w="43.2" w:type="dxa"/>
              <w:bottom w:w="43.2" w:type="dxa"/>
              <w:right w:w="43.2" w:type="dxa"/>
            </w:tcMar>
          </w:tcPr>
          <w:p w:rsidRPr="00000000" w:rsidR="00000000" w:rsidDel="00000000" w:rsidP="00000000" w:rsidRDefault="00000000" w14:paraId="000003E6">
            <w:pPr>
              <w:spacing w:line="276" w:lineRule="auto"/>
              <w:ind w:firstLine="270"/>
              <w:jc w:val="both"/>
              <w:rPr>
                <w:b w:val="1"/>
                <w:bCs w:val="1"/>
              </w:rPr>
            </w:pPr>
            <w:bookmarkStart w:name="_heading=h.3amwl5c2ikyc" w:colFirst="0" w:colLast="0" w:id="205"/>
            <w:bookmarkEnd w:id="205"/>
            <w:r w:rsidRPr="00000000" w:rsidDel="00000000" w:rsidR="00000000">
              <w:rPr>
                <w:b w:val="1"/>
                <w:bCs w:val="1"/>
                <w:rtl w:val="0"/>
              </w:rPr>
              <w:t xml:space="preserve">Service Level Agreement (SLA)</w:t>
            </w:r>
          </w:p>
        </w:tc>
      </w:tr>
      <w:tr>
        <w:trPr>
          <w:cantSplit w:val="0"/>
          <w:tblHeader w:val="0"/>
        </w:trPr>
        <w:tc>
          <w:tcPr>
            <w:tcMar>
              <w:top w:w="43.2" w:type="dxa"/>
              <w:left w:w="43.2" w:type="dxa"/>
              <w:bottom w:w="43.2" w:type="dxa"/>
              <w:right w:w="43.2" w:type="dxa"/>
            </w:tcMar>
          </w:tcPr>
          <w:p w:rsidRPr="00000000" w:rsidR="00000000" w:rsidDel="00000000" w:rsidP="00000000" w:rsidRDefault="00000000" w14:paraId="000003E7">
            <w:pPr>
              <w:keepNext w:val="0"/>
              <w:keepLines w:val="0"/>
              <w:pageBreakBefore w:val="0"/>
              <w:widowControl w:val="1"/>
              <w:numPr>
                <w:ilvl w:val="0"/>
                <w:numId w:val="16"/>
              </w:numPr>
              <w:pBdr>
                <w:top w:val="nil" w:sz="0" w:space="0"/>
                <w:left w:val="nil" w:sz="0" w:space="0"/>
                <w:bottom w:val="nil" w:sz="0" w:space="0"/>
                <w:right w:val="nil" w:sz="0" w:space="0"/>
                <w:between w:val="nil" w:sz="0" w:space="0"/>
              </w:pBdr>
              <w:shd w:val="clear" w:fill="auto"/>
              <w:spacing w:before="0" w:after="0" w:line="276" w:lineRule="auto"/>
              <w:ind w:left="450" w:right="0" w:hanging="270"/>
              <w:jc w:val="both"/>
              <w:rPr>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Live</w:t>
            </w:r>
          </w:p>
        </w:tc>
        <w:tc>
          <w:tcPr>
            <w:tcMar>
              <w:top w:w="43.2" w:type="dxa"/>
              <w:left w:w="43.2" w:type="dxa"/>
              <w:bottom w:w="43.2" w:type="dxa"/>
              <w:right w:w="43.2" w:type="dxa"/>
            </w:tcMar>
          </w:tcPr>
          <w:p w:rsidRPr="00000000" w:rsidR="00000000" w:rsidDel="00000000" w:rsidP="00000000" w:rsidRDefault="00000000" w14:paraId="000003E8">
            <w:pPr>
              <w:widowControl w:val="0"/>
              <w:spacing w:line="276" w:lineRule="auto"/>
              <w:ind w:firstLine="270"/>
              <w:jc w:val="both"/>
              <w:rPr/>
            </w:pPr>
            <w:r w:rsidRPr="00000000" w:rsidDel="00000000" w:rsidR="00000000">
              <w:rPr>
                <w:rtl w:val="0"/>
              </w:rPr>
              <w:t xml:space="preserve">24 hours</w:t>
            </w:r>
          </w:p>
        </w:tc>
      </w:tr>
      <w:tr>
        <w:trPr>
          <w:cantSplit w:val="0"/>
          <w:tblHeader w:val="0"/>
        </w:trPr>
        <w:tc>
          <w:tcPr>
            <w:tcMar>
              <w:top w:w="43.2" w:type="dxa"/>
              <w:left w:w="43.2" w:type="dxa"/>
              <w:bottom w:w="43.2" w:type="dxa"/>
              <w:right w:w="43.2" w:type="dxa"/>
            </w:tcMar>
          </w:tcPr>
          <w:p w:rsidRPr="00000000" w:rsidR="00000000" w:rsidDel="00000000" w:rsidP="00000000" w:rsidRDefault="00000000" w14:paraId="000003E9">
            <w:pPr>
              <w:keepNext w:val="0"/>
              <w:keepLines w:val="0"/>
              <w:pageBreakBefore w:val="0"/>
              <w:widowControl w:val="1"/>
              <w:numPr>
                <w:ilvl w:val="0"/>
                <w:numId w:val="16"/>
              </w:numPr>
              <w:pBdr>
                <w:top w:val="nil" w:sz="0" w:space="0"/>
                <w:left w:val="nil" w:sz="0" w:space="0"/>
                <w:bottom w:val="nil" w:sz="0" w:space="0"/>
                <w:right w:val="nil" w:sz="0" w:space="0"/>
                <w:between w:val="nil" w:sz="0" w:space="0"/>
              </w:pBdr>
              <w:shd w:val="clear" w:fill="auto"/>
              <w:spacing w:before="0" w:after="0" w:line="276" w:lineRule="auto"/>
              <w:ind w:left="450" w:right="0" w:hanging="270"/>
              <w:jc w:val="both"/>
              <w:rPr>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Post</w:t>
            </w:r>
          </w:p>
        </w:tc>
        <w:tc>
          <w:tcPr>
            <w:tcMar>
              <w:top w:w="43.2" w:type="dxa"/>
              <w:left w:w="43.2" w:type="dxa"/>
              <w:bottom w:w="43.2" w:type="dxa"/>
              <w:right w:w="43.2" w:type="dxa"/>
            </w:tcMar>
          </w:tcPr>
          <w:p w:rsidRPr="00000000" w:rsidR="00000000" w:rsidDel="00000000" w:rsidP="00000000" w:rsidRDefault="00000000" w14:paraId="000003EA">
            <w:pPr>
              <w:widowControl w:val="0"/>
              <w:spacing w:line="276" w:lineRule="auto"/>
              <w:ind w:firstLine="270"/>
              <w:jc w:val="both"/>
              <w:rPr/>
            </w:pPr>
            <w:r w:rsidRPr="00000000" w:rsidDel="00000000" w:rsidR="00000000">
              <w:rPr>
                <w:rtl w:val="0"/>
              </w:rPr>
              <w:t xml:space="preserve">30 days</w:t>
            </w:r>
          </w:p>
        </w:tc>
      </w:tr>
    </w:tbl>
    <w:p w:rsidRPr="00000000" w:rsidR="00000000" w:rsidDel="00000000" w:rsidP="00000000" w:rsidRDefault="00000000" w14:paraId="000003EB">
      <w:pPr>
        <w:numPr>
          <w:ilvl w:val="2"/>
          <w:numId w:val="25"/>
        </w:numPr>
        <w:spacing w:before="200" w:after="240" w:lineRule="auto"/>
        <w:ind w:left="720" w:hanging="720"/>
        <w:jc w:val="both"/>
        <w:rPr/>
      </w:pPr>
      <w:bookmarkStart w:name="_heading=h.iy2h8ncoopj8" w:colFirst="0" w:colLast="0" w:id="206"/>
      <w:bookmarkEnd w:id="206"/>
      <w:r w:rsidRPr="00000000" w:rsidDel="00000000" w:rsidR="00000000">
        <w:rPr>
          <w:rtl w:val="0"/>
        </w:rPr>
        <w:t xml:space="preserve">Alerted information is stored indefinitely within Binance Global’s Amazon Web Service (AWS) cloud servers on the IHRE.</w:t>
      </w:r>
    </w:p>
    <w:p w:rsidRPr="00000000" w:rsidR="00000000" w:rsidDel="00000000" w:rsidP="00000000" w:rsidRDefault="00000000" w14:paraId="000003EC">
      <w:pPr>
        <w:pStyle w:val="Heading2"/>
        <w:numPr>
          <w:ilvl w:val="1"/>
          <w:numId w:val="25"/>
        </w:numPr>
        <w:spacing w:after="240" w:lineRule="auto"/>
        <w:ind w:left="720"/>
        <w:jc w:val="both"/>
        <w:rPr/>
      </w:pPr>
      <w:bookmarkStart w:name="_heading=h.4gr112idyo9c" w:colFirst="0" w:colLast="0" w:id="207"/>
      <w:bookmarkEnd w:id="207"/>
      <w:r w:rsidRPr="00000000" w:rsidDel="00000000" w:rsidR="00000000">
        <w:rPr>
          <w:rFonts w:ascii="Arial" w:hAnsi="Arial" w:eastAsia="Arial" w:cs="Arial"/>
          <w:sz w:val="24"/>
          <w:szCs w:val="24"/>
          <w:rtl w:val="0"/>
        </w:rPr>
        <w:t xml:space="preserve">Onchain Transaction Rejection and Asset Freezes</w:t>
      </w:r>
    </w:p>
    <w:p w:rsidRPr="00000000" w:rsidR="00000000" w:rsidDel="00000000" w:rsidP="00000000" w:rsidRDefault="00000000" w14:paraId="000003ED">
      <w:pPr>
        <w:numPr>
          <w:ilvl w:val="2"/>
          <w:numId w:val="25"/>
        </w:numPr>
        <w:spacing w:after="0" w:lineRule="auto"/>
        <w:ind w:left="720" w:hanging="720"/>
        <w:jc w:val="both"/>
        <w:rPr/>
      </w:pPr>
      <w:bookmarkStart w:name="_heading=h.fd333g1cqkx2" w:colFirst="0" w:colLast="0" w:id="208"/>
      <w:bookmarkEnd w:id="208"/>
      <w:r w:rsidRPr="00000000" w:rsidDel="00000000" w:rsidR="00000000">
        <w:rPr>
          <w:rtl w:val="0"/>
        </w:rPr>
        <w:t xml:space="preserve">As per the requirements set out under Binance Group’s Global Sanctions Policy and Global Sanctions Operating Procedure, any direct activity involving an Sensitive Sanctioned Country (“SSC”) or Listed Party that is prohibited under the Global Sanctions Policy, where proceeds or income are processed through Binance accounts, products or services are prohibited. Upon the direct identification of an SSC or Listed Party Nexus, the relevant funds, transactions, and accounts will be immediately frozen by Onchain Transaction Monitoring, as detailed within its Sanctions Ruleset:</w:t>
      </w:r>
      <w:hyperlink r:id="rId31">
        <w:r w:rsidRPr="00000000" w:rsidDel="00000000" w:rsidR="00000000">
          <w:rPr>
            <w:rtl w:val="0"/>
          </w:rPr>
          <w:t xml:space="preserve"> </w:t>
        </w:r>
      </w:hyperlink>
      <w:hyperlink r:id="rId32">
        <w:r w:rsidRPr="00000000" w:rsidDel="00000000" w:rsidR="00000000">
          <w:rPr>
            <w:color w:val="1155cc"/>
            <w:u w:val="single"/>
            <w:rtl w:val="0"/>
          </w:rPr>
          <w:t xml:space="preserve">Onchain rules - Risk rule</w:t>
        </w:r>
      </w:hyperlink>
      <w:r w:rsidRPr="00000000" w:rsidDel="00000000" w:rsidR="00000000">
        <w:rPr>
          <w:rtl w:val="0"/>
        </w:rPr>
        <w:t xml:space="preserve">.</w:t>
      </w:r>
    </w:p>
    <w:p w:rsidRPr="00000000" w:rsidR="00000000" w:rsidDel="00000000" w:rsidP="00000000" w:rsidRDefault="00000000" w14:paraId="000003EE">
      <w:pPr>
        <w:numPr>
          <w:ilvl w:val="2"/>
          <w:numId w:val="25"/>
        </w:numPr>
        <w:spacing w:after="0" w:lineRule="auto"/>
        <w:ind w:left="720" w:hanging="720"/>
        <w:jc w:val="both"/>
        <w:rPr/>
      </w:pPr>
      <w:bookmarkStart w:name="_heading=h.qpgwfehjnmd2" w:colFirst="0" w:colLast="0" w:id="209"/>
      <w:bookmarkEnd w:id="209"/>
      <w:r w:rsidRPr="00000000" w:rsidDel="00000000" w:rsidR="00000000">
        <w:rPr>
          <w:rtl w:val="0"/>
        </w:rPr>
        <w:t xml:space="preserve">Given the transparency of onchain transactions, it is vital that Binance Onchain Transaction Monitoring identify and mitigate indirect sanctions risks. As a result, Binance Global also monitors for indirect Sanctions risks onchain, rejecting transactions and freezing relevant funds, transactions, and accounts where a direct SSC or Listed Party Nexus has been identified. These are detailed within Sanctions Ruleset:</w:t>
      </w:r>
      <w:hyperlink r:id="rId33">
        <w:r w:rsidRPr="00000000" w:rsidDel="00000000" w:rsidR="00000000">
          <w:rPr>
            <w:rtl w:val="0"/>
          </w:rPr>
          <w:t xml:space="preserve"> </w:t>
        </w:r>
      </w:hyperlink>
      <w:hyperlink r:id="rId34">
        <w:r w:rsidRPr="00000000" w:rsidDel="00000000" w:rsidR="00000000">
          <w:rPr>
            <w:color w:val="1155cc"/>
            <w:u w:val="single"/>
            <w:rtl w:val="0"/>
          </w:rPr>
          <w:t xml:space="preserve">Onchain rules - Risk rule</w:t>
        </w:r>
      </w:hyperlink>
      <w:r w:rsidRPr="00000000" w:rsidDel="00000000" w:rsidR="00000000">
        <w:rPr>
          <w:rtl w:val="0"/>
        </w:rPr>
        <w:t xml:space="preserve">.</w:t>
      </w:r>
    </w:p>
    <w:p w:rsidRPr="00000000" w:rsidR="00000000" w:rsidDel="00000000" w:rsidP="00000000" w:rsidRDefault="00000000" w14:paraId="000003EF">
      <w:pPr>
        <w:spacing w:after="0" w:lineRule="auto"/>
        <w:jc w:val="both"/>
        <w:rPr/>
      </w:pPr>
      <w:r w:rsidRPr="00000000" w:rsidDel="00000000" w:rsidR="00000000">
        <w:rPr>
          <w:rtl w:val="0"/>
        </w:rPr>
        <w:t xml:space="preserve"> </w:t>
      </w:r>
    </w:p>
    <w:p w:rsidRPr="00000000" w:rsidR="00000000" w:rsidDel="00000000" w:rsidP="00000000" w:rsidRDefault="00000000" w14:paraId="000003F0">
      <w:pPr>
        <w:numPr>
          <w:ilvl w:val="2"/>
          <w:numId w:val="25"/>
        </w:numPr>
        <w:spacing w:after="240" w:lineRule="auto"/>
        <w:ind w:left="720" w:hanging="720"/>
        <w:jc w:val="both"/>
        <w:rPr/>
      </w:pPr>
      <w:bookmarkStart w:name="_heading=h.31uwef65zj8d" w:colFirst="0" w:colLast="0" w:id="210"/>
      <w:bookmarkEnd w:id="210"/>
      <w:r w:rsidRPr="00000000" w:rsidDel="00000000" w:rsidR="00000000">
        <w:rPr>
          <w:rtl w:val="0"/>
        </w:rPr>
        <w:t xml:space="preserve">As is the case with onchain transactions, Elliptic Automatic Rescreening may introduce the identification of an SSC or Listed Party Nexus with a transaction. Consistent with the Global Sanctions Policy and Global Sanctions Operating Procedures, the relevant funds, transactions, and accounts will be immediately frozen by Onchain Transaction Monitoring.</w:t>
      </w:r>
    </w:p>
    <w:p w:rsidRPr="00000000" w:rsidR="00000000" w:rsidDel="00000000" w:rsidP="00000000" w:rsidRDefault="00000000" w14:paraId="000003F1">
      <w:pPr>
        <w:spacing w:after="240" w:lineRule="auto"/>
        <w:jc w:val="both"/>
        <w:rPr/>
      </w:pPr>
      <w:bookmarkStart w:name="_heading=h.izn6szkooyke" w:colFirst="0" w:colLast="0" w:id="211"/>
      <w:bookmarkEnd w:id="211"/>
      <w:r w:rsidRPr="00000000" w:rsidDel="00000000" w:rsidR="00000000">
        <w:rPr>
          <w:rtl w:val="0"/>
        </w:rPr>
        <w:t xml:space="preserve">* </w:t>
      </w:r>
      <w:r w:rsidRPr="00000000" w:rsidDel="00000000" w:rsidR="00000000">
        <w:rPr>
          <w:rtl w:val="0"/>
        </w:rPr>
        <w:t xml:space="preserve">Regarding the treatment of frozen funds, in instances when a user is not offboarded, frozen funds are released to the user once the review has been completed. If further investigation by L2 is warranted, the L2  Analyst will place a manual account withdrawal restriction on the user’s account.</w:t>
      </w:r>
      <w:r w:rsidRPr="00000000" w:rsidDel="00000000" w:rsidR="00000000">
        <w:rPr>
          <w:rtl w:val="0"/>
        </w:rPr>
      </w:r>
    </w:p>
    <w:p w:rsidRPr="00000000" w:rsidR="00000000" w:rsidDel="00000000" w:rsidP="00000000" w:rsidRDefault="00000000" w14:paraId="000003F2">
      <w:pPr>
        <w:pStyle w:val="Heading2"/>
        <w:numPr>
          <w:ilvl w:val="1"/>
          <w:numId w:val="25"/>
        </w:numPr>
        <w:spacing w:after="240" w:lineRule="auto"/>
        <w:ind w:left="720"/>
        <w:jc w:val="both"/>
        <w:rPr/>
      </w:pPr>
      <w:bookmarkStart w:name="_heading=h.8m3dm5mc35bd" w:colFirst="0" w:colLast="0" w:id="212"/>
      <w:bookmarkEnd w:id="212"/>
      <w:r w:rsidRPr="00000000" w:rsidDel="00000000" w:rsidR="00000000">
        <w:rPr>
          <w:rFonts w:ascii="Arial" w:hAnsi="Arial" w:eastAsia="Arial" w:cs="Arial"/>
          <w:sz w:val="24"/>
          <w:szCs w:val="24"/>
          <w:rtl w:val="0"/>
        </w:rPr>
        <w:t xml:space="preserve">Risk Assessment</w:t>
      </w:r>
    </w:p>
    <w:p w:rsidRPr="00000000" w:rsidR="00000000" w:rsidDel="00000000" w:rsidP="00000000" w:rsidRDefault="00000000" w14:paraId="000003F3">
      <w:pPr>
        <w:numPr>
          <w:ilvl w:val="2"/>
          <w:numId w:val="25"/>
        </w:numPr>
        <w:spacing w:after="240" w:lineRule="auto"/>
        <w:ind w:left="720" w:hanging="720"/>
        <w:jc w:val="both"/>
        <w:rPr/>
      </w:pPr>
      <w:bookmarkStart w:name="_heading=h.fzze6q39o323" w:colFirst="0" w:colLast="0" w:id="213"/>
      <w:bookmarkEnd w:id="213"/>
      <w:r w:rsidRPr="00000000" w:rsidDel="00000000" w:rsidR="00000000">
        <w:rPr>
          <w:rtl w:val="0"/>
        </w:rPr>
        <w:t xml:space="preserve">The objective of our risk assessment is to systematically identify and evaluate the potential risks associated with transactions on our platform. By doing so, Binance aims to apply appropriate controls, prioritize resources, and ensure both the security of our users' assets and the integrity of our platform. These risk identifications may apply throughout any functions evaluating on-chain alerts.</w:t>
      </w:r>
    </w:p>
    <w:p w:rsidRPr="00000000" w:rsidR="00000000" w:rsidDel="00000000" w:rsidP="00000000" w:rsidRDefault="00000000" w14:paraId="000003F4">
      <w:pPr>
        <w:numPr>
          <w:ilvl w:val="2"/>
          <w:numId w:val="25"/>
        </w:numPr>
        <w:spacing w:after="240" w:lineRule="auto"/>
        <w:ind w:left="720" w:hanging="720"/>
        <w:jc w:val="both"/>
        <w:rPr/>
      </w:pPr>
      <w:bookmarkStart w:name="_heading=h.1oknija4apd4" w:colFirst="0" w:colLast="0" w:id="214"/>
      <w:bookmarkEnd w:id="214"/>
      <w:r w:rsidRPr="00000000" w:rsidDel="00000000" w:rsidR="00000000">
        <w:rPr>
          <w:rtl w:val="0"/>
        </w:rPr>
        <w:t xml:space="preserve">It should be noted that the below analysis is particularly effective in determining the risk of indirect exposure, classified as a Screening Alert where the source of the risk and Binance are indirectly related, where intermediary addresses sit between the alerted transaction and Binance. These alerts, based on onchain analysis and various factors, often pose the highest risk of false positives.</w:t>
      </w:r>
    </w:p>
    <w:p w:rsidRPr="00000000" w:rsidR="00000000" w:rsidDel="00000000" w:rsidP="00000000" w:rsidRDefault="00000000" w14:paraId="000003F5">
      <w:pPr>
        <w:numPr>
          <w:ilvl w:val="2"/>
          <w:numId w:val="25"/>
        </w:numPr>
        <w:spacing w:after="240" w:lineRule="auto"/>
        <w:ind w:left="720" w:hanging="720"/>
        <w:jc w:val="both"/>
        <w:rPr/>
      </w:pPr>
      <w:bookmarkStart w:name="_heading=h.e8al626n1p24" w:colFirst="0" w:colLast="0" w:id="215"/>
      <w:bookmarkEnd w:id="215"/>
      <w:r w:rsidRPr="00000000" w:rsidDel="00000000" w:rsidR="00000000">
        <w:rPr>
          <w:rtl w:val="0"/>
        </w:rPr>
        <w:t xml:space="preserve">Every transaction is subjected to a risk identification process that evaluates various parameters to determine potential red flags.</w:t>
      </w:r>
    </w:p>
    <w:p w:rsidRPr="00000000" w:rsidR="00000000" w:rsidDel="00000000" w:rsidP="00000000" w:rsidRDefault="00000000" w14:paraId="000003F6">
      <w:pPr>
        <w:pStyle w:val="Heading2"/>
        <w:numPr>
          <w:ilvl w:val="1"/>
          <w:numId w:val="25"/>
        </w:numPr>
        <w:spacing w:after="240" w:lineRule="auto"/>
        <w:ind w:left="720"/>
        <w:jc w:val="both"/>
        <w:rPr/>
      </w:pPr>
      <w:bookmarkStart w:name="_heading=h.twa6zxn7ec0l" w:colFirst="0" w:colLast="0" w:id="216"/>
      <w:bookmarkEnd w:id="216"/>
      <w:r w:rsidRPr="00000000" w:rsidDel="00000000" w:rsidR="00000000">
        <w:rPr>
          <w:rFonts w:ascii="Arial" w:hAnsi="Arial" w:eastAsia="Arial" w:cs="Arial"/>
          <w:sz w:val="24"/>
          <w:szCs w:val="24"/>
          <w:rtl w:val="0"/>
        </w:rPr>
        <w:t xml:space="preserve">Transaction Screening Workflow</w:t>
      </w:r>
    </w:p>
    <w:p w:rsidRPr="00000000" w:rsidR="00000000" w:rsidDel="00000000" w:rsidP="00000000" w:rsidRDefault="00000000" w14:paraId="000003F7">
      <w:pPr>
        <w:numPr>
          <w:ilvl w:val="2"/>
          <w:numId w:val="25"/>
        </w:numPr>
        <w:spacing w:after="240" w:lineRule="auto"/>
        <w:ind w:left="720"/>
        <w:jc w:val="both"/>
        <w:rPr/>
      </w:pPr>
      <w:bookmarkStart w:name="_heading=h.z51jm2k84ph8" w:colFirst="0" w:colLast="0" w:id="217"/>
      <w:bookmarkEnd w:id="217"/>
      <w:r w:rsidRPr="00000000" w:rsidDel="00000000" w:rsidR="00000000">
        <w:rPr>
          <w:rtl w:val="0"/>
        </w:rPr>
        <w:t xml:space="preserve">The current transaction screening workflow involves multiple steps to ensure compliance criteria are met and maintained to a high standard in compliance. For a detailed breakdown of the Transaction Monitoring Screening Workflow, please refer to the Transaction Monitoring (On-chain) Step-by-step Guide. The points outlined below provide a high-level summary of the transaction monitoring workflow for reference.</w:t>
      </w:r>
    </w:p>
    <w:tbl>
      <w:tblPr>
        <w:tblStyle w:val="Table22"/>
        <w:tblW w:w="9015.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30"/>
        <w:gridCol w:w="6585"/>
        <w:tblGridChange w:id="0">
          <w:tblGrid>
            <w:gridCol w:w="2430"/>
            <w:gridCol w:w="6585"/>
          </w:tblGrid>
        </w:tblGridChange>
      </w:tblGrid>
      <w:tr>
        <w:trPr>
          <w:cantSplit w:val="0"/>
          <w:trHeight w:val="610.95703125" w:hRule="atLeast"/>
          <w:tblHeader w:val="0"/>
        </w:trPr>
        <w:tc>
          <w:tcPr>
            <w:shd w:val="clear" w:fill="f7cbac"/>
          </w:tcPr>
          <w:p w:rsidRPr="00000000" w:rsidR="00000000" w:rsidDel="00000000" w:rsidP="00000000" w:rsidRDefault="00000000" w14:paraId="000003F8">
            <w:pPr>
              <w:jc w:val="both"/>
              <w:rPr>
                <w:b w:val="1"/>
                <w:bCs w:val="1"/>
              </w:rPr>
            </w:pPr>
            <w:r w:rsidRPr="00000000" w:rsidDel="00000000" w:rsidR="00000000">
              <w:rPr>
                <w:b w:val="1"/>
                <w:bCs w:val="1"/>
                <w:rtl w:val="0"/>
              </w:rPr>
              <w:t xml:space="preserve">Transaction Screening Workflow</w:t>
            </w:r>
          </w:p>
        </w:tc>
        <w:tc>
          <w:tcPr>
            <w:shd w:val="clear" w:fill="f7cbac"/>
          </w:tcPr>
          <w:p w:rsidRPr="00000000" w:rsidR="00000000" w:rsidDel="00000000" w:rsidP="00000000" w:rsidRDefault="00000000" w14:paraId="000003F9">
            <w:pPr>
              <w:jc w:val="both"/>
              <w:rPr>
                <w:b w:val="1"/>
                <w:bCs w:val="1"/>
              </w:rPr>
            </w:pPr>
            <w:r w:rsidRPr="00000000" w:rsidDel="00000000" w:rsidR="00000000">
              <w:rPr>
                <w:b w:val="1"/>
                <w:bCs w:val="1"/>
                <w:rtl w:val="0"/>
              </w:rPr>
              <w:t xml:space="preserve">Description </w:t>
            </w:r>
          </w:p>
        </w:tc>
      </w:tr>
      <w:tr>
        <w:trPr>
          <w:cantSplit w:val="0"/>
          <w:tblHeader w:val="0"/>
        </w:trPr>
        <w:tc>
          <w:tcPr/>
          <w:p w:rsidRPr="00000000" w:rsidR="00000000" w:rsidDel="00000000" w:rsidP="00000000" w:rsidRDefault="00000000" w14:paraId="000003FA">
            <w:pPr>
              <w:rPr/>
            </w:pPr>
            <w:r w:rsidRPr="00000000" w:rsidDel="00000000" w:rsidR="00000000">
              <w:rPr>
                <w:rtl w:val="0"/>
              </w:rPr>
              <w:t xml:space="preserve">Alert Triggering and Case Management</w:t>
            </w:r>
          </w:p>
        </w:tc>
        <w:tc>
          <w:tcPr/>
          <w:p w:rsidRPr="00000000" w:rsidR="00000000" w:rsidDel="00000000" w:rsidP="00000000" w:rsidRDefault="00000000" w14:paraId="000003FB">
            <w:pPr>
              <w:numPr>
                <w:ilvl w:val="0"/>
                <w:numId w:val="17"/>
              </w:numPr>
              <w:spacing w:line="276" w:lineRule="auto"/>
              <w:ind w:left="360"/>
              <w:jc w:val="both"/>
              <w:rPr>
                <w:rFonts w:ascii="Arial" w:hAnsi="Arial" w:eastAsia="Arial" w:cs="Arial"/>
              </w:rPr>
            </w:pPr>
            <w:r w:rsidRPr="00000000" w:rsidDel="00000000" w:rsidR="00000000">
              <w:rPr>
                <w:u w:val="single"/>
                <w:rtl w:val="0"/>
              </w:rPr>
              <w:t xml:space="preserve">Utilize Monitoring Tools</w:t>
            </w:r>
            <w:r w:rsidRPr="00000000" w:rsidDel="00000000" w:rsidR="00000000">
              <w:rPr>
                <w:rtl w:val="0"/>
              </w:rPr>
              <w:t xml:space="preserve">: Begin by using the Elliptic Onchain and Big Data Blocktracer tools to monitor transactions for potential transaction risks.</w:t>
            </w:r>
          </w:p>
          <w:p w:rsidRPr="00000000" w:rsidR="00000000" w:rsidDel="00000000" w:rsidP="00000000" w:rsidRDefault="00000000" w14:paraId="000003FC">
            <w:pPr>
              <w:numPr>
                <w:ilvl w:val="0"/>
                <w:numId w:val="17"/>
              </w:numPr>
              <w:spacing w:line="276" w:lineRule="auto"/>
              <w:ind w:left="360"/>
              <w:jc w:val="both"/>
              <w:rPr>
                <w:rFonts w:ascii="Arial" w:hAnsi="Arial" w:eastAsia="Arial" w:cs="Arial"/>
              </w:rPr>
            </w:pPr>
            <w:r w:rsidRPr="00000000" w:rsidDel="00000000" w:rsidR="00000000">
              <w:rPr>
                <w:u w:val="single"/>
                <w:rtl w:val="0"/>
              </w:rPr>
              <w:t xml:space="preserve">Conduct Screening</w:t>
            </w:r>
            <w:r w:rsidRPr="00000000" w:rsidDel="00000000" w:rsidR="00000000">
              <w:rPr>
                <w:rtl w:val="0"/>
              </w:rPr>
              <w:t xml:space="preserve">: </w:t>
            </w:r>
            <w:r w:rsidRPr="00000000" w:rsidDel="00000000" w:rsidR="00000000">
              <w:rPr>
                <w:rtl w:val="0"/>
              </w:rPr>
              <w:t xml:space="preserve">Based on the tool used for triggering alerts (Elliptic, Blocktracer), the analyst will screen user’s transactions through that tool to identify any suspicious activities that may signal high-risk transactions across various risk categories. Analysts can also use other tools to cross-check in case of a doubt regarding screening result </w:t>
            </w:r>
            <w:r w:rsidRPr="00000000" w:rsidDel="00000000" w:rsidR="00000000">
              <w:rPr>
                <w:rtl w:val="0"/>
              </w:rPr>
            </w:r>
          </w:p>
          <w:p w:rsidRPr="00000000" w:rsidR="00000000" w:rsidDel="00000000" w:rsidP="00000000" w:rsidRDefault="00000000" w14:paraId="000003FD">
            <w:pPr>
              <w:numPr>
                <w:ilvl w:val="0"/>
                <w:numId w:val="17"/>
              </w:numPr>
              <w:spacing w:line="276" w:lineRule="auto"/>
              <w:ind w:left="360"/>
              <w:jc w:val="both"/>
              <w:rPr>
                <w:rFonts w:ascii="Arial" w:hAnsi="Arial" w:eastAsia="Arial" w:cs="Arial"/>
              </w:rPr>
            </w:pPr>
            <w:r w:rsidRPr="00000000" w:rsidDel="00000000" w:rsidR="00000000">
              <w:rPr>
                <w:u w:val="single"/>
                <w:rtl w:val="0"/>
              </w:rPr>
              <w:t xml:space="preserve">Apply Risk Parameters</w:t>
            </w:r>
            <w:r w:rsidRPr="00000000" w:rsidDel="00000000" w:rsidR="00000000">
              <w:rPr>
                <w:rtl w:val="0"/>
              </w:rPr>
              <w:t xml:space="preserve">: Generate alerts based on predefined risk indicators and thresholds that align with compliance and regulatory standards.</w:t>
            </w:r>
          </w:p>
          <w:p w:rsidRPr="00000000" w:rsidR="00000000" w:rsidDel="00000000" w:rsidP="00000000" w:rsidRDefault="00000000" w14:paraId="000003FE">
            <w:pPr>
              <w:numPr>
                <w:ilvl w:val="0"/>
                <w:numId w:val="17"/>
              </w:numPr>
              <w:spacing w:line="276" w:lineRule="auto"/>
              <w:ind w:left="360"/>
              <w:jc w:val="both"/>
              <w:rPr>
                <w:rFonts w:ascii="Arial" w:hAnsi="Arial" w:eastAsia="Arial" w:cs="Arial"/>
              </w:rPr>
            </w:pPr>
            <w:r w:rsidRPr="00000000" w:rsidDel="00000000" w:rsidR="00000000">
              <w:rPr>
                <w:u w:val="single"/>
                <w:rtl w:val="0"/>
              </w:rPr>
              <w:t xml:space="preserve">Alert Generation</w:t>
            </w:r>
            <w:r w:rsidRPr="00000000" w:rsidDel="00000000" w:rsidR="00000000">
              <w:rPr>
                <w:rtl w:val="0"/>
              </w:rPr>
              <w:t xml:space="preserve">: Once a high-risk transaction is detected, generate and store the alert for further processing.</w:t>
            </w:r>
          </w:p>
          <w:p w:rsidRPr="00000000" w:rsidR="00000000" w:rsidDel="00000000" w:rsidP="00000000" w:rsidRDefault="00000000" w14:paraId="000003FF">
            <w:pPr>
              <w:numPr>
                <w:ilvl w:val="0"/>
                <w:numId w:val="17"/>
              </w:numPr>
              <w:spacing w:line="276" w:lineRule="auto"/>
              <w:ind w:left="360"/>
              <w:jc w:val="both"/>
              <w:rPr>
                <w:rFonts w:ascii="Arial" w:hAnsi="Arial" w:eastAsia="Arial" w:cs="Arial"/>
              </w:rPr>
            </w:pPr>
            <w:r w:rsidRPr="00000000" w:rsidDel="00000000" w:rsidR="00000000">
              <w:rPr>
                <w:u w:val="single"/>
                <w:rtl w:val="0"/>
              </w:rPr>
              <w:t xml:space="preserve">Automatic Forwarding</w:t>
            </w:r>
            <w:r w:rsidRPr="00000000" w:rsidDel="00000000" w:rsidR="00000000">
              <w:rPr>
                <w:rtl w:val="0"/>
              </w:rPr>
              <w:t xml:space="preserve">: Automatically forward generated alerts and create a case in the internal case management system in the Binance admin backend.</w:t>
            </w:r>
          </w:p>
          <w:p w:rsidRPr="00000000" w:rsidR="00000000" w:rsidDel="00000000" w:rsidP="00000000" w:rsidRDefault="00000000" w14:paraId="00000400">
            <w:pPr>
              <w:numPr>
                <w:ilvl w:val="0"/>
                <w:numId w:val="17"/>
              </w:numPr>
              <w:spacing w:line="276" w:lineRule="auto"/>
              <w:ind w:left="360"/>
              <w:jc w:val="both"/>
              <w:rPr>
                <w:rFonts w:ascii="Arial" w:hAnsi="Arial" w:eastAsia="Arial" w:cs="Arial"/>
              </w:rPr>
            </w:pPr>
            <w:r w:rsidRPr="00000000" w:rsidDel="00000000" w:rsidR="00000000">
              <w:rPr>
                <w:u w:val="single"/>
                <w:rtl w:val="0"/>
              </w:rPr>
              <w:t xml:space="preserve">Case Aggregation</w:t>
            </w:r>
            <w:r w:rsidRPr="00000000" w:rsidDel="00000000" w:rsidR="00000000">
              <w:rPr>
                <w:rtl w:val="0"/>
              </w:rPr>
              <w:t xml:space="preserve">: Depending on the timing of the alert trigger, aggregate one or more alerts into a single case of the same user for more efficient review.</w:t>
            </w:r>
          </w:p>
          <w:p w:rsidRPr="00000000" w:rsidR="00000000" w:rsidDel="00000000" w:rsidP="00000000" w:rsidRDefault="00000000" w14:paraId="00000401">
            <w:pPr>
              <w:numPr>
                <w:ilvl w:val="0"/>
                <w:numId w:val="17"/>
              </w:numPr>
              <w:spacing w:after="200" w:line="276" w:lineRule="auto"/>
              <w:ind w:left="360"/>
              <w:jc w:val="both"/>
              <w:rPr>
                <w:rFonts w:ascii="Arial" w:hAnsi="Arial" w:eastAsia="Arial" w:cs="Arial"/>
              </w:rPr>
            </w:pPr>
            <w:r w:rsidRPr="00000000" w:rsidDel="00000000" w:rsidR="00000000">
              <w:rPr>
                <w:u w:val="single"/>
                <w:rtl w:val="0"/>
              </w:rPr>
              <w:t xml:space="preserve">Analyst Review</w:t>
            </w:r>
            <w:r w:rsidRPr="00000000" w:rsidDel="00000000" w:rsidR="00000000">
              <w:rPr>
                <w:rtl w:val="0"/>
              </w:rPr>
              <w:t xml:space="preserve">: Analysts systematically review the aggregated cases within the case management platform in Binance admin and ensure proper handling according to internal processes to either close or escalate the cases.</w:t>
            </w:r>
          </w:p>
        </w:tc>
      </w:tr>
      <w:tr>
        <w:trPr>
          <w:cantSplit w:val="0"/>
          <w:tblHeader w:val="0"/>
        </w:trPr>
        <w:tc>
          <w:tcPr/>
          <w:p w:rsidRPr="00000000" w:rsidR="00000000" w:rsidDel="00000000" w:rsidP="00000000" w:rsidRDefault="00000000" w14:paraId="00000402">
            <w:pPr>
              <w:jc w:val="both"/>
              <w:rPr/>
            </w:pPr>
            <w:r w:rsidRPr="00000000" w:rsidDel="00000000" w:rsidR="00000000">
              <w:rPr>
                <w:rtl w:val="0"/>
              </w:rPr>
              <w:t xml:space="preserve">Customer Information</w:t>
            </w:r>
          </w:p>
        </w:tc>
        <w:tc>
          <w:tcPr/>
          <w:p w:rsidRPr="00000000" w:rsidR="00000000" w:rsidDel="00000000" w:rsidP="00000000" w:rsidRDefault="00000000" w14:paraId="00000403">
            <w:pPr>
              <w:numPr>
                <w:ilvl w:val="0"/>
                <w:numId w:val="18"/>
              </w:numPr>
              <w:spacing w:line="276" w:lineRule="auto"/>
              <w:ind w:left="360"/>
              <w:jc w:val="both"/>
              <w:rPr>
                <w:rFonts w:ascii="Arial" w:hAnsi="Arial" w:eastAsia="Arial" w:cs="Arial"/>
              </w:rPr>
            </w:pPr>
            <w:r w:rsidRPr="00000000" w:rsidDel="00000000" w:rsidR="00000000">
              <w:rPr>
                <w:u w:val="single"/>
                <w:rtl w:val="0"/>
              </w:rPr>
              <w:t xml:space="preserve">Data Collection:</w:t>
            </w:r>
            <w:r w:rsidRPr="00000000" w:rsidDel="00000000" w:rsidR="00000000">
              <w:rPr>
                <w:rtl w:val="0"/>
              </w:rPr>
              <w:t xml:space="preserve"> Gather and review CDD information, including customer name, tiering, email, internal UID, and registration date.</w:t>
            </w:r>
          </w:p>
          <w:p w:rsidRPr="00000000" w:rsidR="00000000" w:rsidDel="00000000" w:rsidP="00000000" w:rsidRDefault="00000000" w14:paraId="00000404">
            <w:pPr>
              <w:numPr>
                <w:ilvl w:val="0"/>
                <w:numId w:val="18"/>
              </w:numPr>
              <w:spacing w:after="200" w:line="276" w:lineRule="auto"/>
              <w:ind w:left="360"/>
              <w:jc w:val="both"/>
              <w:rPr>
                <w:rFonts w:ascii="Arial" w:hAnsi="Arial" w:eastAsia="Arial" w:cs="Arial"/>
              </w:rPr>
            </w:pPr>
            <w:r w:rsidRPr="00000000" w:rsidDel="00000000" w:rsidR="00000000">
              <w:rPr>
                <w:u w:val="single"/>
                <w:rtl w:val="0"/>
              </w:rPr>
              <w:t xml:space="preserve">Source Access:</w:t>
            </w:r>
            <w:r w:rsidRPr="00000000" w:rsidDel="00000000" w:rsidR="00000000">
              <w:rPr>
                <w:rtl w:val="0"/>
              </w:rPr>
              <w:t xml:space="preserve"> Access this information through Binance Group’s backend system and, when applicable, retrieve Law Enforcement requests (e.g., Seizure, Court Order) from Kodex and archived tickets from Haodesk.</w:t>
            </w:r>
          </w:p>
        </w:tc>
      </w:tr>
      <w:tr>
        <w:trPr>
          <w:cantSplit w:val="0"/>
          <w:tblHeader w:val="0"/>
        </w:trPr>
        <w:tc>
          <w:tcPr/>
          <w:p w:rsidRPr="00000000" w:rsidR="00000000" w:rsidDel="00000000" w:rsidP="00000000" w:rsidRDefault="00000000" w14:paraId="00000405">
            <w:pPr>
              <w:rPr/>
            </w:pPr>
            <w:r w:rsidRPr="00000000" w:rsidDel="00000000" w:rsidR="00000000">
              <w:rPr>
                <w:rtl w:val="0"/>
              </w:rPr>
              <w:t xml:space="preserve">Research and Analysis</w:t>
            </w:r>
          </w:p>
        </w:tc>
        <w:tc>
          <w:tcPr/>
          <w:p w:rsidRPr="00000000" w:rsidR="00000000" w:rsidDel="00000000" w:rsidP="00000000" w:rsidRDefault="00000000" w14:paraId="00000406">
            <w:pPr>
              <w:widowControl w:val="0"/>
              <w:numPr>
                <w:ilvl w:val="0"/>
                <w:numId w:val="19"/>
              </w:numPr>
              <w:spacing w:line="276" w:lineRule="auto"/>
              <w:ind w:left="360"/>
              <w:jc w:val="both"/>
              <w:rPr>
                <w:rFonts w:ascii="Arial" w:hAnsi="Arial" w:eastAsia="Arial" w:cs="Arial"/>
              </w:rPr>
            </w:pPr>
            <w:r w:rsidRPr="00000000" w:rsidDel="00000000" w:rsidR="00000000">
              <w:rPr>
                <w:u w:val="single"/>
                <w:rtl w:val="0"/>
              </w:rPr>
              <w:t xml:space="preserve">Detailed Review:</w:t>
            </w:r>
            <w:r w:rsidRPr="00000000" w:rsidDel="00000000" w:rsidR="00000000">
              <w:rPr>
                <w:rtl w:val="0"/>
              </w:rPr>
              <w:t xml:space="preserve"> Analysts conduct a thorough review of alerts and transaction data using relevant Know-Your-Transaction (KYT) tools in Binance Admin. Install the</w:t>
            </w:r>
            <w:hyperlink r:id="rId35">
              <w:r w:rsidRPr="00000000" w:rsidDel="00000000" w:rsidR="00000000">
                <w:rPr>
                  <w:rtl w:val="0"/>
                </w:rPr>
                <w:t xml:space="preserve"> </w:t>
              </w:r>
            </w:hyperlink>
            <w:r w:rsidRPr="00000000" w:rsidDel="00000000" w:rsidR="00000000">
              <w:rPr>
                <w:rtl w:val="0"/>
              </w:rPr>
              <w:t xml:space="preserve">Binfinite extension tool</w:t>
            </w:r>
            <w:r w:rsidRPr="00000000" w:rsidDel="00000000" w:rsidR="00000000">
              <w:rPr>
                <w:rtl w:val="0"/>
              </w:rPr>
              <w:t xml:space="preserve"> and use Binance Admin Task Pool to review and document the case assessment.</w:t>
            </w:r>
          </w:p>
          <w:p w:rsidRPr="00000000" w:rsidR="00000000" w:rsidDel="00000000" w:rsidP="00000000" w:rsidRDefault="00000000" w14:paraId="00000407">
            <w:pPr>
              <w:widowControl w:val="0"/>
              <w:numPr>
                <w:ilvl w:val="0"/>
                <w:numId w:val="19"/>
              </w:numPr>
              <w:spacing w:line="276" w:lineRule="auto"/>
              <w:ind w:left="360"/>
              <w:jc w:val="both"/>
              <w:rPr>
                <w:rFonts w:ascii="Arial" w:hAnsi="Arial" w:eastAsia="Arial" w:cs="Arial"/>
              </w:rPr>
            </w:pPr>
            <w:r w:rsidRPr="00000000" w:rsidDel="00000000" w:rsidR="00000000">
              <w:rPr>
                <w:u w:val="single"/>
                <w:rtl w:val="0"/>
              </w:rPr>
              <w:t xml:space="preserve">Account Lookback:</w:t>
            </w:r>
            <w:r w:rsidRPr="00000000" w:rsidDel="00000000" w:rsidR="00000000">
              <w:rPr>
                <w:rtl w:val="0"/>
              </w:rPr>
              <w:t xml:space="preserve"> Perform a one-month account lookback from the date of the earliest alerted transaction, excluding those directly linked to prohibited domains. This review assesses the customer's historical transactions across both fiat and crypto products.</w:t>
            </w:r>
          </w:p>
          <w:p w:rsidRPr="00000000" w:rsidR="00000000" w:rsidDel="00000000" w:rsidP="00000000" w:rsidRDefault="00000000" w14:paraId="00000408">
            <w:pPr>
              <w:widowControl w:val="0"/>
              <w:numPr>
                <w:ilvl w:val="0"/>
                <w:numId w:val="19"/>
              </w:numPr>
              <w:spacing w:line="276" w:lineRule="auto"/>
              <w:ind w:left="360"/>
              <w:jc w:val="both"/>
              <w:rPr>
                <w:rFonts w:ascii="Arial" w:hAnsi="Arial" w:eastAsia="Arial" w:cs="Arial"/>
              </w:rPr>
            </w:pPr>
            <w:r w:rsidRPr="00000000" w:rsidDel="00000000" w:rsidR="00000000">
              <w:rPr>
                <w:u w:val="single"/>
                <w:rtl w:val="0"/>
              </w:rPr>
              <w:t xml:space="preserve">External Tools:</w:t>
            </w:r>
            <w:r w:rsidRPr="00000000" w:rsidDel="00000000" w:rsidR="00000000">
              <w:rPr>
                <w:rtl w:val="0"/>
              </w:rPr>
              <w:t xml:space="preserve"> Utilize external KYT tools for in-depth investigations, particularly for transactions associated with high-risk domains or activities.</w:t>
            </w:r>
          </w:p>
          <w:p w:rsidRPr="00000000" w:rsidR="00000000" w:rsidDel="00000000" w:rsidP="00000000" w:rsidRDefault="00000000" w14:paraId="00000409">
            <w:pPr>
              <w:numPr>
                <w:ilvl w:val="0"/>
                <w:numId w:val="18"/>
              </w:numPr>
              <w:spacing w:after="200" w:line="276" w:lineRule="auto"/>
              <w:ind w:left="360"/>
              <w:jc w:val="both"/>
              <w:rPr>
                <w:rFonts w:ascii="Arial" w:hAnsi="Arial" w:eastAsia="Arial" w:cs="Arial"/>
              </w:rPr>
            </w:pPr>
            <w:r w:rsidRPr="00000000" w:rsidDel="00000000" w:rsidR="00000000">
              <w:rPr>
                <w:u w:val="single"/>
                <w:rtl w:val="0"/>
              </w:rPr>
              <w:t xml:space="preserve">Request for Information (RFI):</w:t>
            </w:r>
            <w:r w:rsidRPr="00000000" w:rsidDel="00000000" w:rsidR="00000000">
              <w:rPr>
                <w:rtl w:val="0"/>
              </w:rPr>
              <w:t xml:space="preserve"> If internal data is insufficient, issue an RFI to the customer for further details.</w:t>
            </w:r>
            <w:r w:rsidRPr="00000000" w:rsidDel="00000000" w:rsidR="00000000">
              <w:rPr>
                <w:rtl w:val="0"/>
              </w:rPr>
            </w:r>
          </w:p>
        </w:tc>
      </w:tr>
      <w:tr>
        <w:trPr>
          <w:cantSplit w:val="0"/>
          <w:tblHeader w:val="0"/>
        </w:trPr>
        <w:tc>
          <w:tcPr/>
          <w:p w:rsidRPr="00000000" w:rsidR="00000000" w:rsidDel="00000000" w:rsidP="00000000" w:rsidRDefault="00000000" w14:paraId="0000040A">
            <w:pPr>
              <w:jc w:val="both"/>
              <w:rPr/>
            </w:pPr>
            <w:r w:rsidRPr="00000000" w:rsidDel="00000000" w:rsidR="00000000">
              <w:rPr>
                <w:rtl w:val="0"/>
              </w:rPr>
              <w:t xml:space="preserve">Risk Graph Analysis</w:t>
            </w:r>
          </w:p>
        </w:tc>
        <w:tc>
          <w:tcPr/>
          <w:p w:rsidRPr="00000000" w:rsidR="00000000" w:rsidDel="00000000" w:rsidP="00000000" w:rsidRDefault="00000000" w14:paraId="0000040B">
            <w:pPr>
              <w:numPr>
                <w:ilvl w:val="0"/>
                <w:numId w:val="18"/>
              </w:numPr>
              <w:spacing w:line="276" w:lineRule="auto"/>
              <w:ind w:left="360"/>
              <w:jc w:val="both"/>
              <w:rPr>
                <w:rFonts w:ascii="Arial" w:hAnsi="Arial" w:eastAsia="Arial" w:cs="Arial"/>
              </w:rPr>
            </w:pPr>
            <w:r w:rsidRPr="00000000" w:rsidDel="00000000" w:rsidR="00000000">
              <w:rPr>
                <w:rtl w:val="0"/>
              </w:rPr>
              <w:t xml:space="preserve">The Risk Graph is a tool available on the Elliptic platform. It visualizes the connections between a screened transaction and the identified high-risk entities based on predetermined risk rules. The graph serves as a visual aid to explain the transaction exposure risk.</w:t>
            </w:r>
          </w:p>
          <w:p w:rsidRPr="00000000" w:rsidR="00000000" w:rsidDel="00000000" w:rsidP="00000000" w:rsidRDefault="00000000" w14:paraId="0000040C">
            <w:pPr>
              <w:numPr>
                <w:ilvl w:val="0"/>
                <w:numId w:val="18"/>
              </w:numPr>
              <w:spacing w:line="276" w:lineRule="auto"/>
              <w:ind w:left="360"/>
              <w:jc w:val="both"/>
              <w:rPr>
                <w:rFonts w:ascii="Arial" w:hAnsi="Arial" w:eastAsia="Arial" w:cs="Arial"/>
              </w:rPr>
            </w:pPr>
            <w:r w:rsidRPr="00000000" w:rsidDel="00000000" w:rsidR="00000000">
              <w:rPr>
                <w:rtl w:val="0"/>
              </w:rPr>
              <w:t xml:space="preserve">There are two views available:</w:t>
            </w:r>
          </w:p>
          <w:p w:rsidRPr="00000000" w:rsidR="00000000" w:rsidDel="00000000" w:rsidP="00000000" w:rsidRDefault="00000000" w14:paraId="0000040D">
            <w:pPr>
              <w:numPr>
                <w:ilvl w:val="1"/>
                <w:numId w:val="18"/>
              </w:numPr>
              <w:spacing w:line="276" w:lineRule="auto"/>
              <w:ind w:left="1080" w:hanging="360"/>
              <w:jc w:val="both"/>
              <w:rPr>
                <w:rFonts w:ascii="Arial" w:hAnsi="Arial" w:eastAsia="Arial" w:cs="Arial"/>
              </w:rPr>
            </w:pPr>
            <w:r w:rsidRPr="00000000" w:rsidDel="00000000" w:rsidR="00000000">
              <w:rPr>
                <w:u w:val="single"/>
                <w:rtl w:val="0"/>
              </w:rPr>
              <w:t xml:space="preserve">Aggregated Flows</w:t>
            </w:r>
            <w:r w:rsidRPr="00000000" w:rsidDel="00000000" w:rsidR="00000000">
              <w:rPr>
                <w:rtl w:val="0"/>
              </w:rPr>
              <w:t xml:space="preserve">: The total value transferred between each path or cluster.</w:t>
            </w:r>
          </w:p>
          <w:p w:rsidRPr="00000000" w:rsidR="00000000" w:rsidDel="00000000" w:rsidP="00000000" w:rsidRDefault="00000000" w14:paraId="0000040E">
            <w:pPr>
              <w:numPr>
                <w:ilvl w:val="1"/>
                <w:numId w:val="18"/>
              </w:numPr>
              <w:spacing w:line="276" w:lineRule="auto"/>
              <w:ind w:left="1080" w:hanging="360"/>
              <w:jc w:val="both"/>
              <w:rPr>
                <w:rFonts w:ascii="Arial" w:hAnsi="Arial" w:eastAsia="Arial" w:cs="Arial"/>
              </w:rPr>
            </w:pPr>
            <w:r w:rsidRPr="00000000" w:rsidDel="00000000" w:rsidR="00000000">
              <w:rPr>
                <w:u w:val="single"/>
                <w:rtl w:val="0"/>
              </w:rPr>
              <w:t xml:space="preserve">Exposure View</w:t>
            </w:r>
            <w:r w:rsidRPr="00000000" w:rsidDel="00000000" w:rsidR="00000000">
              <w:rPr>
                <w:rtl w:val="0"/>
              </w:rPr>
              <w:t xml:space="preserve">: This shows the overall risky exposure distributed across various paths. This holistic view considers the broader network of transactions and entities involved.</w:t>
            </w:r>
          </w:p>
          <w:p w:rsidRPr="00000000" w:rsidR="00000000" w:rsidDel="00000000" w:rsidP="00000000" w:rsidRDefault="00000000" w14:paraId="0000040F">
            <w:pPr>
              <w:numPr>
                <w:ilvl w:val="0"/>
                <w:numId w:val="18"/>
              </w:numPr>
              <w:spacing w:line="276" w:lineRule="auto"/>
              <w:ind w:left="360"/>
              <w:jc w:val="both"/>
              <w:rPr>
                <w:rFonts w:ascii="Arial" w:hAnsi="Arial" w:eastAsia="Arial" w:cs="Arial"/>
              </w:rPr>
            </w:pPr>
            <w:r w:rsidRPr="00000000" w:rsidDel="00000000" w:rsidR="00000000">
              <w:rPr>
                <w:rtl w:val="0"/>
              </w:rPr>
              <w:t xml:space="preserve">In calculating the total exposure amount, as per the recommendations outlined under the Onchain TM Matrix, the exposure view should be calculated to accurately determine the potential exposure to the targeted category, entity or service.</w:t>
            </w:r>
          </w:p>
          <w:p w:rsidRPr="00000000" w:rsidR="00000000" w:rsidDel="00000000" w:rsidP="00000000" w:rsidRDefault="00000000" w14:paraId="00000410">
            <w:pPr>
              <w:numPr>
                <w:ilvl w:val="0"/>
                <w:numId w:val="18"/>
              </w:numPr>
              <w:spacing w:line="276" w:lineRule="auto"/>
              <w:ind w:left="360"/>
              <w:jc w:val="both"/>
              <w:rPr>
                <w:rFonts w:ascii="Arial" w:hAnsi="Arial" w:eastAsia="Arial" w:cs="Arial"/>
              </w:rPr>
            </w:pPr>
            <w:r w:rsidRPr="00000000" w:rsidDel="00000000" w:rsidR="00000000">
              <w:rPr>
                <w:rtl w:val="0"/>
              </w:rPr>
              <w:t xml:space="preserve">There are two types of exposure:</w:t>
            </w:r>
          </w:p>
          <w:p w:rsidRPr="00000000" w:rsidR="00000000" w:rsidDel="00000000" w:rsidP="00000000" w:rsidRDefault="00000000" w14:paraId="00000411">
            <w:pPr>
              <w:numPr>
                <w:ilvl w:val="1"/>
                <w:numId w:val="18"/>
              </w:numPr>
              <w:spacing w:line="276" w:lineRule="auto"/>
              <w:ind w:left="1080" w:hanging="360"/>
              <w:jc w:val="both"/>
              <w:rPr>
                <w:rFonts w:ascii="Arial" w:hAnsi="Arial" w:eastAsia="Arial" w:cs="Arial"/>
              </w:rPr>
            </w:pPr>
            <w:r w:rsidRPr="00000000" w:rsidDel="00000000" w:rsidR="00000000">
              <w:rPr>
                <w:u w:val="single"/>
                <w:rtl w:val="0"/>
              </w:rPr>
              <w:t xml:space="preserve">Direct</w:t>
            </w:r>
            <w:r w:rsidRPr="00000000" w:rsidDel="00000000" w:rsidR="00000000">
              <w:rPr>
                <w:rtl w:val="0"/>
              </w:rPr>
              <w:t xml:space="preserve">: Directly linked to a high-risk wallet or entity without any intermediaries.</w:t>
            </w:r>
          </w:p>
          <w:p w:rsidRPr="00000000" w:rsidR="00000000" w:rsidDel="00000000" w:rsidP="00000000" w:rsidRDefault="00000000" w14:paraId="00000412">
            <w:pPr>
              <w:numPr>
                <w:ilvl w:val="1"/>
                <w:numId w:val="18"/>
              </w:numPr>
              <w:spacing w:line="276" w:lineRule="auto"/>
              <w:ind w:left="1080" w:hanging="360"/>
              <w:jc w:val="both"/>
              <w:rPr>
                <w:rFonts w:ascii="Arial" w:hAnsi="Arial" w:eastAsia="Arial" w:cs="Arial"/>
              </w:rPr>
            </w:pPr>
            <w:r w:rsidRPr="00000000" w:rsidDel="00000000" w:rsidR="00000000">
              <w:rPr>
                <w:u w:val="single"/>
                <w:rtl w:val="0"/>
              </w:rPr>
              <w:t xml:space="preserve">Indirect:</w:t>
            </w:r>
            <w:r w:rsidRPr="00000000" w:rsidDel="00000000" w:rsidR="00000000">
              <w:rPr>
                <w:rtl w:val="0"/>
              </w:rPr>
              <w:t xml:space="preserve"> The transaction is not directly linked to a high-risk entity but is connected through a series of transactions that eventually lead to a wallet or entity known for suspicious activities.    </w:t>
            </w:r>
          </w:p>
          <w:p w:rsidRPr="00000000" w:rsidR="00000000" w:rsidDel="00000000" w:rsidP="00000000" w:rsidRDefault="00000000" w14:paraId="00000413">
            <w:pPr>
              <w:numPr>
                <w:ilvl w:val="0"/>
                <w:numId w:val="18"/>
              </w:numPr>
              <w:spacing w:after="200" w:line="276" w:lineRule="auto"/>
              <w:ind w:left="360"/>
              <w:jc w:val="both"/>
              <w:rPr>
                <w:rFonts w:ascii="Arial" w:hAnsi="Arial" w:eastAsia="Arial" w:cs="Arial"/>
              </w:rPr>
            </w:pPr>
            <w:r w:rsidRPr="00000000" w:rsidDel="00000000" w:rsidR="00000000">
              <w:rPr>
                <w:rtl w:val="0"/>
              </w:rPr>
              <w:t xml:space="preserve">Note that in accordance with the Risk Graph and external research information, Analysts should assess the level of risk associated with the transaction. This involves considering the nature of the entities involved, the number of hops from the associated entity, the size and frequency of alert transactions, and any unusual patterns or behaviours observed.</w:t>
            </w:r>
          </w:p>
        </w:tc>
      </w:tr>
      <w:tr>
        <w:trPr>
          <w:cantSplit w:val="0"/>
          <w:tblHeader w:val="0"/>
        </w:trPr>
        <w:tc>
          <w:tcPr/>
          <w:p w:rsidRPr="00000000" w:rsidR="00000000" w:rsidDel="00000000" w:rsidP="00000000" w:rsidRDefault="00000000" w14:paraId="00000414">
            <w:pPr>
              <w:jc w:val="both"/>
              <w:rPr/>
            </w:pPr>
            <w:r w:rsidRPr="00000000" w:rsidDel="00000000" w:rsidR="00000000">
              <w:rPr>
                <w:rtl w:val="0"/>
              </w:rPr>
              <w:t xml:space="preserve">Case Decision</w:t>
            </w:r>
          </w:p>
        </w:tc>
        <w:tc>
          <w:tcPr/>
          <w:p w:rsidRPr="00000000" w:rsidR="00000000" w:rsidDel="00000000" w:rsidP="00000000" w:rsidRDefault="00000000" w14:paraId="00000415">
            <w:pPr>
              <w:numPr>
                <w:ilvl w:val="0"/>
                <w:numId w:val="18"/>
              </w:numPr>
              <w:spacing w:line="276" w:lineRule="auto"/>
              <w:ind w:left="360"/>
              <w:jc w:val="both"/>
              <w:rPr>
                <w:rFonts w:ascii="Arial" w:hAnsi="Arial" w:eastAsia="Arial" w:cs="Arial"/>
              </w:rPr>
            </w:pPr>
            <w:r w:rsidRPr="00000000" w:rsidDel="00000000" w:rsidR="00000000">
              <w:rPr>
                <w:rtl w:val="0"/>
              </w:rPr>
              <w:t xml:space="preserve">Upon completing the steps above, the Analyst must assemble and assess all pertinent information from the alert review, subject KYC  profiles, transaction data, and any external inquiries. This thorough evaluation must be documented to support the final decision to close the case or advance it for further investigation by the FCI or Sanctions Investigation Team.</w:t>
            </w:r>
          </w:p>
          <w:p w:rsidRPr="00000000" w:rsidR="00000000" w:rsidDel="00000000" w:rsidP="00000000" w:rsidRDefault="00000000" w14:paraId="00000416">
            <w:pPr>
              <w:numPr>
                <w:ilvl w:val="0"/>
                <w:numId w:val="18"/>
              </w:numPr>
              <w:spacing w:line="276" w:lineRule="auto"/>
              <w:ind w:left="360"/>
              <w:jc w:val="both"/>
              <w:rPr>
                <w:rFonts w:ascii="Arial" w:hAnsi="Arial" w:eastAsia="Arial" w:cs="Arial"/>
              </w:rPr>
            </w:pPr>
            <w:r w:rsidRPr="00000000" w:rsidDel="00000000" w:rsidR="00000000">
              <w:rPr>
                <w:rtl w:val="0"/>
              </w:rPr>
              <w:t xml:space="preserve">In the event that a money laundering or financial crime risk is identified, the Alert should be escalated to L2 of the Financial Crime Investigations function.</w:t>
            </w:r>
          </w:p>
          <w:p w:rsidRPr="00000000" w:rsidR="00000000" w:rsidDel="00000000" w:rsidP="00000000" w:rsidRDefault="00000000" w14:paraId="00000417">
            <w:pPr>
              <w:numPr>
                <w:ilvl w:val="0"/>
                <w:numId w:val="18"/>
              </w:numPr>
              <w:spacing w:after="200" w:line="276" w:lineRule="auto"/>
              <w:ind w:left="360"/>
              <w:jc w:val="both"/>
              <w:rPr>
                <w:rFonts w:ascii="Arial" w:hAnsi="Arial" w:eastAsia="Arial" w:cs="Arial"/>
              </w:rPr>
            </w:pPr>
            <w:r w:rsidRPr="00000000" w:rsidDel="00000000" w:rsidR="00000000">
              <w:rPr>
                <w:rtl w:val="0"/>
              </w:rPr>
              <w:t xml:space="preserve">In the event that a sanctions nexus is identified, the Alert should be escalated to L2 of the Sanctions Investigations function.</w:t>
              <w:br w:type="textWrapping"/>
              <w:t xml:space="preserve">For guidance on whether the user-alerted transaction requires an escalation, analysts should refer to the </w:t>
            </w:r>
            <w:hyperlink r:id="rId36">
              <w:r w:rsidRPr="00000000" w:rsidDel="00000000" w:rsidR="00000000">
                <w:rPr>
                  <w:color w:val="0563c1"/>
                  <w:u w:val="single"/>
                  <w:rtl w:val="0"/>
                </w:rPr>
                <w:t xml:space="preserve">Guide to On-Chain TM (Matrix)</w:t>
              </w:r>
            </w:hyperlink>
            <w:r w:rsidRPr="00000000" w:rsidDel="00000000" w:rsidR="00000000">
              <w:rPr>
                <w:rtl w:val="0"/>
              </w:rPr>
              <w:t xml:space="preserve"> to compare the case details against established thresholds before proceeding to Level 2 investigation.</w:t>
            </w:r>
          </w:p>
        </w:tc>
      </w:tr>
    </w:tbl>
    <w:p w:rsidRPr="00000000" w:rsidR="00000000" w:rsidDel="00000000" w:rsidP="00000000" w:rsidRDefault="00000000" w14:paraId="00000418">
      <w:pPr>
        <w:spacing w:after="0" w:lineRule="auto"/>
        <w:ind w:left="720" w:firstLine="0"/>
        <w:jc w:val="both"/>
        <w:rPr/>
      </w:pPr>
      <w:bookmarkStart w:name="_heading=h.ofra5sgphsqp" w:colFirst="0" w:colLast="0" w:id="218"/>
      <w:bookmarkEnd w:id="218"/>
      <w:r w:rsidRPr="00000000" w:rsidDel="00000000" w:rsidR="00000000">
        <w:rPr>
          <w:rtl w:val="0"/>
        </w:rPr>
      </w:r>
    </w:p>
    <w:p w:rsidRPr="00000000" w:rsidR="00000000" w:rsidDel="00000000" w:rsidP="00000000" w:rsidRDefault="00000000" w14:paraId="00000419">
      <w:pPr>
        <w:pStyle w:val="Heading2"/>
        <w:numPr>
          <w:ilvl w:val="1"/>
          <w:numId w:val="25"/>
        </w:numPr>
        <w:ind w:left="720"/>
        <w:rPr/>
      </w:pPr>
      <w:bookmarkStart w:name="_heading=h.t1uab5gqm1pm" w:colFirst="0" w:colLast="0" w:id="219"/>
      <w:bookmarkEnd w:id="219"/>
      <w:r w:rsidRPr="00000000" w:rsidDel="00000000" w:rsidR="00000000">
        <w:rPr>
          <w:rFonts w:ascii="Arial" w:hAnsi="Arial" w:eastAsia="Arial" w:cs="Arial"/>
          <w:sz w:val="24"/>
          <w:szCs w:val="24"/>
          <w:rtl w:val="0"/>
        </w:rPr>
        <w:t xml:space="preserve">On-Chain Supervisory Review and Quality Assurance Review</w:t>
      </w:r>
    </w:p>
    <w:p w:rsidRPr="00000000" w:rsidR="00000000" w:rsidDel="00000000" w:rsidP="00000000" w:rsidRDefault="00000000" w14:paraId="0000041A">
      <w:pPr>
        <w:numPr>
          <w:ilvl w:val="2"/>
          <w:numId w:val="25"/>
        </w:numPr>
        <w:spacing w:after="240" w:lineRule="auto"/>
        <w:ind w:left="720"/>
        <w:jc w:val="both"/>
        <w:rPr/>
      </w:pPr>
      <w:bookmarkStart w:name="_heading=h.hddxewpuzazp" w:colFirst="0" w:colLast="0" w:id="220"/>
      <w:bookmarkEnd w:id="220"/>
      <w:r w:rsidRPr="00000000" w:rsidDel="00000000" w:rsidR="00000000">
        <w:rPr>
          <w:b w:val="1"/>
          <w:bCs w:val="1"/>
          <w:rtl w:val="0"/>
        </w:rPr>
        <w:t xml:space="preserve">On-Chain Supervisory Review</w:t>
      </w:r>
    </w:p>
    <w:p w:rsidRPr="00000000" w:rsidR="00000000" w:rsidDel="00000000" w:rsidP="00000000" w:rsidRDefault="00000000" w14:paraId="0000041B">
      <w:pPr>
        <w:numPr>
          <w:ilvl w:val="2"/>
          <w:numId w:val="25"/>
        </w:numPr>
        <w:spacing w:after="240" w:lineRule="auto"/>
        <w:ind w:left="720"/>
        <w:jc w:val="both"/>
        <w:rPr/>
      </w:pPr>
      <w:bookmarkStart w:name="_heading=h.wyu9fvu4adcw" w:colFirst="0" w:colLast="0" w:id="221"/>
      <w:bookmarkEnd w:id="221"/>
      <w:r w:rsidRPr="00000000" w:rsidDel="00000000" w:rsidR="00000000">
        <w:rPr>
          <w:rtl w:val="0"/>
        </w:rPr>
        <w:t xml:space="preserve">The quality checks of On-Chain alert analysis reports for Binance On-chain Transaction Monitoring is covered by two processes: </w:t>
      </w:r>
    </w:p>
    <w:p w:rsidRPr="00000000" w:rsidR="00000000" w:rsidDel="00000000" w:rsidP="00000000" w:rsidRDefault="00000000" w14:paraId="0000041C">
      <w:pPr>
        <w:numPr>
          <w:ilvl w:val="0"/>
          <w:numId w:val="28"/>
        </w:numPr>
        <w:spacing w:after="0" w:lineRule="auto"/>
        <w:ind w:left="1080" w:hanging="360"/>
        <w:jc w:val="both"/>
        <w:rPr>
          <w:rFonts w:ascii="Arial" w:hAnsi="Arial" w:eastAsia="Arial" w:cs="Arial"/>
        </w:rPr>
      </w:pPr>
      <w:r w:rsidRPr="00000000" w:rsidDel="00000000" w:rsidR="00000000">
        <w:rPr>
          <w:rtl w:val="0"/>
        </w:rPr>
        <w:t xml:space="preserve">On-Chain supervisory review; and</w:t>
      </w:r>
    </w:p>
    <w:p w:rsidRPr="00000000" w:rsidR="00000000" w:rsidDel="00000000" w:rsidP="00000000" w:rsidRDefault="00000000" w14:paraId="0000041D">
      <w:pPr>
        <w:numPr>
          <w:ilvl w:val="0"/>
          <w:numId w:val="28"/>
        </w:numPr>
        <w:spacing w:after="240" w:lineRule="auto"/>
        <w:ind w:left="1080" w:hanging="360"/>
        <w:jc w:val="both"/>
        <w:rPr>
          <w:rFonts w:ascii="Arial" w:hAnsi="Arial" w:eastAsia="Arial" w:cs="Arial"/>
        </w:rPr>
      </w:pPr>
      <w:r w:rsidRPr="00000000" w:rsidDel="00000000" w:rsidR="00000000">
        <w:rPr>
          <w:rtl w:val="0"/>
        </w:rPr>
        <w:t xml:space="preserve">Quality assurance review.</w:t>
      </w:r>
    </w:p>
    <w:p w:rsidRPr="00000000" w:rsidR="00000000" w:rsidDel="00000000" w:rsidP="00000000" w:rsidRDefault="00000000" w14:paraId="0000041E">
      <w:pPr>
        <w:numPr>
          <w:ilvl w:val="2"/>
          <w:numId w:val="25"/>
        </w:numPr>
        <w:spacing w:after="240" w:lineRule="auto"/>
        <w:ind w:left="720"/>
        <w:jc w:val="both"/>
        <w:rPr/>
      </w:pPr>
      <w:bookmarkStart w:name="_heading=h.aksyrw52ikok" w:colFirst="0" w:colLast="0" w:id="222"/>
      <w:bookmarkEnd w:id="222"/>
      <w:r w:rsidRPr="00000000" w:rsidDel="00000000" w:rsidR="00000000">
        <w:rPr>
          <w:rtl w:val="0"/>
        </w:rPr>
        <w:t xml:space="preserve">The </w:t>
      </w:r>
      <w:r w:rsidRPr="00000000" w:rsidDel="00000000" w:rsidR="00000000">
        <w:rPr>
          <w:rtl w:val="0"/>
        </w:rPr>
        <w:t xml:space="preserve">Supervisory Review Criteria </w:t>
      </w:r>
      <w:r w:rsidRPr="00000000" w:rsidDel="00000000" w:rsidR="00000000">
        <w:rPr>
          <w:rtl w:val="0"/>
        </w:rPr>
        <w:t xml:space="preserve">(described below) sets out the prerequisites for Analysts to escalate cases to the Transaction Monitoring </w:t>
      </w:r>
      <w:r w:rsidRPr="00000000" w:rsidDel="00000000" w:rsidR="00000000">
        <w:rPr>
          <w:rtl w:val="0"/>
        </w:rPr>
        <w:t xml:space="preserve">Checkers/Team Leads (TLs)</w:t>
      </w:r>
      <w:r w:rsidRPr="00000000" w:rsidDel="00000000" w:rsidR="00000000">
        <w:rPr>
          <w:rtl w:val="0"/>
        </w:rPr>
        <w:t xml:space="preserve"> for review, and can be categorised as Mandatory Supervisory Review (Category 1) and Sampling Supervisory Review (Category 2).</w:t>
      </w:r>
    </w:p>
    <w:tbl>
      <w:tblPr>
        <w:tblStyle w:val="Table23"/>
        <w:tblW w:w="901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25"/>
        <w:gridCol w:w="6591"/>
        <w:tblGridChange w:id="0">
          <w:tblGrid>
            <w:gridCol w:w="2425"/>
            <w:gridCol w:w="6591"/>
          </w:tblGrid>
        </w:tblGridChange>
      </w:tblGrid>
      <w:tr>
        <w:trPr>
          <w:cantSplit w:val="0"/>
          <w:trHeight w:val="373.5546875" w:hRule="atLeast"/>
          <w:tblHeader w:val="0"/>
        </w:trPr>
        <w:tc>
          <w:tcPr>
            <w:shd w:val="clear" w:fill="f7cbac"/>
          </w:tcPr>
          <w:p w:rsidRPr="00000000" w:rsidR="00000000" w:rsidDel="00000000" w:rsidP="00000000" w:rsidRDefault="00000000" w14:paraId="0000041F">
            <w:pPr>
              <w:jc w:val="both"/>
              <w:rPr>
                <w:b w:val="1"/>
                <w:bCs w:val="1"/>
              </w:rPr>
            </w:pPr>
            <w:r w:rsidRPr="00000000" w:rsidDel="00000000" w:rsidR="00000000">
              <w:rPr>
                <w:b w:val="1"/>
                <w:bCs w:val="1"/>
                <w:rtl w:val="0"/>
              </w:rPr>
              <w:t xml:space="preserve">Category</w:t>
            </w:r>
          </w:p>
        </w:tc>
        <w:tc>
          <w:tcPr>
            <w:shd w:val="clear" w:fill="f7cbac"/>
          </w:tcPr>
          <w:p w:rsidRPr="00000000" w:rsidR="00000000" w:rsidDel="00000000" w:rsidP="00000000" w:rsidRDefault="00000000" w14:paraId="00000420">
            <w:pPr>
              <w:jc w:val="both"/>
              <w:rPr>
                <w:b w:val="1"/>
                <w:bCs w:val="1"/>
              </w:rPr>
            </w:pPr>
            <w:r w:rsidRPr="00000000" w:rsidDel="00000000" w:rsidR="00000000">
              <w:rPr>
                <w:b w:val="1"/>
                <w:bCs w:val="1"/>
                <w:rtl w:val="0"/>
              </w:rPr>
              <w:t xml:space="preserve">Description</w:t>
            </w:r>
          </w:p>
        </w:tc>
      </w:tr>
      <w:tr>
        <w:trPr>
          <w:cantSplit w:val="0"/>
          <w:tblHeader w:val="0"/>
        </w:trPr>
        <w:tc>
          <w:tcPr/>
          <w:p w:rsidRPr="00000000" w:rsidR="00000000" w:rsidDel="00000000" w:rsidP="00000000" w:rsidRDefault="00000000" w14:paraId="00000421">
            <w:pPr>
              <w:rPr/>
            </w:pPr>
            <w:r w:rsidRPr="00000000" w:rsidDel="00000000" w:rsidR="00000000">
              <w:rPr>
                <w:rtl w:val="0"/>
              </w:rPr>
              <w:t xml:space="preserve">Mandatory Supervisory Review Criteria (Category 1)</w:t>
            </w:r>
          </w:p>
        </w:tc>
        <w:tc>
          <w:tcPr/>
          <w:p w:rsidRPr="00000000" w:rsidR="00000000" w:rsidDel="00000000" w:rsidP="00000000" w:rsidRDefault="00000000" w14:paraId="00000422">
            <w:pPr>
              <w:jc w:val="both"/>
              <w:rPr/>
            </w:pPr>
            <w:r w:rsidRPr="00000000" w:rsidDel="00000000" w:rsidR="00000000">
              <w:rPr>
                <w:rtl w:val="0"/>
              </w:rPr>
              <w:t xml:space="preserve">Cases are subject to 100% mandatory checks:</w:t>
            </w:r>
          </w:p>
          <w:p w:rsidRPr="00000000" w:rsidR="00000000" w:rsidDel="00000000" w:rsidP="00000000" w:rsidRDefault="00000000" w14:paraId="00000423">
            <w:pPr>
              <w:numPr>
                <w:ilvl w:val="0"/>
                <w:numId w:val="23"/>
              </w:numPr>
              <w:spacing w:line="276" w:lineRule="auto"/>
              <w:ind w:left="360"/>
              <w:jc w:val="both"/>
              <w:rPr>
                <w:rFonts w:ascii="Arial" w:hAnsi="Arial" w:eastAsia="Arial" w:cs="Arial"/>
              </w:rPr>
            </w:pPr>
            <w:r w:rsidRPr="00000000" w:rsidDel="00000000" w:rsidR="00000000">
              <w:rPr>
                <w:rtl w:val="0"/>
              </w:rPr>
              <w:t xml:space="preserve">Supervisory reviews conducted by authorized staff only. The authorization to conduct supervisory reviews may only be granted to permanent Binance TM team personnel;</w:t>
            </w:r>
          </w:p>
          <w:p w:rsidRPr="00000000" w:rsidR="00000000" w:rsidDel="00000000" w:rsidP="00000000" w:rsidRDefault="00000000" w14:paraId="00000424">
            <w:pPr>
              <w:numPr>
                <w:ilvl w:val="0"/>
                <w:numId w:val="23"/>
              </w:numPr>
              <w:spacing w:line="276" w:lineRule="auto"/>
              <w:ind w:left="360"/>
              <w:jc w:val="both"/>
              <w:rPr>
                <w:rFonts w:ascii="Arial" w:hAnsi="Arial" w:eastAsia="Arial" w:cs="Arial"/>
              </w:rPr>
            </w:pPr>
            <w:r w:rsidRPr="00000000" w:rsidDel="00000000" w:rsidR="00000000">
              <w:rPr>
                <w:rtl w:val="0"/>
              </w:rPr>
              <w:t xml:space="preserve">Internal Investigation Team Escalations (i.e. User ID belongs to Binance internal employees);</w:t>
            </w:r>
          </w:p>
          <w:p w:rsidRPr="00000000" w:rsidR="00000000" w:rsidDel="00000000" w:rsidP="00000000" w:rsidRDefault="00000000" w14:paraId="00000425">
            <w:pPr>
              <w:numPr>
                <w:ilvl w:val="0"/>
                <w:numId w:val="23"/>
              </w:numPr>
              <w:spacing w:line="276" w:lineRule="auto"/>
              <w:ind w:left="360"/>
              <w:jc w:val="both"/>
              <w:rPr>
                <w:rFonts w:ascii="Arial" w:hAnsi="Arial" w:eastAsia="Arial" w:cs="Arial"/>
              </w:rPr>
            </w:pPr>
            <w:r w:rsidRPr="00000000" w:rsidDel="00000000" w:rsidR="00000000">
              <w:rPr>
                <w:rtl w:val="0"/>
              </w:rPr>
              <w:t xml:space="preserve">Alerts/Cases assigned to</w:t>
            </w:r>
            <w:hyperlink r:id="rId37">
              <w:r w:rsidRPr="00000000" w:rsidDel="00000000" w:rsidR="00000000">
                <w:rPr>
                  <w:rtl w:val="0"/>
                </w:rPr>
                <w:t xml:space="preserve"> New Staff</w:t>
              </w:r>
            </w:hyperlink>
            <w:r w:rsidRPr="00000000" w:rsidDel="00000000" w:rsidR="00000000">
              <w:rPr>
                <w:rtl w:val="0"/>
              </w:rPr>
              <w:t xml:space="preserve"> and external consultants (3 months from joining, can be extended under specific circumstances);</w:t>
            </w:r>
          </w:p>
          <w:p w:rsidRPr="00000000" w:rsidR="00000000" w:rsidDel="00000000" w:rsidP="00000000" w:rsidRDefault="00000000" w14:paraId="00000426">
            <w:pPr>
              <w:numPr>
                <w:ilvl w:val="0"/>
                <w:numId w:val="23"/>
              </w:numPr>
              <w:spacing w:after="200" w:line="276" w:lineRule="auto"/>
              <w:ind w:left="360"/>
              <w:jc w:val="both"/>
              <w:rPr>
                <w:rFonts w:ascii="Arial" w:hAnsi="Arial" w:eastAsia="Arial" w:cs="Arial"/>
              </w:rPr>
            </w:pPr>
            <w:r w:rsidRPr="00000000" w:rsidDel="00000000" w:rsidR="00000000">
              <w:rPr>
                <w:rtl w:val="0"/>
              </w:rPr>
              <w:t xml:space="preserve">Alerts/Cases assigned to Staff who are on</w:t>
            </w:r>
            <w:hyperlink r:id="rId38">
              <w:r w:rsidRPr="00000000" w:rsidDel="00000000" w:rsidR="00000000">
                <w:rPr>
                  <w:rtl w:val="0"/>
                </w:rPr>
                <w:t xml:space="preserve"> Performance Improvement Plans (PIPs)</w:t>
              </w:r>
            </w:hyperlink>
            <w:r w:rsidRPr="00000000" w:rsidDel="00000000" w:rsidR="00000000">
              <w:rPr>
                <w:rtl w:val="0"/>
              </w:rPr>
              <w:t xml:space="preserve">;</w:t>
            </w:r>
          </w:p>
        </w:tc>
      </w:tr>
      <w:tr>
        <w:trPr>
          <w:cantSplit w:val="0"/>
          <w:tblHeader w:val="0"/>
        </w:trPr>
        <w:tc>
          <w:tcPr/>
          <w:p w:rsidRPr="00000000" w:rsidR="00000000" w:rsidDel="00000000" w:rsidP="00000000" w:rsidRDefault="00000000" w14:paraId="00000427">
            <w:pPr>
              <w:rPr/>
            </w:pPr>
            <w:r w:rsidRPr="00000000" w:rsidDel="00000000" w:rsidR="00000000">
              <w:rPr>
                <w:rtl w:val="0"/>
              </w:rPr>
              <w:t xml:space="preserve">Sampling Supervisory Review Criteria (Category 2)</w:t>
            </w:r>
          </w:p>
        </w:tc>
        <w:tc>
          <w:tcPr/>
          <w:p w:rsidRPr="00000000" w:rsidR="00000000" w:rsidDel="00000000" w:rsidP="00000000" w:rsidRDefault="00000000" w14:paraId="00000428">
            <w:pPr>
              <w:numPr>
                <w:ilvl w:val="0"/>
                <w:numId w:val="22"/>
              </w:numPr>
              <w:spacing w:line="276" w:lineRule="auto"/>
              <w:ind w:left="360"/>
              <w:jc w:val="both"/>
              <w:rPr>
                <w:rFonts w:ascii="Arial" w:hAnsi="Arial" w:eastAsia="Arial" w:cs="Arial"/>
              </w:rPr>
            </w:pPr>
            <w:r w:rsidRPr="00000000" w:rsidDel="00000000" w:rsidR="00000000">
              <w:rPr>
                <w:rtl w:val="0"/>
              </w:rPr>
              <w:t xml:space="preserve">Post-CTM: All Offboarding cases (100%);</w:t>
            </w:r>
          </w:p>
          <w:p w:rsidRPr="00000000" w:rsidR="00000000" w:rsidDel="00000000" w:rsidP="00000000" w:rsidRDefault="00000000" w14:paraId="00000429">
            <w:pPr>
              <w:numPr>
                <w:ilvl w:val="0"/>
                <w:numId w:val="22"/>
              </w:numPr>
              <w:spacing w:line="276" w:lineRule="auto"/>
              <w:ind w:left="360"/>
              <w:jc w:val="both"/>
              <w:rPr>
                <w:rFonts w:ascii="Arial" w:hAnsi="Arial" w:eastAsia="Arial" w:cs="Arial"/>
              </w:rPr>
            </w:pPr>
            <w:r w:rsidRPr="00000000" w:rsidDel="00000000" w:rsidR="00000000">
              <w:rPr>
                <w:rtl w:val="0"/>
              </w:rPr>
              <w:t xml:space="preserve">Post-CTM: All Closures (10%) excluding Category 1 cases;</w:t>
            </w:r>
          </w:p>
          <w:p w:rsidRPr="00000000" w:rsidR="00000000" w:rsidDel="00000000" w:rsidP="00000000" w:rsidRDefault="00000000" w14:paraId="0000042A">
            <w:pPr>
              <w:numPr>
                <w:ilvl w:val="0"/>
                <w:numId w:val="22"/>
              </w:numPr>
              <w:spacing w:after="200" w:line="276" w:lineRule="auto"/>
              <w:ind w:left="360"/>
              <w:jc w:val="both"/>
              <w:rPr>
                <w:rFonts w:ascii="Arial" w:hAnsi="Arial" w:eastAsia="Arial" w:cs="Arial"/>
              </w:rPr>
            </w:pPr>
            <w:r w:rsidRPr="00000000" w:rsidDel="00000000" w:rsidR="00000000">
              <w:rPr>
                <w:rtl w:val="0"/>
              </w:rPr>
              <w:t xml:space="preserve">Live-CTM: All Escalations (10%)</w:t>
            </w:r>
          </w:p>
        </w:tc>
      </w:tr>
    </w:tbl>
    <w:p w:rsidRPr="00000000" w:rsidR="00000000" w:rsidDel="00000000" w:rsidP="00000000" w:rsidRDefault="00000000" w14:paraId="0000042B">
      <w:pPr>
        <w:spacing w:after="0" w:lineRule="auto"/>
        <w:jc w:val="both"/>
        <w:rPr/>
      </w:pPr>
      <w:r w:rsidRPr="00000000" w:rsidDel="00000000" w:rsidR="00000000">
        <w:rPr>
          <w:rtl w:val="0"/>
        </w:rPr>
        <w:t xml:space="preserve"> </w:t>
      </w:r>
    </w:p>
    <w:p w:rsidRPr="00000000" w:rsidR="00000000" w:rsidDel="00000000" w:rsidP="00000000" w:rsidRDefault="00000000" w14:paraId="0000042C">
      <w:pPr>
        <w:spacing w:after="240" w:lineRule="auto"/>
        <w:ind w:firstLine="720"/>
        <w:jc w:val="both"/>
        <w:rPr>
          <w:b w:val="1"/>
          <w:bCs w:val="1"/>
          <w:u w:val="single"/>
        </w:rPr>
      </w:pPr>
      <w:bookmarkStart w:name="_heading=h.w5w86bpm5pfh" w:colFirst="0" w:colLast="0" w:id="223"/>
      <w:bookmarkEnd w:id="223"/>
      <w:r w:rsidRPr="00000000" w:rsidDel="00000000" w:rsidR="00000000">
        <w:rPr>
          <w:b w:val="1"/>
          <w:bCs w:val="1"/>
          <w:u w:val="single"/>
          <w:rtl w:val="0"/>
        </w:rPr>
        <w:t xml:space="preserve">Sampling Supervisory Review Criteria </w:t>
      </w:r>
    </w:p>
    <w:p w:rsidRPr="00000000" w:rsidR="00000000" w:rsidDel="00000000" w:rsidP="00000000" w:rsidRDefault="00000000" w14:paraId="0000042D">
      <w:pPr>
        <w:numPr>
          <w:ilvl w:val="2"/>
          <w:numId w:val="25"/>
        </w:numPr>
        <w:spacing w:after="240" w:lineRule="auto"/>
        <w:ind w:left="720"/>
        <w:jc w:val="both"/>
        <w:rPr/>
      </w:pPr>
      <w:bookmarkStart w:name="_heading=h.u3wqehwic7hm" w:colFirst="0" w:colLast="0" w:id="224"/>
      <w:bookmarkEnd w:id="224"/>
      <w:r w:rsidRPr="00000000" w:rsidDel="00000000" w:rsidR="00000000">
        <w:rPr>
          <w:rtl w:val="0"/>
        </w:rPr>
        <w:t xml:space="preserve">The Analyst (</w:t>
      </w:r>
      <w:r w:rsidRPr="00000000" w:rsidDel="00000000" w:rsidR="00000000">
        <w:rPr>
          <w:rtl w:val="0"/>
        </w:rPr>
        <w:t xml:space="preserve">Maker</w:t>
      </w:r>
      <w:r w:rsidRPr="00000000" w:rsidDel="00000000" w:rsidR="00000000">
        <w:rPr>
          <w:rtl w:val="0"/>
        </w:rPr>
        <w:t xml:space="preserve">) has the following primary actions when working on a case: </w:t>
      </w:r>
    </w:p>
    <w:p w:rsidRPr="00000000" w:rsidR="00000000" w:rsidDel="00000000" w:rsidP="00000000" w:rsidRDefault="00000000" w14:paraId="0000042E">
      <w:pPr>
        <w:numPr>
          <w:ilvl w:val="0"/>
          <w:numId w:val="28"/>
        </w:numPr>
        <w:spacing w:after="0" w:lineRule="auto"/>
        <w:ind w:left="1080" w:hanging="360"/>
        <w:jc w:val="both"/>
        <w:rPr>
          <w:rFonts w:ascii="Arial" w:hAnsi="Arial" w:eastAsia="Arial" w:cs="Arial"/>
        </w:rPr>
      </w:pPr>
      <w:r w:rsidRPr="00000000" w:rsidDel="00000000" w:rsidR="00000000">
        <w:rPr>
          <w:u w:val="single"/>
          <w:rtl w:val="0"/>
        </w:rPr>
        <w:t xml:space="preserve">Recommend to Escalate</w:t>
      </w:r>
      <w:r w:rsidRPr="00000000" w:rsidDel="00000000" w:rsidR="00000000">
        <w:rPr>
          <w:rtl w:val="0"/>
        </w:rPr>
        <w:t xml:space="preserve">: To escalate a case that requires further analysis or attention.</w:t>
      </w:r>
    </w:p>
    <w:p w:rsidRPr="00000000" w:rsidR="00000000" w:rsidDel="00000000" w:rsidP="00000000" w:rsidRDefault="00000000" w14:paraId="0000042F">
      <w:pPr>
        <w:numPr>
          <w:ilvl w:val="0"/>
          <w:numId w:val="28"/>
        </w:numPr>
        <w:spacing w:after="0" w:lineRule="auto"/>
        <w:ind w:left="1080" w:hanging="360"/>
        <w:jc w:val="both"/>
        <w:rPr>
          <w:rFonts w:ascii="Arial" w:hAnsi="Arial" w:eastAsia="Arial" w:cs="Arial"/>
        </w:rPr>
      </w:pPr>
      <w:r w:rsidRPr="00000000" w:rsidDel="00000000" w:rsidR="00000000">
        <w:rPr>
          <w:u w:val="single"/>
          <w:rtl w:val="0"/>
        </w:rPr>
        <w:t xml:space="preserve">Recommend to Close</w:t>
      </w:r>
      <w:r w:rsidRPr="00000000" w:rsidDel="00000000" w:rsidR="00000000">
        <w:rPr>
          <w:rtl w:val="0"/>
        </w:rPr>
        <w:t xml:space="preserve">: For cases that can be concluded without further escalation.</w:t>
      </w:r>
    </w:p>
    <w:p w:rsidRPr="00000000" w:rsidR="00000000" w:rsidDel="00000000" w:rsidP="00000000" w:rsidRDefault="00000000" w14:paraId="00000430">
      <w:pPr>
        <w:numPr>
          <w:ilvl w:val="0"/>
          <w:numId w:val="28"/>
        </w:numPr>
        <w:spacing w:after="240" w:lineRule="auto"/>
        <w:ind w:left="1080" w:hanging="360"/>
        <w:jc w:val="both"/>
        <w:rPr>
          <w:rFonts w:ascii="Arial" w:hAnsi="Arial" w:eastAsia="Arial" w:cs="Arial"/>
        </w:rPr>
      </w:pPr>
      <w:r w:rsidRPr="00000000" w:rsidDel="00000000" w:rsidR="00000000">
        <w:rPr>
          <w:u w:val="single"/>
          <w:rtl w:val="0"/>
        </w:rPr>
        <w:t xml:space="preserve">Recommend to Offboard</w:t>
      </w:r>
      <w:r w:rsidRPr="00000000" w:rsidDel="00000000" w:rsidR="00000000">
        <w:rPr>
          <w:rtl w:val="0"/>
        </w:rPr>
        <w:t xml:space="preserve">: For cases that could be offboarded based on our approved procedure.</w:t>
      </w:r>
    </w:p>
    <w:p w:rsidRPr="00000000" w:rsidR="00000000" w:rsidDel="00000000" w:rsidP="00000000" w:rsidRDefault="00000000" w14:paraId="00000431">
      <w:pPr>
        <w:spacing w:after="240" w:lineRule="auto"/>
        <w:ind w:left="720" w:firstLine="0"/>
        <w:jc w:val="both"/>
        <w:rPr/>
      </w:pPr>
      <w:bookmarkStart w:name="_heading=h.4j7opan4x3so" w:colFirst="0" w:colLast="0" w:id="225"/>
      <w:bookmarkEnd w:id="225"/>
      <w:r w:rsidRPr="00000000" w:rsidDel="00000000" w:rsidR="00000000">
        <w:rPr>
          <w:rtl w:val="0"/>
        </w:rPr>
        <w:t xml:space="preserve">Makers who select "Escalate" or "Close" for cases will receive a notification similar to the checker process, with the added option to send an RFI to the user, as detailed under Point 5 of the </w:t>
      </w:r>
      <w:hyperlink r:id="rId39">
        <w:r w:rsidRPr="00000000" w:rsidDel="00000000" w:rsidR="00000000">
          <w:rPr>
            <w:color w:val="1155cc"/>
            <w:u w:val="single"/>
            <w:rtl w:val="0"/>
          </w:rPr>
          <w:t xml:space="preserve">Auto RFI functionality </w:t>
        </w:r>
      </w:hyperlink>
      <w:r w:rsidRPr="00000000" w:rsidDel="00000000" w:rsidR="00000000">
        <w:rPr>
          <w:rtl w:val="0"/>
        </w:rPr>
        <w:t xml:space="preserve">. Additionally, offboarding actions for cases will be subjected to a 100% review in the task pool for checker evaluation.</w:t>
      </w:r>
    </w:p>
    <w:p w:rsidRPr="00000000" w:rsidR="00000000" w:rsidDel="00000000" w:rsidP="00000000" w:rsidRDefault="00000000" w14:paraId="00000432">
      <w:pPr>
        <w:numPr>
          <w:ilvl w:val="2"/>
          <w:numId w:val="25"/>
        </w:numPr>
        <w:spacing w:after="240" w:lineRule="auto"/>
        <w:ind w:left="720"/>
        <w:jc w:val="both"/>
        <w:rPr/>
      </w:pPr>
      <w:bookmarkStart w:name="_heading=h.6g51dpa3a3ir" w:colFirst="0" w:colLast="0" w:id="226"/>
      <w:bookmarkEnd w:id="226"/>
      <w:r w:rsidRPr="00000000" w:rsidDel="00000000" w:rsidR="00000000">
        <w:rPr>
          <w:rtl w:val="0"/>
        </w:rPr>
        <w:t xml:space="preserve">With respect to cases that are recommended to be escalated and closed:</w:t>
      </w:r>
    </w:p>
    <w:p w:rsidRPr="00000000" w:rsidR="00000000" w:rsidDel="00000000" w:rsidP="00000000" w:rsidRDefault="00000000" w14:paraId="00000433">
      <w:pPr>
        <w:numPr>
          <w:ilvl w:val="0"/>
          <w:numId w:val="28"/>
        </w:numPr>
        <w:spacing w:after="0" w:lineRule="auto"/>
        <w:ind w:left="1080" w:hanging="360"/>
        <w:jc w:val="both"/>
        <w:rPr>
          <w:rFonts w:ascii="Arial" w:hAnsi="Arial" w:eastAsia="Arial" w:cs="Arial"/>
        </w:rPr>
      </w:pPr>
      <w:r w:rsidRPr="00000000" w:rsidDel="00000000" w:rsidR="00000000">
        <w:rPr>
          <w:rtl w:val="0"/>
        </w:rPr>
        <w:t xml:space="preserve">10% of cases are routed to the task pool with the status "Pending Checker Queue" for further review.</w:t>
      </w:r>
    </w:p>
    <w:p w:rsidRPr="00000000" w:rsidR="00000000" w:rsidDel="00000000" w:rsidP="00000000" w:rsidRDefault="00000000" w14:paraId="00000434">
      <w:pPr>
        <w:numPr>
          <w:ilvl w:val="0"/>
          <w:numId w:val="28"/>
        </w:numPr>
        <w:spacing w:after="0" w:lineRule="auto"/>
        <w:ind w:left="1080" w:hanging="360"/>
        <w:jc w:val="both"/>
        <w:rPr>
          <w:rFonts w:ascii="Arial" w:hAnsi="Arial" w:eastAsia="Arial" w:cs="Arial"/>
        </w:rPr>
      </w:pPr>
      <w:r w:rsidRPr="00000000" w:rsidDel="00000000" w:rsidR="00000000">
        <w:rPr>
          <w:rtl w:val="0"/>
        </w:rPr>
        <w:t xml:space="preserve">90% of cases are marked as "Closed" with standard closure wording.</w:t>
      </w:r>
    </w:p>
    <w:p w:rsidRPr="00000000" w:rsidR="00000000" w:rsidDel="00000000" w:rsidP="00000000" w:rsidRDefault="00000000" w14:paraId="00000435">
      <w:pPr>
        <w:numPr>
          <w:ilvl w:val="0"/>
          <w:numId w:val="28"/>
        </w:numPr>
        <w:spacing w:after="240" w:lineRule="auto"/>
        <w:ind w:left="1080" w:hanging="360"/>
        <w:jc w:val="both"/>
        <w:rPr>
          <w:rFonts w:ascii="Arial" w:hAnsi="Arial" w:eastAsia="Arial" w:cs="Arial"/>
        </w:rPr>
      </w:pPr>
      <w:r w:rsidRPr="00000000" w:rsidDel="00000000" w:rsidR="00000000">
        <w:rPr>
          <w:rtl w:val="0"/>
        </w:rPr>
        <w:t xml:space="preserve">Offboarding Cases: All offboarding cases require a 100% review by the checker.</w:t>
      </w:r>
    </w:p>
    <w:p w:rsidRPr="00000000" w:rsidR="00000000" w:rsidDel="00000000" w:rsidP="00000000" w:rsidRDefault="00000000" w14:paraId="00000436">
      <w:pPr>
        <w:numPr>
          <w:ilvl w:val="2"/>
          <w:numId w:val="25"/>
        </w:numPr>
        <w:spacing w:after="240" w:lineRule="auto"/>
        <w:ind w:left="720"/>
        <w:jc w:val="both"/>
        <w:rPr/>
      </w:pPr>
      <w:bookmarkStart w:name="_heading=h.n8jr3obswxdc" w:colFirst="0" w:colLast="0" w:id="227"/>
      <w:bookmarkEnd w:id="227"/>
      <w:r w:rsidRPr="00000000" w:rsidDel="00000000" w:rsidR="00000000">
        <w:rPr>
          <w:rtl w:val="0"/>
        </w:rPr>
        <w:t xml:space="preserve">Generally, cases are submitted into the system, with every 10th case, or a predefined number, flagged for detailed checker review. Flagged cases are immediately identified and routed to the task pool for evaluation by the checker. The remaining 9 cases are processed and closed following the standard procedure. This approach ensures a well-structured balance between automated processing and manual oversight.</w:t>
      </w:r>
    </w:p>
    <w:p w:rsidRPr="00000000" w:rsidR="00000000" w:rsidDel="00000000" w:rsidP="00000000" w:rsidRDefault="00000000" w14:paraId="00000437">
      <w:pPr>
        <w:numPr>
          <w:ilvl w:val="2"/>
          <w:numId w:val="25"/>
        </w:numPr>
        <w:spacing w:after="240" w:lineRule="auto"/>
        <w:ind w:left="720"/>
        <w:jc w:val="both"/>
        <w:rPr/>
      </w:pPr>
      <w:bookmarkStart w:name="_heading=h.fkanso8lybkx" w:colFirst="0" w:colLast="0" w:id="228"/>
      <w:bookmarkEnd w:id="228"/>
      <w:r w:rsidRPr="00000000" w:rsidDel="00000000" w:rsidR="00000000">
        <w:rPr>
          <w:rtl w:val="0"/>
        </w:rPr>
        <w:t xml:space="preserve">Checkers/TLs should perform sampling checks as follows: </w:t>
      </w:r>
    </w:p>
    <w:p w:rsidRPr="00000000" w:rsidR="00000000" w:rsidDel="00000000" w:rsidP="00000000" w:rsidRDefault="00000000" w14:paraId="00000438">
      <w:pPr>
        <w:numPr>
          <w:ilvl w:val="0"/>
          <w:numId w:val="28"/>
        </w:numPr>
        <w:spacing w:after="0" w:lineRule="auto"/>
        <w:ind w:left="1080" w:hanging="360"/>
        <w:jc w:val="both"/>
        <w:rPr>
          <w:rFonts w:ascii="Arial" w:hAnsi="Arial" w:eastAsia="Arial" w:cs="Arial"/>
        </w:rPr>
      </w:pPr>
      <w:r w:rsidRPr="00000000" w:rsidDel="00000000" w:rsidR="00000000">
        <w:rPr>
          <w:rtl w:val="0"/>
        </w:rPr>
        <w:t xml:space="preserve">Cases “recommended to close” by makers - 10% mandatory supervisory review will be applied, with standard phrasing utilized for auto-concluded cases. Cases that were wrongly closed are escalated via Back-end User Report Tool or Offboarding Management Tool;</w:t>
      </w:r>
    </w:p>
    <w:p w:rsidRPr="00000000" w:rsidR="00000000" w:rsidDel="00000000" w:rsidP="00000000" w:rsidRDefault="00000000" w14:paraId="00000439">
      <w:pPr>
        <w:numPr>
          <w:ilvl w:val="0"/>
          <w:numId w:val="28"/>
        </w:numPr>
        <w:spacing w:after="240" w:lineRule="auto"/>
        <w:ind w:left="1080" w:hanging="360"/>
        <w:jc w:val="both"/>
        <w:rPr>
          <w:rFonts w:ascii="Arial" w:hAnsi="Arial" w:eastAsia="Arial" w:cs="Arial"/>
        </w:rPr>
      </w:pPr>
      <w:r w:rsidRPr="00000000" w:rsidDel="00000000" w:rsidR="00000000">
        <w:rPr>
          <w:rtl w:val="0"/>
        </w:rPr>
        <w:t xml:space="preserve">Cases “recommended to escalate” by makers - 10% sampling. The remaining 90% cases are finalized without supervisory checks by makers themselves. Standard phrasing applied to auto-concluded cases. </w:t>
      </w:r>
    </w:p>
    <w:tbl>
      <w:tblPr>
        <w:tblStyle w:val="Table24"/>
        <w:tblW w:w="9000.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
      <w:tblGrid>
        <w:gridCol w:w="1650"/>
        <w:gridCol w:w="2565"/>
        <w:gridCol w:w="4785"/>
        <w:tblGridChange w:id="0">
          <w:tblGrid>
            <w:gridCol w:w="1650"/>
            <w:gridCol w:w="2565"/>
            <w:gridCol w:w="4785"/>
          </w:tblGrid>
        </w:tblGridChange>
      </w:tblGrid>
      <w:tr>
        <w:trPr>
          <w:cantSplit w:val="0"/>
          <w:trHeight w:val="345" w:hRule="atLeast"/>
          <w:tblHeader w:val="0"/>
        </w:trPr>
        <w:tc>
          <w:tcPr>
            <w:tcBorders>
              <w:top w:val="single" w:color="000000" w:sz="6" w:space="0"/>
              <w:left w:val="single" w:color="000000" w:sz="6" w:space="0"/>
              <w:bottom w:val="single" w:color="000000" w:sz="6" w:space="0"/>
              <w:right w:val="single" w:color="000000" w:sz="6" w:space="0"/>
            </w:tcBorders>
            <w:shd w:val="clear" w:fill="00ffff"/>
            <w:tcMar>
              <w:top w:w="40.0" w:type="dxa"/>
              <w:left w:w="40.0" w:type="dxa"/>
              <w:bottom w:w="40.0" w:type="dxa"/>
              <w:right w:w="40.0" w:type="dxa"/>
            </w:tcMar>
          </w:tcPr>
          <w:p w:rsidRPr="00000000" w:rsidR="00000000" w:rsidDel="00000000" w:rsidP="00000000" w:rsidRDefault="00000000" w14:paraId="0000043A">
            <w:pPr>
              <w:spacing w:after="0" w:lineRule="auto"/>
              <w:jc w:val="center"/>
              <w:rPr>
                <w:b w:val="1"/>
                <w:bCs w:val="1"/>
              </w:rPr>
            </w:pPr>
            <w:r w:rsidRPr="00000000" w:rsidDel="00000000" w:rsidR="00000000">
              <w:rPr>
                <w:b w:val="1"/>
                <w:bCs w:val="1"/>
                <w:rtl w:val="0"/>
              </w:rPr>
              <w:t xml:space="preserve">Case type</w:t>
            </w:r>
          </w:p>
        </w:tc>
        <w:tc>
          <w:tcPr>
            <w:tcBorders>
              <w:top w:val="single" w:color="000000" w:sz="6" w:space="0"/>
              <w:left w:val="nil" w:color="000000" w:sz="0" w:space="0"/>
              <w:bottom w:val="single" w:color="000000" w:sz="6" w:space="0"/>
              <w:right w:val="single" w:color="000000" w:sz="6" w:space="0"/>
            </w:tcBorders>
            <w:shd w:val="clear" w:fill="cfe2f3"/>
            <w:tcMar>
              <w:top w:w="40.0" w:type="dxa"/>
              <w:left w:w="40.0" w:type="dxa"/>
              <w:bottom w:w="40.0" w:type="dxa"/>
              <w:right w:w="40.0" w:type="dxa"/>
            </w:tcMar>
          </w:tcPr>
          <w:p w:rsidRPr="00000000" w:rsidR="00000000" w:rsidDel="00000000" w:rsidP="00000000" w:rsidRDefault="00000000" w14:paraId="0000043B">
            <w:pPr>
              <w:spacing w:after="0" w:lineRule="auto"/>
              <w:jc w:val="center"/>
              <w:rPr>
                <w:b w:val="1"/>
                <w:bCs w:val="1"/>
              </w:rPr>
            </w:pPr>
            <w:r w:rsidRPr="00000000" w:rsidDel="00000000" w:rsidR="00000000">
              <w:rPr>
                <w:b w:val="1"/>
                <w:bCs w:val="1"/>
                <w:rtl w:val="0"/>
              </w:rPr>
              <w:t xml:space="preserve">Alert outcome</w:t>
            </w:r>
          </w:p>
        </w:tc>
        <w:tc>
          <w:tcPr>
            <w:tcBorders>
              <w:top w:val="single" w:color="000000" w:sz="6" w:space="0"/>
              <w:left w:val="nil" w:color="000000" w:sz="0" w:space="0"/>
              <w:bottom w:val="single" w:color="000000" w:sz="6" w:space="0"/>
              <w:right w:val="single" w:color="000000" w:sz="6" w:space="0"/>
            </w:tcBorders>
            <w:shd w:val="clear" w:fill="cfe2f3"/>
            <w:tcMar>
              <w:top w:w="40.0" w:type="dxa"/>
              <w:left w:w="40.0" w:type="dxa"/>
              <w:bottom w:w="40.0" w:type="dxa"/>
              <w:right w:w="40.0" w:type="dxa"/>
            </w:tcMar>
          </w:tcPr>
          <w:p w:rsidRPr="00000000" w:rsidR="00000000" w:rsidDel="00000000" w:rsidP="00000000" w:rsidRDefault="00000000" w14:paraId="0000043C">
            <w:pPr>
              <w:spacing w:after="0" w:lineRule="auto"/>
              <w:jc w:val="center"/>
              <w:rPr>
                <w:b w:val="1"/>
                <w:bCs w:val="1"/>
              </w:rPr>
            </w:pPr>
            <w:r w:rsidRPr="00000000" w:rsidDel="00000000" w:rsidR="00000000">
              <w:rPr>
                <w:b w:val="1"/>
                <w:bCs w:val="1"/>
                <w:rtl w:val="0"/>
              </w:rPr>
              <w:t xml:space="preserve">Percentage of supervisory reviews</w:t>
            </w:r>
          </w:p>
        </w:tc>
      </w:tr>
      <w:tr>
        <w:trPr>
          <w:cantSplit w:val="0"/>
          <w:trHeight w:val="82" w:hRule="atLeast"/>
          <w:tblHeader w:val="0"/>
        </w:trPr>
        <w:tc>
          <w:tcPr>
            <w:tcBorders>
              <w:top w:val="nil" w:color="000000" w:sz="0" w:space="0"/>
              <w:left w:val="single" w:color="000000" w:sz="6" w:space="0"/>
              <w:bottom w:val="single" w:color="000000" w:sz="6" w:space="0"/>
              <w:right w:val="single" w:color="000000" w:sz="6" w:space="0"/>
            </w:tcBorders>
            <w:shd w:val="clear" w:fill="f9cb9c"/>
            <w:tcMar>
              <w:top w:w="40.0" w:type="dxa"/>
              <w:left w:w="40.0" w:type="dxa"/>
              <w:bottom w:w="40.0" w:type="dxa"/>
              <w:right w:w="40.0" w:type="dxa"/>
            </w:tcMar>
          </w:tcPr>
          <w:p w:rsidRPr="00000000" w:rsidR="00000000" w:rsidDel="00000000" w:rsidP="00000000" w:rsidRDefault="00000000" w14:paraId="0000043D">
            <w:pPr>
              <w:spacing w:after="0" w:line="240" w:lineRule="auto"/>
              <w:ind w:left="700" w:right="135" w:hanging="430"/>
              <w:jc w:val="center"/>
              <w:rPr/>
            </w:pPr>
            <w:r w:rsidRPr="00000000" w:rsidDel="00000000" w:rsidR="00000000">
              <w:rPr>
                <w:rtl w:val="0"/>
              </w:rPr>
              <w:t xml:space="preserve">Post</w:t>
            </w:r>
          </w:p>
        </w:tc>
        <w:tc>
          <w:tcPr>
            <w:tcBorders>
              <w:top w:val="nil" w:color="000000" w:sz="0" w:space="0"/>
              <w:left w:val="nil" w:color="000000" w:sz="0" w:space="0"/>
              <w:bottom w:val="single" w:color="000000" w:sz="6" w:space="0"/>
              <w:right w:val="single" w:color="000000" w:sz="6" w:space="0"/>
            </w:tcBorders>
            <w:shd w:val="clear" w:fill="fce5cd"/>
            <w:tcMar>
              <w:top w:w="40.0" w:type="dxa"/>
              <w:left w:w="40.0" w:type="dxa"/>
              <w:bottom w:w="40.0" w:type="dxa"/>
              <w:right w:w="40.0" w:type="dxa"/>
            </w:tcMar>
          </w:tcPr>
          <w:p w:rsidRPr="00000000" w:rsidR="00000000" w:rsidDel="00000000" w:rsidP="00000000" w:rsidRDefault="00000000" w14:paraId="0000043E">
            <w:pPr>
              <w:spacing w:after="0" w:line="240" w:lineRule="auto"/>
              <w:ind w:left="700" w:right="480" w:firstLine="0"/>
              <w:jc w:val="center"/>
              <w:rPr/>
            </w:pPr>
            <w:r w:rsidRPr="00000000" w:rsidDel="00000000" w:rsidR="00000000">
              <w:rPr>
                <w:rtl w:val="0"/>
              </w:rPr>
              <w:t xml:space="preserve">Offboard</w:t>
            </w:r>
          </w:p>
        </w:tc>
        <w:tc>
          <w:tcPr>
            <w:tcBorders>
              <w:top w:val="nil" w:color="000000" w:sz="0" w:space="0"/>
              <w:left w:val="nil" w:color="000000" w:sz="0" w:space="0"/>
              <w:bottom w:val="single" w:color="000000" w:sz="6" w:space="0"/>
              <w:right w:val="single" w:color="000000" w:sz="6" w:space="0"/>
            </w:tcBorders>
            <w:shd w:val="clear" w:fill="fce5cd"/>
            <w:tcMar>
              <w:top w:w="40.0" w:type="dxa"/>
              <w:left w:w="40.0" w:type="dxa"/>
              <w:bottom w:w="40.0" w:type="dxa"/>
              <w:right w:w="40.0" w:type="dxa"/>
            </w:tcMar>
          </w:tcPr>
          <w:p w:rsidRPr="00000000" w:rsidR="00000000" w:rsidDel="00000000" w:rsidP="00000000" w:rsidRDefault="00000000" w14:paraId="0000043F">
            <w:pPr>
              <w:spacing w:after="0" w:line="240" w:lineRule="auto"/>
              <w:ind w:left="700" w:right="1095" w:firstLine="0"/>
              <w:jc w:val="center"/>
              <w:rPr/>
            </w:pPr>
            <w:r w:rsidRPr="00000000" w:rsidDel="00000000" w:rsidR="00000000">
              <w:rPr>
                <w:rtl w:val="0"/>
              </w:rPr>
              <w:t xml:space="preserve">10%</w:t>
            </w:r>
          </w:p>
        </w:tc>
      </w:tr>
      <w:tr>
        <w:trPr>
          <w:cantSplit w:val="0"/>
          <w:trHeight w:val="390" w:hRule="atLeast"/>
          <w:tblHeader w:val="0"/>
        </w:trPr>
        <w:tc>
          <w:tcPr>
            <w:tcBorders>
              <w:top w:val="nil" w:color="000000" w:sz="0" w:space="0"/>
              <w:left w:val="single" w:color="000000" w:sz="6" w:space="0"/>
              <w:bottom w:val="single" w:color="000000" w:sz="6" w:space="0"/>
              <w:right w:val="single" w:color="000000" w:sz="6" w:space="0"/>
            </w:tcBorders>
            <w:shd w:val="clear" w:fill="f9cb9c"/>
            <w:tcMar>
              <w:top w:w="40.0" w:type="dxa"/>
              <w:left w:w="40.0" w:type="dxa"/>
              <w:bottom w:w="40.0" w:type="dxa"/>
              <w:right w:w="40.0" w:type="dxa"/>
            </w:tcMar>
          </w:tcPr>
          <w:p w:rsidRPr="00000000" w:rsidR="00000000" w:rsidDel="00000000" w:rsidP="00000000" w:rsidRDefault="00000000" w14:paraId="00000440">
            <w:pPr>
              <w:spacing w:after="0" w:line="240" w:lineRule="auto"/>
              <w:ind w:left="700" w:right="135" w:hanging="430"/>
              <w:jc w:val="center"/>
              <w:rPr/>
            </w:pPr>
            <w:r w:rsidRPr="00000000" w:rsidDel="00000000" w:rsidR="00000000">
              <w:rPr>
                <w:rtl w:val="0"/>
              </w:rPr>
              <w:t xml:space="preserve">Post</w:t>
            </w:r>
          </w:p>
        </w:tc>
        <w:tc>
          <w:tcPr>
            <w:tcBorders>
              <w:top w:val="nil" w:color="000000" w:sz="0" w:space="0"/>
              <w:left w:val="nil" w:color="000000" w:sz="0" w:space="0"/>
              <w:bottom w:val="single" w:color="000000" w:sz="6" w:space="0"/>
              <w:right w:val="single" w:color="000000" w:sz="6" w:space="0"/>
            </w:tcBorders>
            <w:shd w:val="clear" w:fill="fce5cd"/>
            <w:tcMar>
              <w:top w:w="40.0" w:type="dxa"/>
              <w:left w:w="40.0" w:type="dxa"/>
              <w:bottom w:w="40.0" w:type="dxa"/>
              <w:right w:w="40.0" w:type="dxa"/>
            </w:tcMar>
          </w:tcPr>
          <w:p w:rsidRPr="00000000" w:rsidR="00000000" w:rsidDel="00000000" w:rsidP="00000000" w:rsidRDefault="00000000" w14:paraId="00000441">
            <w:pPr>
              <w:spacing w:after="0" w:line="240" w:lineRule="auto"/>
              <w:ind w:left="700" w:right="480" w:firstLine="0"/>
              <w:jc w:val="center"/>
              <w:rPr/>
            </w:pPr>
            <w:r w:rsidRPr="00000000" w:rsidDel="00000000" w:rsidR="00000000">
              <w:rPr>
                <w:rtl w:val="0"/>
              </w:rPr>
              <w:t xml:space="preserve">Escalate</w:t>
            </w:r>
          </w:p>
        </w:tc>
        <w:tc>
          <w:tcPr>
            <w:tcBorders>
              <w:top w:val="nil" w:color="000000" w:sz="0" w:space="0"/>
              <w:left w:val="nil" w:color="000000" w:sz="0" w:space="0"/>
              <w:bottom w:val="single" w:color="000000" w:sz="6" w:space="0"/>
              <w:right w:val="single" w:color="000000" w:sz="6" w:space="0"/>
            </w:tcBorders>
            <w:shd w:val="clear" w:fill="fce5cd"/>
            <w:tcMar>
              <w:top w:w="40.0" w:type="dxa"/>
              <w:left w:w="40.0" w:type="dxa"/>
              <w:bottom w:w="40.0" w:type="dxa"/>
              <w:right w:w="40.0" w:type="dxa"/>
            </w:tcMar>
          </w:tcPr>
          <w:p w:rsidRPr="00000000" w:rsidR="00000000" w:rsidDel="00000000" w:rsidP="00000000" w:rsidRDefault="00000000" w14:paraId="00000442">
            <w:pPr>
              <w:spacing w:after="0" w:line="240" w:lineRule="auto"/>
              <w:ind w:left="700" w:right="1095" w:firstLine="0"/>
              <w:jc w:val="center"/>
              <w:rPr/>
            </w:pPr>
            <w:r w:rsidRPr="00000000" w:rsidDel="00000000" w:rsidR="00000000">
              <w:rPr>
                <w:rtl w:val="0"/>
              </w:rPr>
              <w:t xml:space="preserve">10%</w:t>
            </w:r>
          </w:p>
        </w:tc>
      </w:tr>
      <w:tr>
        <w:trPr>
          <w:cantSplit w:val="0"/>
          <w:trHeight w:val="390" w:hRule="atLeast"/>
          <w:tblHeader w:val="0"/>
        </w:trPr>
        <w:tc>
          <w:tcPr>
            <w:tcBorders>
              <w:top w:val="nil" w:color="000000" w:sz="0" w:space="0"/>
              <w:left w:val="single" w:color="000000" w:sz="6" w:space="0"/>
              <w:bottom w:val="single" w:color="000000" w:sz="6" w:space="0"/>
              <w:right w:val="single" w:color="000000" w:sz="6" w:space="0"/>
            </w:tcBorders>
            <w:shd w:val="clear" w:fill="f9cb9c"/>
            <w:tcMar>
              <w:top w:w="40.0" w:type="dxa"/>
              <w:left w:w="40.0" w:type="dxa"/>
              <w:bottom w:w="40.0" w:type="dxa"/>
              <w:right w:w="40.0" w:type="dxa"/>
            </w:tcMar>
          </w:tcPr>
          <w:p w:rsidRPr="00000000" w:rsidR="00000000" w:rsidDel="00000000" w:rsidP="00000000" w:rsidRDefault="00000000" w14:paraId="00000443">
            <w:pPr>
              <w:spacing w:after="0" w:line="240" w:lineRule="auto"/>
              <w:ind w:left="700" w:right="135" w:hanging="430"/>
              <w:jc w:val="center"/>
              <w:rPr/>
            </w:pPr>
            <w:r w:rsidRPr="00000000" w:rsidDel="00000000" w:rsidR="00000000">
              <w:rPr>
                <w:rtl w:val="0"/>
              </w:rPr>
              <w:t xml:space="preserve">Post</w:t>
            </w:r>
          </w:p>
        </w:tc>
        <w:tc>
          <w:tcPr>
            <w:tcBorders>
              <w:top w:val="nil" w:color="000000" w:sz="0" w:space="0"/>
              <w:left w:val="nil" w:color="000000" w:sz="0" w:space="0"/>
              <w:bottom w:val="single" w:color="000000" w:sz="6" w:space="0"/>
              <w:right w:val="single" w:color="000000" w:sz="6" w:space="0"/>
            </w:tcBorders>
            <w:shd w:val="clear" w:fill="fce5cd"/>
            <w:tcMar>
              <w:top w:w="40.0" w:type="dxa"/>
              <w:left w:w="40.0" w:type="dxa"/>
              <w:bottom w:w="40.0" w:type="dxa"/>
              <w:right w:w="40.0" w:type="dxa"/>
            </w:tcMar>
          </w:tcPr>
          <w:p w:rsidRPr="00000000" w:rsidR="00000000" w:rsidDel="00000000" w:rsidP="00000000" w:rsidRDefault="00000000" w14:paraId="00000444">
            <w:pPr>
              <w:spacing w:after="0" w:line="240" w:lineRule="auto"/>
              <w:ind w:left="700" w:right="480" w:firstLine="0"/>
              <w:jc w:val="center"/>
              <w:rPr/>
            </w:pPr>
            <w:r w:rsidRPr="00000000" w:rsidDel="00000000" w:rsidR="00000000">
              <w:rPr>
                <w:rtl w:val="0"/>
              </w:rPr>
              <w:t xml:space="preserve">Close</w:t>
            </w:r>
          </w:p>
        </w:tc>
        <w:tc>
          <w:tcPr>
            <w:tcBorders>
              <w:top w:val="nil" w:color="000000" w:sz="0" w:space="0"/>
              <w:left w:val="nil" w:color="000000" w:sz="0" w:space="0"/>
              <w:bottom w:val="single" w:color="000000" w:sz="6" w:space="0"/>
              <w:right w:val="single" w:color="000000" w:sz="6" w:space="0"/>
            </w:tcBorders>
            <w:shd w:val="clear" w:fill="fce5cd"/>
            <w:tcMar>
              <w:top w:w="40.0" w:type="dxa"/>
              <w:left w:w="40.0" w:type="dxa"/>
              <w:bottom w:w="40.0" w:type="dxa"/>
              <w:right w:w="40.0" w:type="dxa"/>
            </w:tcMar>
          </w:tcPr>
          <w:p w:rsidRPr="00000000" w:rsidR="00000000" w:rsidDel="00000000" w:rsidP="00000000" w:rsidRDefault="00000000" w14:paraId="00000445">
            <w:pPr>
              <w:spacing w:after="0" w:line="240" w:lineRule="auto"/>
              <w:ind w:left="700" w:right="1095" w:firstLine="0"/>
              <w:jc w:val="center"/>
              <w:rPr/>
            </w:pPr>
            <w:r w:rsidRPr="00000000" w:rsidDel="00000000" w:rsidR="00000000">
              <w:rPr>
                <w:rtl w:val="0"/>
              </w:rPr>
              <w:t xml:space="preserve">10%</w:t>
            </w:r>
          </w:p>
        </w:tc>
      </w:tr>
      <w:tr>
        <w:trPr>
          <w:cantSplit w:val="0"/>
          <w:trHeight w:val="390" w:hRule="atLeast"/>
          <w:tblHeader w:val="0"/>
        </w:trPr>
        <w:tc>
          <w:tcPr>
            <w:tcBorders>
              <w:top w:val="nil" w:color="000000" w:sz="0" w:space="0"/>
              <w:left w:val="single" w:color="000000" w:sz="6" w:space="0"/>
              <w:bottom w:val="single" w:color="000000" w:sz="6" w:space="0"/>
              <w:right w:val="single" w:color="000000" w:sz="6" w:space="0"/>
            </w:tcBorders>
            <w:shd w:val="clear" w:fill="b6d7a8"/>
            <w:tcMar>
              <w:top w:w="40.0" w:type="dxa"/>
              <w:left w:w="40.0" w:type="dxa"/>
              <w:bottom w:w="40.0" w:type="dxa"/>
              <w:right w:w="40.0" w:type="dxa"/>
            </w:tcMar>
          </w:tcPr>
          <w:p w:rsidRPr="00000000" w:rsidR="00000000" w:rsidDel="00000000" w:rsidP="00000000" w:rsidRDefault="00000000" w14:paraId="00000446">
            <w:pPr>
              <w:spacing w:after="0" w:line="240" w:lineRule="auto"/>
              <w:ind w:left="700" w:right="135" w:hanging="430"/>
              <w:jc w:val="center"/>
              <w:rPr/>
            </w:pPr>
            <w:r w:rsidRPr="00000000" w:rsidDel="00000000" w:rsidR="00000000">
              <w:rPr>
                <w:rtl w:val="0"/>
              </w:rPr>
              <w:t xml:space="preserve">Live</w:t>
            </w:r>
          </w:p>
        </w:tc>
        <w:tc>
          <w:tcPr>
            <w:tcBorders>
              <w:top w:val="nil" w:color="000000" w:sz="0" w:space="0"/>
              <w:left w:val="nil" w:color="000000" w:sz="0" w:space="0"/>
              <w:bottom w:val="single" w:color="000000" w:sz="6" w:space="0"/>
              <w:right w:val="single" w:color="000000" w:sz="6" w:space="0"/>
            </w:tcBorders>
            <w:shd w:val="clear" w:fill="d9ead3"/>
            <w:tcMar>
              <w:top w:w="40.0" w:type="dxa"/>
              <w:left w:w="40.0" w:type="dxa"/>
              <w:bottom w:w="40.0" w:type="dxa"/>
              <w:right w:w="40.0" w:type="dxa"/>
            </w:tcMar>
          </w:tcPr>
          <w:p w:rsidRPr="00000000" w:rsidR="00000000" w:rsidDel="00000000" w:rsidP="00000000" w:rsidRDefault="00000000" w14:paraId="00000447">
            <w:pPr>
              <w:spacing w:after="0" w:line="240" w:lineRule="auto"/>
              <w:ind w:left="700" w:right="480" w:firstLine="0"/>
              <w:jc w:val="center"/>
              <w:rPr/>
            </w:pPr>
            <w:r w:rsidRPr="00000000" w:rsidDel="00000000" w:rsidR="00000000">
              <w:rPr>
                <w:rtl w:val="0"/>
              </w:rPr>
              <w:t xml:space="preserve">Offboard</w:t>
            </w:r>
          </w:p>
        </w:tc>
        <w:tc>
          <w:tcPr>
            <w:tcBorders>
              <w:top w:val="nil" w:color="000000" w:sz="0" w:space="0"/>
              <w:left w:val="nil" w:color="000000" w:sz="0" w:space="0"/>
              <w:bottom w:val="single" w:color="000000" w:sz="6" w:space="0"/>
              <w:right w:val="single" w:color="000000" w:sz="6" w:space="0"/>
            </w:tcBorders>
            <w:shd w:val="clear" w:fill="d9ead3"/>
            <w:tcMar>
              <w:top w:w="40.0" w:type="dxa"/>
              <w:left w:w="40.0" w:type="dxa"/>
              <w:bottom w:w="40.0" w:type="dxa"/>
              <w:right w:w="40.0" w:type="dxa"/>
            </w:tcMar>
          </w:tcPr>
          <w:p w:rsidRPr="00000000" w:rsidR="00000000" w:rsidDel="00000000" w:rsidP="00000000" w:rsidRDefault="00000000" w14:paraId="00000448">
            <w:pPr>
              <w:spacing w:after="0" w:line="240" w:lineRule="auto"/>
              <w:ind w:left="700" w:right="1095" w:firstLine="0"/>
              <w:jc w:val="center"/>
              <w:rPr/>
            </w:pPr>
            <w:r w:rsidRPr="00000000" w:rsidDel="00000000" w:rsidR="00000000">
              <w:rPr>
                <w:rtl w:val="0"/>
              </w:rPr>
              <w:t xml:space="preserve">10%</w:t>
            </w:r>
          </w:p>
        </w:tc>
      </w:tr>
      <w:tr>
        <w:trPr>
          <w:cantSplit w:val="0"/>
          <w:trHeight w:val="58" w:hRule="atLeast"/>
          <w:tblHeader w:val="0"/>
        </w:trPr>
        <w:tc>
          <w:tcPr>
            <w:tcBorders>
              <w:top w:val="nil" w:color="000000" w:sz="0" w:space="0"/>
              <w:left w:val="single" w:color="000000" w:sz="6" w:space="0"/>
              <w:bottom w:val="single" w:color="000000" w:sz="6" w:space="0"/>
              <w:right w:val="single" w:color="000000" w:sz="6" w:space="0"/>
            </w:tcBorders>
            <w:shd w:val="clear" w:fill="b6d7a8"/>
            <w:tcMar>
              <w:top w:w="40.0" w:type="dxa"/>
              <w:left w:w="40.0" w:type="dxa"/>
              <w:bottom w:w="40.0" w:type="dxa"/>
              <w:right w:w="40.0" w:type="dxa"/>
            </w:tcMar>
          </w:tcPr>
          <w:p w:rsidRPr="00000000" w:rsidR="00000000" w:rsidDel="00000000" w:rsidP="00000000" w:rsidRDefault="00000000" w14:paraId="00000449">
            <w:pPr>
              <w:spacing w:after="0" w:line="240" w:lineRule="auto"/>
              <w:ind w:left="700" w:right="135" w:hanging="430"/>
              <w:jc w:val="center"/>
              <w:rPr/>
            </w:pPr>
            <w:r w:rsidRPr="00000000" w:rsidDel="00000000" w:rsidR="00000000">
              <w:rPr>
                <w:rtl w:val="0"/>
              </w:rPr>
              <w:t xml:space="preserve">Live</w:t>
            </w:r>
          </w:p>
        </w:tc>
        <w:tc>
          <w:tcPr>
            <w:tcBorders>
              <w:top w:val="nil" w:color="000000" w:sz="0" w:space="0"/>
              <w:left w:val="nil" w:color="000000" w:sz="0" w:space="0"/>
              <w:bottom w:val="single" w:color="000000" w:sz="6" w:space="0"/>
              <w:right w:val="single" w:color="000000" w:sz="6" w:space="0"/>
            </w:tcBorders>
            <w:shd w:val="clear" w:fill="d9ead3"/>
            <w:tcMar>
              <w:top w:w="40.0" w:type="dxa"/>
              <w:left w:w="40.0" w:type="dxa"/>
              <w:bottom w:w="40.0" w:type="dxa"/>
              <w:right w:w="40.0" w:type="dxa"/>
            </w:tcMar>
          </w:tcPr>
          <w:p w:rsidRPr="00000000" w:rsidR="00000000" w:rsidDel="00000000" w:rsidP="00000000" w:rsidRDefault="00000000" w14:paraId="0000044A">
            <w:pPr>
              <w:spacing w:after="0" w:line="240" w:lineRule="auto"/>
              <w:ind w:left="700" w:right="480" w:firstLine="0"/>
              <w:jc w:val="center"/>
              <w:rPr/>
            </w:pPr>
            <w:r w:rsidRPr="00000000" w:rsidDel="00000000" w:rsidR="00000000">
              <w:rPr>
                <w:rtl w:val="0"/>
              </w:rPr>
              <w:t xml:space="preserve">Escalate</w:t>
            </w:r>
          </w:p>
        </w:tc>
        <w:tc>
          <w:tcPr>
            <w:tcBorders>
              <w:top w:val="nil" w:color="000000" w:sz="0" w:space="0"/>
              <w:left w:val="nil" w:color="000000" w:sz="0" w:space="0"/>
              <w:bottom w:val="single" w:color="000000" w:sz="6" w:space="0"/>
              <w:right w:val="single" w:color="000000" w:sz="6" w:space="0"/>
            </w:tcBorders>
            <w:shd w:val="clear" w:fill="d9ead3"/>
            <w:tcMar>
              <w:top w:w="40.0" w:type="dxa"/>
              <w:left w:w="40.0" w:type="dxa"/>
              <w:bottom w:w="40.0" w:type="dxa"/>
              <w:right w:w="40.0" w:type="dxa"/>
            </w:tcMar>
          </w:tcPr>
          <w:p w:rsidRPr="00000000" w:rsidR="00000000" w:rsidDel="00000000" w:rsidP="00000000" w:rsidRDefault="00000000" w14:paraId="0000044B">
            <w:pPr>
              <w:spacing w:after="0" w:line="240" w:lineRule="auto"/>
              <w:ind w:left="700" w:right="1095" w:firstLine="0"/>
              <w:jc w:val="center"/>
              <w:rPr/>
            </w:pPr>
            <w:r w:rsidRPr="00000000" w:rsidDel="00000000" w:rsidR="00000000">
              <w:rPr>
                <w:rtl w:val="0"/>
              </w:rPr>
              <w:t xml:space="preserve">10%</w:t>
            </w:r>
          </w:p>
        </w:tc>
      </w:tr>
      <w:tr>
        <w:trPr>
          <w:cantSplit w:val="0"/>
          <w:tblHeader w:val="0"/>
        </w:trPr>
        <w:tc>
          <w:tcPr>
            <w:tcBorders>
              <w:top w:val="nil" w:color="000000" w:sz="0" w:space="0"/>
              <w:left w:val="single" w:color="000000" w:sz="6" w:space="0"/>
              <w:bottom w:val="single" w:color="000000" w:sz="6" w:space="0"/>
              <w:right w:val="single" w:color="000000" w:sz="6" w:space="0"/>
            </w:tcBorders>
            <w:shd w:val="clear" w:fill="b6d7a8"/>
            <w:tcMar>
              <w:top w:w="40.0" w:type="dxa"/>
              <w:left w:w="40.0" w:type="dxa"/>
              <w:bottom w:w="40.0" w:type="dxa"/>
              <w:right w:w="40.0" w:type="dxa"/>
            </w:tcMar>
          </w:tcPr>
          <w:p w:rsidRPr="00000000" w:rsidR="00000000" w:rsidDel="00000000" w:rsidP="00000000" w:rsidRDefault="00000000" w14:paraId="0000044C">
            <w:pPr>
              <w:spacing w:after="0" w:line="240" w:lineRule="auto"/>
              <w:ind w:left="700" w:right="135" w:hanging="430"/>
              <w:jc w:val="center"/>
              <w:rPr/>
            </w:pPr>
            <w:r w:rsidRPr="00000000" w:rsidDel="00000000" w:rsidR="00000000">
              <w:rPr>
                <w:rtl w:val="0"/>
              </w:rPr>
              <w:t xml:space="preserve">Live</w:t>
            </w:r>
          </w:p>
        </w:tc>
        <w:tc>
          <w:tcPr>
            <w:tcBorders>
              <w:top w:val="nil" w:color="000000" w:sz="0" w:space="0"/>
              <w:left w:val="nil" w:color="000000" w:sz="0" w:space="0"/>
              <w:bottom w:val="single" w:color="000000" w:sz="6" w:space="0"/>
              <w:right w:val="single" w:color="000000" w:sz="6" w:space="0"/>
            </w:tcBorders>
            <w:shd w:val="clear" w:fill="d9ead3"/>
            <w:tcMar>
              <w:top w:w="40.0" w:type="dxa"/>
              <w:left w:w="40.0" w:type="dxa"/>
              <w:bottom w:w="40.0" w:type="dxa"/>
              <w:right w:w="40.0" w:type="dxa"/>
            </w:tcMar>
          </w:tcPr>
          <w:p w:rsidRPr="00000000" w:rsidR="00000000" w:rsidDel="00000000" w:rsidP="00000000" w:rsidRDefault="00000000" w14:paraId="0000044D">
            <w:pPr>
              <w:spacing w:after="0" w:line="240" w:lineRule="auto"/>
              <w:ind w:left="700" w:right="480" w:firstLine="0"/>
              <w:jc w:val="center"/>
              <w:rPr/>
            </w:pPr>
            <w:r w:rsidRPr="00000000" w:rsidDel="00000000" w:rsidR="00000000">
              <w:rPr>
                <w:rtl w:val="0"/>
              </w:rPr>
              <w:t xml:space="preserve">Close</w:t>
            </w:r>
          </w:p>
        </w:tc>
        <w:tc>
          <w:tcPr>
            <w:tcBorders>
              <w:top w:val="nil" w:color="000000" w:sz="0" w:space="0"/>
              <w:left w:val="nil" w:color="000000" w:sz="0" w:space="0"/>
              <w:bottom w:val="single" w:color="000000" w:sz="6" w:space="0"/>
              <w:right w:val="single" w:color="000000" w:sz="6" w:space="0"/>
            </w:tcBorders>
            <w:shd w:val="clear" w:fill="d9ead3"/>
            <w:tcMar>
              <w:top w:w="40.0" w:type="dxa"/>
              <w:left w:w="40.0" w:type="dxa"/>
              <w:bottom w:w="40.0" w:type="dxa"/>
              <w:right w:w="40.0" w:type="dxa"/>
            </w:tcMar>
          </w:tcPr>
          <w:p w:rsidRPr="00000000" w:rsidR="00000000" w:rsidDel="00000000" w:rsidP="00000000" w:rsidRDefault="00000000" w14:paraId="0000044E">
            <w:pPr>
              <w:spacing w:after="0" w:line="240" w:lineRule="auto"/>
              <w:ind w:left="700" w:right="1095" w:firstLine="0"/>
              <w:jc w:val="center"/>
              <w:rPr/>
            </w:pPr>
            <w:r w:rsidRPr="00000000" w:rsidDel="00000000" w:rsidR="00000000">
              <w:rPr>
                <w:rtl w:val="0"/>
              </w:rPr>
              <w:t xml:space="preserve">10%</w:t>
            </w:r>
          </w:p>
        </w:tc>
      </w:tr>
    </w:tbl>
    <w:p w:rsidRPr="00000000" w:rsidR="00000000" w:rsidDel="00000000" w:rsidP="00000000" w:rsidRDefault="00000000" w14:paraId="0000044F">
      <w:pPr>
        <w:numPr>
          <w:ilvl w:val="2"/>
          <w:numId w:val="25"/>
        </w:numPr>
        <w:spacing w:before="200" w:after="240" w:lineRule="auto"/>
        <w:ind w:left="720"/>
        <w:jc w:val="both"/>
        <w:rPr/>
      </w:pPr>
      <w:bookmarkStart w:name="_heading=h.rwzmcaf1e1i9" w:colFirst="0" w:colLast="0" w:id="229"/>
      <w:bookmarkEnd w:id="229"/>
      <w:r w:rsidRPr="00000000" w:rsidDel="00000000" w:rsidR="00000000">
        <w:rPr>
          <w:rtl w:val="0"/>
        </w:rPr>
        <w:t xml:space="preserve">The checker is responsible for reviewing 10% of escalated or closed cases from the taskpool and conducting a 100% review of all Offboard decisions, based on the action taken by the maker:</w:t>
      </w:r>
    </w:p>
    <w:p w:rsidRPr="00000000" w:rsidR="00000000" w:rsidDel="00000000" w:rsidP="00000000" w:rsidRDefault="00000000" w14:paraId="00000450">
      <w:pPr>
        <w:spacing w:after="240" w:lineRule="auto"/>
        <w:jc w:val="both"/>
        <w:rPr/>
      </w:pPr>
      <w:bookmarkStart w:name="_heading=h.mfas1apfqrvz" w:colFirst="0" w:colLast="0" w:id="230"/>
      <w:bookmarkEnd w:id="230"/>
      <w:r w:rsidRPr="00000000" w:rsidDel="00000000" w:rsidR="00000000">
        <w:rPr>
          <w:i w:val="1"/>
          <w:iCs w:val="1"/>
          <w:sz w:val="20"/>
          <w:szCs w:val="20"/>
        </w:rPr>
        <w:drawing>
          <wp:inline distT="114300" distB="114300" distL="114300" distR="114300">
            <wp:extent cx="5731200" cy="3314700"/>
            <wp:effectExtent l="0" t="0" r="0" b="0"/>
            <wp:docPr id="13" name="image5.png"/>
            <a:graphic>
              <a:graphicData uri="http://schemas.openxmlformats.org/drawingml/2006/picture">
                <pic:pic>
                  <pic:nvPicPr>
                    <pic:cNvPr id="0" name="image5.png"/>
                    <pic:cNvPicPr preferRelativeResize="0"/>
                  </pic:nvPicPr>
                  <pic:blipFill>
                    <a:blip r:embed="rId40"/>
                    <a:srcRect l="0" t="0" r="0" b="0"/>
                    <a:stretch>
                      <a:fillRect/>
                    </a:stretch>
                  </pic:blipFill>
                  <pic:spPr>
                    <a:xfrm>
                      <a:off x="0" y="0"/>
                      <a:ext cx="5731200" cy="3314700"/>
                    </a:xfrm>
                    <a:prstGeom prst="rect"/>
                    <a:ln/>
                  </pic:spPr>
                </pic:pic>
              </a:graphicData>
            </a:graphic>
          </wp:inline>
        </w:drawing>
      </w:r>
      <w:r w:rsidRPr="00000000" w:rsidDel="00000000" w:rsidR="00000000">
        <w:rPr>
          <w:rtl w:val="0"/>
        </w:rPr>
      </w:r>
    </w:p>
    <w:p w:rsidRPr="00000000" w:rsidR="00000000" w:rsidDel="00000000" w:rsidP="00000000" w:rsidRDefault="00000000" w14:paraId="00000451">
      <w:pPr>
        <w:numPr>
          <w:ilvl w:val="1"/>
          <w:numId w:val="25"/>
        </w:numPr>
        <w:spacing w:after="240" w:lineRule="auto"/>
        <w:ind w:left="720"/>
        <w:jc w:val="both"/>
        <w:rPr/>
      </w:pPr>
      <w:bookmarkStart w:name="_heading=h.538jcmex11cz" w:colFirst="0" w:colLast="0" w:id="231"/>
      <w:bookmarkEnd w:id="231"/>
      <w:r w:rsidRPr="00000000" w:rsidDel="00000000" w:rsidR="00000000">
        <w:rPr>
          <w:b w:val="1"/>
          <w:bCs w:val="1"/>
          <w:sz w:val="24"/>
          <w:szCs w:val="24"/>
          <w:rtl w:val="0"/>
        </w:rPr>
        <w:t xml:space="preserve">On-Chain Quality Assurance Review</w:t>
      </w:r>
    </w:p>
    <w:p w:rsidRPr="00000000" w:rsidR="00000000" w:rsidDel="00000000" w:rsidP="00000000" w:rsidRDefault="00000000" w14:paraId="00000452">
      <w:pPr>
        <w:numPr>
          <w:ilvl w:val="2"/>
          <w:numId w:val="25"/>
        </w:numPr>
        <w:spacing w:after="240" w:lineRule="auto"/>
        <w:ind w:left="720"/>
        <w:jc w:val="both"/>
        <w:rPr/>
      </w:pPr>
      <w:bookmarkStart w:name="_heading=h.f6untqpz5toc" w:colFirst="0" w:colLast="0" w:id="232"/>
      <w:bookmarkEnd w:id="232"/>
      <w:r w:rsidRPr="00000000" w:rsidDel="00000000" w:rsidR="00000000">
        <w:rPr>
          <w:rtl w:val="0"/>
        </w:rPr>
        <w:t xml:space="preserve">Quality Assurance (QA) review is provided by the QA Team on a monthly basis. Cases for QA review are picked based on a licensed countries list.</w:t>
      </w:r>
    </w:p>
    <w:p w:rsidRPr="00000000" w:rsidR="00000000" w:rsidDel="00000000" w:rsidP="00000000" w:rsidRDefault="00000000" w14:paraId="00000453">
      <w:pPr>
        <w:numPr>
          <w:ilvl w:val="2"/>
          <w:numId w:val="25"/>
        </w:numPr>
        <w:spacing w:after="240" w:lineRule="auto"/>
        <w:ind w:left="720"/>
        <w:jc w:val="both"/>
        <w:rPr/>
      </w:pPr>
      <w:bookmarkStart w:name="_heading=h.8trk4la5oz3y" w:colFirst="0" w:colLast="0" w:id="233"/>
      <w:bookmarkEnd w:id="233"/>
      <w:r w:rsidRPr="00000000" w:rsidDel="00000000" w:rsidR="00000000">
        <w:rPr>
          <w:rtl w:val="0"/>
        </w:rPr>
        <w:t xml:space="preserve">The QA folder, which logs the monthly test QA script and quarterly report, is situated in the designated folder link: </w:t>
      </w:r>
      <w:hyperlink r:id="rId41">
        <w:r w:rsidRPr="00000000" w:rsidDel="00000000" w:rsidR="00000000">
          <w:rPr>
            <w:color w:val="1155cc"/>
            <w:u w:val="single"/>
            <w:rtl w:val="0"/>
          </w:rPr>
          <w:t xml:space="preserve">Transaction Monitoring (Crypto)</w:t>
        </w:r>
      </w:hyperlink>
      <w:r w:rsidRPr="00000000" w:rsidDel="00000000" w:rsidR="00000000">
        <w:rPr>
          <w:rtl w:val="0"/>
        </w:rPr>
      </w:r>
    </w:p>
    <w:p w:rsidRPr="00000000" w:rsidR="00000000" w:rsidDel="00000000" w:rsidP="00000000" w:rsidRDefault="00000000" w14:paraId="00000454">
      <w:pPr>
        <w:numPr>
          <w:ilvl w:val="2"/>
          <w:numId w:val="25"/>
        </w:numPr>
        <w:spacing w:after="240" w:lineRule="auto"/>
        <w:ind w:left="720"/>
        <w:jc w:val="both"/>
        <w:rPr/>
      </w:pPr>
      <w:bookmarkStart w:name="_heading=h.mao30sk42g07" w:colFirst="0" w:colLast="0" w:id="234"/>
      <w:bookmarkEnd w:id="234"/>
      <w:r w:rsidRPr="00000000" w:rsidDel="00000000" w:rsidR="00000000">
        <w:rPr>
          <w:rtl w:val="0"/>
        </w:rPr>
        <w:t xml:space="preserve">Onchain team leads will closely cooperate with the QA team to handle and resolve QA findings, or determine whether to dismiss them. Furthermore, monthly QA reports on test scripts aim to address issues identified in case authoring, involving analysts whose work was flagged in the review process. Subsequently, a team-wide training session is held monthly for CTM staff to highlight and rectify common mistakes. </w:t>
      </w:r>
    </w:p>
    <w:p w:rsidRPr="00000000" w:rsidR="00000000" w:rsidDel="00000000" w:rsidP="00000000" w:rsidRDefault="00000000" w14:paraId="00000455">
      <w:pPr>
        <w:numPr>
          <w:ilvl w:val="2"/>
          <w:numId w:val="25"/>
        </w:numPr>
        <w:spacing w:after="240" w:lineRule="auto"/>
        <w:ind w:left="720"/>
        <w:jc w:val="both"/>
        <w:rPr/>
      </w:pPr>
      <w:bookmarkStart w:name="_heading=h.avysehu02t4i" w:colFirst="0" w:colLast="0" w:id="235"/>
      <w:bookmarkEnd w:id="235"/>
      <w:r w:rsidRPr="00000000" w:rsidDel="00000000" w:rsidR="00000000">
        <w:rPr>
          <w:rtl w:val="0"/>
        </w:rPr>
        <w:t xml:space="preserve">Consequently, an upskilling objective is established to ensure analysts are informed about their findings and gain a deeper understanding of their reviews and cases. </w:t>
      </w:r>
    </w:p>
    <w:p w:rsidRPr="00000000" w:rsidR="00000000" w:rsidDel="00000000" w:rsidP="00000000" w:rsidRDefault="00000000" w14:paraId="00000456">
      <w:pPr>
        <w:spacing w:after="240" w:lineRule="auto"/>
        <w:ind w:firstLine="720"/>
        <w:jc w:val="both"/>
        <w:rPr>
          <w:b w:val="1"/>
          <w:bCs w:val="1"/>
          <w:u w:val="single"/>
        </w:rPr>
      </w:pPr>
      <w:bookmarkStart w:name="_heading=h.saxny99dnd8q" w:colFirst="0" w:colLast="0" w:id="236"/>
      <w:bookmarkEnd w:id="236"/>
      <w:r w:rsidRPr="00000000" w:rsidDel="00000000" w:rsidR="00000000">
        <w:rPr>
          <w:b w:val="1"/>
          <w:bCs w:val="1"/>
          <w:u w:val="single"/>
          <w:rtl w:val="0"/>
        </w:rPr>
        <w:t xml:space="preserve">Upskilling Objective</w:t>
      </w:r>
    </w:p>
    <w:p w:rsidRPr="00000000" w:rsidR="00000000" w:rsidDel="00000000" w:rsidP="00000000" w:rsidRDefault="00000000" w14:paraId="00000457">
      <w:pPr>
        <w:numPr>
          <w:ilvl w:val="2"/>
          <w:numId w:val="25"/>
        </w:numPr>
        <w:spacing w:after="240" w:lineRule="auto"/>
        <w:ind w:left="720"/>
        <w:jc w:val="both"/>
        <w:rPr/>
      </w:pPr>
      <w:bookmarkStart w:name="_heading=h.9cr7gxi23ph3" w:colFirst="0" w:colLast="0" w:id="237"/>
      <w:bookmarkEnd w:id="237"/>
      <w:r w:rsidRPr="00000000" w:rsidDel="00000000" w:rsidR="00000000">
        <w:rPr>
          <w:rtl w:val="0"/>
        </w:rPr>
        <w:t xml:space="preserve">Enhancing skills and knowledge following the QA report is the primary objective of upskilling in the context of Quality Assurance. After a thorough review of the QA report, the goal is to identify areas where additional training and development are needed to address the specific findings and recommendations.</w:t>
      </w:r>
    </w:p>
    <w:p w:rsidRPr="00000000" w:rsidR="00000000" w:rsidDel="00000000" w:rsidP="00000000" w:rsidRDefault="00000000" w14:paraId="00000458">
      <w:pPr>
        <w:numPr>
          <w:ilvl w:val="2"/>
          <w:numId w:val="25"/>
        </w:numPr>
        <w:spacing w:after="240" w:lineRule="auto"/>
        <w:ind w:left="720"/>
        <w:jc w:val="both"/>
        <w:rPr/>
      </w:pPr>
      <w:bookmarkStart w:name="_heading=h.r6t97ucvd32m" w:colFirst="0" w:colLast="0" w:id="238"/>
      <w:bookmarkEnd w:id="238"/>
      <w:r w:rsidRPr="00000000" w:rsidDel="00000000" w:rsidR="00000000">
        <w:rPr>
          <w:rtl w:val="0"/>
        </w:rPr>
        <w:t xml:space="preserve">This upskilling process is designed to empower QA teams and related stakeholders with the competencies and insights necessary to rectify any issues highlighted in the report. Through targeted training, workshops, and knowledge transfer activities, the organization can ensure that the identified problems are resolved effectively. </w:t>
      </w:r>
    </w:p>
    <w:p w:rsidRPr="00000000" w:rsidR="00000000" w:rsidDel="00000000" w:rsidP="00000000" w:rsidRDefault="00000000" w14:paraId="00000459">
      <w:pPr>
        <w:numPr>
          <w:ilvl w:val="2"/>
          <w:numId w:val="25"/>
        </w:numPr>
        <w:spacing w:after="240" w:lineRule="auto"/>
        <w:ind w:left="720"/>
        <w:jc w:val="both"/>
        <w:rPr/>
      </w:pPr>
      <w:bookmarkStart w:name="_heading=h.mmyze224iiv4" w:colFirst="0" w:colLast="0" w:id="239"/>
      <w:bookmarkEnd w:id="239"/>
      <w:r w:rsidRPr="00000000" w:rsidDel="00000000" w:rsidR="00000000">
        <w:rPr>
          <w:rtl w:val="0"/>
        </w:rPr>
        <w:t xml:space="preserve">The ultimate aim is to fortify the team's ability to maintain and exceed quality standards, proactively preventing future quality-related challenges, and fostering a culture of continuous improvement in the QA domain. The initiative will be conducted on a regular basis, either monthly or every two months, to guarantee that analysts have a comprehensive grasp of errors and issues.</w:t>
      </w:r>
    </w:p>
    <w:p w:rsidRPr="00000000" w:rsidR="00000000" w:rsidDel="00000000" w:rsidP="00000000" w:rsidRDefault="00000000" w14:paraId="0000045A">
      <w:pPr>
        <w:numPr>
          <w:ilvl w:val="2"/>
          <w:numId w:val="25"/>
        </w:numPr>
        <w:spacing w:after="240" w:lineRule="auto"/>
        <w:ind w:left="720"/>
        <w:jc w:val="both"/>
        <w:rPr/>
      </w:pPr>
      <w:bookmarkStart w:name="_heading=h.iop8lvcnll3f" w:colFirst="0" w:colLast="0" w:id="240"/>
      <w:bookmarkEnd w:id="240"/>
      <w:r w:rsidRPr="00000000" w:rsidDel="00000000" w:rsidR="00000000">
        <w:rPr>
          <w:rtl w:val="0"/>
        </w:rPr>
        <w:t xml:space="preserve">The test script will be circulated to the entire Onchain team to prompt them to take note of and acknowledge their own errors and discoveries, while encouraging increased vigilance in their work. Additionally, a condensed version will be documented, highlighting common findings and serving as a reminder to analysts to avoid repeating similar mistakes in the future. The summary findings can be accessed through the following link: </w:t>
      </w:r>
      <w:hyperlink r:id="rId42">
        <w:r w:rsidRPr="00000000" w:rsidDel="00000000" w:rsidR="00000000">
          <w:rPr>
            <w:color w:val="1155cc"/>
            <w:u w:val="single"/>
            <w:rtl w:val="0"/>
          </w:rPr>
          <w:t xml:space="preserve">QA Onchain TM Findings Summary (2023/2024/2025)</w:t>
        </w:r>
      </w:hyperlink>
      <w:r w:rsidRPr="00000000" w:rsidDel="00000000" w:rsidR="00000000">
        <w:rPr>
          <w:rtl w:val="0"/>
        </w:rPr>
        <w:t xml:space="preserve">.</w:t>
      </w:r>
      <w:r w:rsidRPr="00000000" w:rsidDel="00000000" w:rsidR="00000000">
        <w:rPr>
          <w:rtl w:val="0"/>
        </w:rPr>
      </w:r>
    </w:p>
    <w:p w:rsidRPr="00000000" w:rsidR="00000000" w:rsidDel="00000000" w:rsidP="00000000" w:rsidRDefault="00000000" w14:paraId="0000045B">
      <w:pPr>
        <w:spacing w:after="240" w:lineRule="auto"/>
        <w:ind w:firstLine="720"/>
        <w:jc w:val="both"/>
        <w:rPr>
          <w:b w:val="1"/>
          <w:bCs w:val="1"/>
          <w:u w:val="single"/>
        </w:rPr>
      </w:pPr>
      <w:bookmarkStart w:name="_heading=h.2am9rz30c39t" w:colFirst="0" w:colLast="0" w:id="241"/>
      <w:bookmarkEnd w:id="241"/>
      <w:r w:rsidRPr="00000000" w:rsidDel="00000000" w:rsidR="00000000">
        <w:rPr>
          <w:b w:val="1"/>
          <w:bCs w:val="1"/>
          <w:u w:val="single"/>
          <w:rtl w:val="0"/>
        </w:rPr>
        <w:t xml:space="preserve">Auto-closure Methodology and Quality Assurance</w:t>
      </w:r>
    </w:p>
    <w:p w:rsidRPr="00000000" w:rsidR="00000000" w:rsidDel="00000000" w:rsidP="00000000" w:rsidRDefault="00000000" w14:paraId="0000045C">
      <w:pPr>
        <w:numPr>
          <w:ilvl w:val="2"/>
          <w:numId w:val="25"/>
        </w:numPr>
        <w:spacing w:after="240" w:lineRule="auto"/>
        <w:ind w:left="720"/>
        <w:jc w:val="both"/>
        <w:rPr>
          <w:highlight w:val="white"/>
        </w:rPr>
      </w:pPr>
      <w:bookmarkStart w:name="_heading=h.dulc01zhw01" w:colFirst="0" w:colLast="0" w:id="242"/>
      <w:bookmarkEnd w:id="242"/>
      <w:r w:rsidRPr="00000000" w:rsidDel="00000000" w:rsidR="00000000">
        <w:rPr>
          <w:highlight w:val="white"/>
          <w:rtl w:val="0"/>
        </w:rPr>
        <w:t xml:space="preserve">In order to ensure Binance Global’s Transaction Monitoring function is able to adequately prioritize and action its riskiest alerts, automations and autoclosures have been programmed and implemented. For further details on the automated rulesets and outcomes, please refer to the</w:t>
      </w:r>
      <w:hyperlink r:id="rId43">
        <w:r w:rsidRPr="00000000" w:rsidDel="00000000" w:rsidR="00000000">
          <w:rPr>
            <w:highlight w:val="white"/>
            <w:rtl w:val="0"/>
          </w:rPr>
          <w:t xml:space="preserve"> Guide to On-Chain TM (Matrix)</w:t>
        </w:r>
      </w:hyperlink>
      <w:r w:rsidRPr="00000000" w:rsidDel="00000000" w:rsidR="00000000">
        <w:rPr>
          <w:highlight w:val="white"/>
          <w:rtl w:val="0"/>
        </w:rPr>
        <w:t xml:space="preserve"> and</w:t>
      </w:r>
      <w:hyperlink r:id="rId44">
        <w:r w:rsidRPr="00000000" w:rsidDel="00000000" w:rsidR="00000000">
          <w:rPr>
            <w:highlight w:val="white"/>
            <w:rtl w:val="0"/>
          </w:rPr>
          <w:t xml:space="preserve"> Onchain rules - Risk rule</w:t>
        </w:r>
      </w:hyperlink>
      <w:r w:rsidRPr="00000000" w:rsidDel="00000000" w:rsidR="00000000">
        <w:rPr>
          <w:highlight w:val="white"/>
          <w:rtl w:val="0"/>
        </w:rPr>
        <w:t xml:space="preserve">, as approved and documented by the Global Transaction Monitoring Steering Committee (GTSC).</w:t>
      </w:r>
    </w:p>
    <w:p w:rsidRPr="00000000" w:rsidR="00000000" w:rsidDel="00000000" w:rsidP="00000000" w:rsidRDefault="00000000" w14:paraId="0000045D">
      <w:pPr>
        <w:numPr>
          <w:ilvl w:val="2"/>
          <w:numId w:val="25"/>
        </w:numPr>
        <w:spacing w:after="240" w:lineRule="auto"/>
        <w:ind w:left="720"/>
        <w:jc w:val="both"/>
        <w:rPr>
          <w:highlight w:val="white"/>
        </w:rPr>
      </w:pPr>
      <w:bookmarkStart w:name="_heading=h.ynkx91rxrc1k" w:colFirst="0" w:colLast="0" w:id="243"/>
      <w:bookmarkEnd w:id="243"/>
      <w:r w:rsidRPr="00000000" w:rsidDel="00000000" w:rsidR="00000000">
        <w:rPr>
          <w:highlight w:val="white"/>
          <w:rtl w:val="0"/>
        </w:rPr>
        <w:t xml:space="preserve">Biannual Quality Testing of Autoclosed Alerts will be undertaken and reported to the Global Head of TM in aggregate form to confirm both the risk tolerance and proper operation of autoclosure functionalities. If discrepancies within either the risk tolerance of the alerts or functionality of the autoclosures are identified, these are to be immediately escalated to the Head of TM within 24 hours, wherein a remediation exercise will be undertaken.</w:t>
      </w:r>
    </w:p>
    <w:p w:rsidRPr="00000000" w:rsidR="00000000" w:rsidDel="00000000" w:rsidP="00000000" w:rsidRDefault="00000000" w14:paraId="0000045E">
      <w:pPr>
        <w:numPr>
          <w:ilvl w:val="2"/>
          <w:numId w:val="25"/>
        </w:numPr>
        <w:spacing w:after="240" w:lineRule="auto"/>
        <w:ind w:left="720"/>
        <w:jc w:val="both"/>
        <w:rPr>
          <w:highlight w:val="white"/>
        </w:rPr>
      </w:pPr>
      <w:bookmarkStart w:name="_heading=h.4sn7ng7ptr6q" w:colFirst="0" w:colLast="0" w:id="244"/>
      <w:bookmarkEnd w:id="244"/>
      <w:r w:rsidRPr="00000000" w:rsidDel="00000000" w:rsidR="00000000">
        <w:rPr>
          <w:highlight w:val="white"/>
          <w:rtl w:val="0"/>
        </w:rPr>
        <w:t xml:space="preserve">The autoclosure method is automatically applied to cases through the FI tool v2 case management. Automation in the RFI process is designated for rules associated with high-risk categories, such as Sanctions and illicit activities, with a detailed list of category alerts available in the procedure document. This automated RFI mechanism is set to be activated for </w:t>
      </w:r>
      <w:r w:rsidRPr="00000000" w:rsidDel="00000000" w:rsidR="00000000">
        <w:rPr>
          <w:b w:val="1"/>
          <w:bCs w:val="1"/>
          <w:i w:val="1"/>
          <w:iCs w:val="1"/>
          <w:highlight w:val="white"/>
          <w:rtl w:val="0"/>
        </w:rPr>
        <w:t xml:space="preserve">Retail users, including VIPs, while Corporate clients will be excluded</w:t>
      </w:r>
      <w:r w:rsidRPr="00000000" w:rsidDel="00000000" w:rsidR="00000000">
        <w:rPr>
          <w:highlight w:val="white"/>
          <w:rtl w:val="0"/>
        </w:rPr>
        <w:t xml:space="preserve">. The exclusion of Corporate clients from the automated RFI system is due to the complexity and potential high-risk warnings that could be challenging for cloud exchanges and brokers to manage. </w:t>
      </w:r>
    </w:p>
    <w:p w:rsidRPr="00000000" w:rsidR="00000000" w:rsidDel="00000000" w:rsidP="00000000" w:rsidRDefault="00000000" w14:paraId="0000045F">
      <w:pPr>
        <w:numPr>
          <w:ilvl w:val="2"/>
          <w:numId w:val="25"/>
        </w:numPr>
        <w:spacing w:after="240" w:lineRule="auto"/>
        <w:ind w:left="720"/>
        <w:jc w:val="both"/>
        <w:rPr>
          <w:highlight w:val="white"/>
        </w:rPr>
      </w:pPr>
      <w:bookmarkStart w:name="_heading=h.bu16bum4yo22" w:colFirst="0" w:colLast="0" w:id="245"/>
      <w:bookmarkEnd w:id="245"/>
      <w:r w:rsidRPr="00000000" w:rsidDel="00000000" w:rsidR="00000000">
        <w:rPr>
          <w:highlight w:val="white"/>
          <w:rtl w:val="0"/>
        </w:rPr>
        <w:t xml:space="preserve">Using the RFI tool v2 case management in Binance Admin, we can identify cases eligible for autoclosure, resulting in an auto closed RFI being sent to users to prevent recurrence of the activities. For phase one of the QA testing, we will apply </w:t>
      </w:r>
      <w:r w:rsidRPr="00000000" w:rsidDel="00000000" w:rsidR="00000000">
        <w:rPr>
          <w:b w:val="1"/>
          <w:bCs w:val="1"/>
          <w:highlight w:val="white"/>
          <w:u w:val="single"/>
          <w:rtl w:val="0"/>
        </w:rPr>
        <w:t xml:space="preserve">specific RFI rule ID 9252</w:t>
      </w:r>
      <w:r w:rsidRPr="00000000" w:rsidDel="00000000" w:rsidR="00000000">
        <w:rPr>
          <w:highlight w:val="white"/>
          <w:rtl w:val="0"/>
        </w:rPr>
        <w:t xml:space="preserve"> to ensure that cases sent for RFI are appropriately tagged to these risk rules. In phase two, we will validate these cases against a set of parameters designed to auto close the cases accordingly.</w:t>
      </w:r>
    </w:p>
    <w:p w:rsidRPr="00000000" w:rsidR="00000000" w:rsidDel="00000000" w:rsidP="00000000" w:rsidRDefault="00000000" w14:paraId="00000460">
      <w:pPr>
        <w:numPr>
          <w:ilvl w:val="2"/>
          <w:numId w:val="25"/>
        </w:numPr>
        <w:spacing w:after="240" w:lineRule="auto"/>
        <w:ind w:left="720"/>
        <w:jc w:val="both"/>
        <w:rPr>
          <w:highlight w:val="white"/>
        </w:rPr>
      </w:pPr>
      <w:bookmarkStart w:name="_heading=h.9szmrjeyql2f" w:colFirst="0" w:colLast="0" w:id="246"/>
      <w:bookmarkEnd w:id="246"/>
      <w:r w:rsidRPr="00000000" w:rsidDel="00000000" w:rsidR="00000000">
        <w:rPr>
          <w:highlight w:val="white"/>
          <w:rtl w:val="0"/>
        </w:rPr>
        <w:t xml:space="preserve">Binance Group has implemented a sampling QA process to ensure the accuracy of the autoclosure method by implementing QA sampling of 10% of risk rules.</w:t>
      </w:r>
    </w:p>
    <w:p w:rsidRPr="00000000" w:rsidR="00000000" w:rsidDel="00000000" w:rsidP="00000000" w:rsidRDefault="00000000" w14:paraId="00000461">
      <w:pPr>
        <w:numPr>
          <w:ilvl w:val="2"/>
          <w:numId w:val="25"/>
        </w:numPr>
        <w:spacing w:after="240" w:lineRule="auto"/>
        <w:ind w:left="720"/>
        <w:jc w:val="both"/>
        <w:rPr>
          <w:highlight w:val="white"/>
        </w:rPr>
      </w:pPr>
      <w:bookmarkStart w:name="_heading=h.vrhvsvpk4sap" w:colFirst="0" w:colLast="0" w:id="247"/>
      <w:bookmarkEnd w:id="247"/>
      <w:r w:rsidRPr="00000000" w:rsidDel="00000000" w:rsidR="00000000">
        <w:rPr>
          <w:highlight w:val="white"/>
          <w:rtl w:val="0"/>
        </w:rPr>
        <w:t xml:space="preserve">Data extraction for the validation of the auto close alerts that are tagged to these risk rules will take place biannually to implement a fourth review, ensuring these alerts are accurately assigned the appropriate risk rule criteria. This process also facilitates the effective integration of new rules, if applicable, based on predetermined conditions through the backend. The folder used to store the date will be on the following link </w:t>
      </w:r>
      <w:hyperlink r:id="rId45">
        <w:r w:rsidRPr="00000000" w:rsidDel="00000000" w:rsidR="00000000">
          <w:rPr>
            <w:color w:val="0000ee"/>
            <w:highlight w:val="white"/>
            <w:u w:val="single"/>
            <w:rtl w:val="0"/>
          </w:rPr>
          <w:t xml:space="preserve">AutoClosure Validation</w:t>
        </w:r>
      </w:hyperlink>
      <w:r w:rsidRPr="00000000" w:rsidDel="00000000" w:rsidR="00000000">
        <w:rPr>
          <w:highlight w:val="white"/>
          <w:rtl w:val="0"/>
        </w:rPr>
        <w:t xml:space="preserve">.</w:t>
      </w:r>
    </w:p>
    <w:p w:rsidRPr="00000000" w:rsidR="00000000" w:rsidDel="00000000" w:rsidP="00000000" w:rsidRDefault="00000000" w14:paraId="00000462">
      <w:pPr>
        <w:numPr>
          <w:ilvl w:val="2"/>
          <w:numId w:val="25"/>
        </w:numPr>
        <w:spacing w:after="240" w:lineRule="auto"/>
        <w:ind w:left="720"/>
        <w:jc w:val="both"/>
        <w:rPr/>
      </w:pPr>
      <w:bookmarkStart w:name="_heading=h.iep5g9bfflyp" w:colFirst="0" w:colLast="0" w:id="248"/>
      <w:bookmarkEnd w:id="248"/>
      <w:r w:rsidRPr="00000000" w:rsidDel="00000000" w:rsidR="00000000">
        <w:rPr>
          <w:highlight w:val="white"/>
          <w:rtl w:val="0"/>
        </w:rPr>
        <w:t xml:space="preserve">Please refer to </w:t>
      </w:r>
      <w:hyperlink r:id="rId46">
        <w:r w:rsidRPr="00000000" w:rsidDel="00000000" w:rsidR="00000000">
          <w:rPr>
            <w:color w:val="0000ee"/>
            <w:highlight w:val="white"/>
            <w:u w:val="single"/>
            <w:rtl w:val="0"/>
          </w:rPr>
          <w:t xml:space="preserve">Compliance Business Requirement Document (BRD) - Autovalidation on the RFI IDs / Risk rules</w:t>
        </w:r>
      </w:hyperlink>
      <w:r w:rsidRPr="00000000" w:rsidDel="00000000" w:rsidR="00000000">
        <w:rPr>
          <w:highlight w:val="white"/>
          <w:rtl w:val="0"/>
        </w:rPr>
        <w:t xml:space="preserve"> </w:t>
      </w:r>
      <w:r w:rsidRPr="00000000" w:rsidDel="00000000" w:rsidR="00000000">
        <w:rPr>
          <w:highlight w:val="white"/>
          <w:rtl w:val="0"/>
        </w:rPr>
        <w:t xml:space="preserve">for more information.</w:t>
      </w:r>
      <w:r w:rsidRPr="00000000" w:rsidDel="00000000" w:rsidR="00000000">
        <w:rPr>
          <w:rtl w:val="0"/>
        </w:rPr>
      </w:r>
    </w:p>
    <w:p w:rsidRPr="00000000" w:rsidR="00000000" w:rsidDel="00000000" w:rsidP="00000000" w:rsidRDefault="00000000" w14:paraId="00000463">
      <w:pPr>
        <w:spacing w:after="240" w:lineRule="auto"/>
        <w:ind w:firstLine="720"/>
        <w:jc w:val="both"/>
        <w:rPr>
          <w:b w:val="1"/>
          <w:bCs w:val="1"/>
          <w:u w:val="single"/>
        </w:rPr>
      </w:pPr>
      <w:bookmarkStart w:name="_heading=h.54tz0zmffeny" w:colFirst="0" w:colLast="0" w:id="249"/>
      <w:bookmarkEnd w:id="249"/>
      <w:r w:rsidRPr="00000000" w:rsidDel="00000000" w:rsidR="00000000">
        <w:rPr>
          <w:b w:val="1"/>
          <w:bCs w:val="1"/>
          <w:u w:val="single"/>
          <w:rtl w:val="0"/>
        </w:rPr>
        <w:t xml:space="preserve">RFI QA &amp; Offboard Appeal QA</w:t>
      </w:r>
    </w:p>
    <w:p w:rsidRPr="00000000" w:rsidR="00000000" w:rsidDel="00000000" w:rsidP="00000000" w:rsidRDefault="00000000" w14:paraId="00000464">
      <w:pPr>
        <w:numPr>
          <w:ilvl w:val="2"/>
          <w:numId w:val="25"/>
        </w:numPr>
        <w:spacing w:after="240" w:lineRule="auto"/>
        <w:ind w:left="720"/>
        <w:jc w:val="both"/>
        <w:rPr>
          <w:highlight w:val="white"/>
        </w:rPr>
      </w:pPr>
      <w:bookmarkStart w:name="_heading=h.1g00penx8kuc" w:colFirst="0" w:colLast="0" w:id="250"/>
      <w:bookmarkEnd w:id="250"/>
      <w:r w:rsidRPr="00000000" w:rsidDel="00000000" w:rsidR="00000000">
        <w:rPr>
          <w:highlight w:val="white"/>
          <w:rtl w:val="0"/>
        </w:rPr>
        <w:t xml:space="preserve">PMO Office designated Compliance Quality Assurance has been designated by the PMO Office since April 2024 to manage RFI QA, while Compliance Offboarding was assigned to oversee Offboard Appeal QA. The QA team is responsible for evaluating RFIs based on each case's specific scenarios and situations. Offboard Appeals involve users who must meet set standards and undergo further review before determining whether they will be retained or offboarded. QA will be conducted monthly, in conjunction with the standard QA, and a task team has been created to address the findings.</w:t>
      </w:r>
    </w:p>
    <w:p w:rsidRPr="00000000" w:rsidR="00000000" w:rsidDel="00000000" w:rsidP="00000000" w:rsidRDefault="00000000" w14:paraId="00000465">
      <w:pPr>
        <w:spacing w:after="0" w:lineRule="auto"/>
        <w:ind w:left="720" w:firstLine="0"/>
        <w:rPr>
          <w:b w:val="1"/>
          <w:bCs w:val="1"/>
        </w:rPr>
      </w:pPr>
      <w:r w:rsidRPr="00000000" w:rsidDel="00000000" w:rsidR="00000000">
        <w:rPr>
          <w:b w:val="1"/>
          <w:bCs w:val="1"/>
          <w:rtl w:val="0"/>
        </w:rPr>
        <w:t xml:space="preserve">The contacts for the QA and tracker teams are as follows:</w:t>
      </w:r>
    </w:p>
    <w:p w:rsidRPr="00000000" w:rsidR="00000000" w:rsidDel="00000000" w:rsidP="00000000" w:rsidRDefault="00000000" w14:paraId="00000466">
      <w:pPr>
        <w:spacing w:after="0" w:lineRule="auto"/>
        <w:ind w:left="720" w:firstLine="0"/>
        <w:rPr/>
      </w:pPr>
      <w:r w:rsidRPr="00000000" w:rsidDel="00000000" w:rsidR="00000000">
        <w:rPr>
          <w:rtl w:val="0"/>
        </w:rPr>
        <w:t xml:space="preserve">Quality Assurance Team Lead</w:t>
      </w:r>
    </w:p>
    <w:p w:rsidRPr="00000000" w:rsidR="00000000" w:rsidDel="00000000" w:rsidP="00000000" w:rsidRDefault="00000000" w14:paraId="00000467">
      <w:pPr>
        <w:spacing w:after="0" w:lineRule="auto"/>
        <w:ind w:left="720" w:firstLine="0"/>
        <w:rPr/>
      </w:pPr>
      <w:r w:rsidRPr="00000000" w:rsidDel="00000000" w:rsidR="00000000">
        <w:rPr>
          <w:rtl w:val="0"/>
        </w:rPr>
        <w:t xml:space="preserve">Quality Assurance Analyst</w:t>
      </w:r>
      <w:r w:rsidRPr="00000000" w:rsidDel="00000000" w:rsidR="00000000">
        <w:rPr>
          <w:rtl w:val="0"/>
        </w:rPr>
      </w:r>
    </w:p>
    <w:p w:rsidRPr="00000000" w:rsidR="00000000" w:rsidDel="00000000" w:rsidP="00000000" w:rsidRDefault="00000000" w14:paraId="00000468">
      <w:pPr>
        <w:spacing w:after="0" w:lineRule="auto"/>
        <w:ind w:left="720" w:firstLine="0"/>
        <w:rPr/>
      </w:pPr>
      <w:r w:rsidRPr="00000000" w:rsidDel="00000000" w:rsidR="00000000">
        <w:rPr>
          <w:rtl w:val="0"/>
        </w:rPr>
        <w:t xml:space="preserve">Trackers: </w:t>
      </w:r>
      <w:hyperlink r:id="rId47">
        <w:r w:rsidRPr="00000000" w:rsidDel="00000000" w:rsidR="00000000">
          <w:rPr>
            <w:color w:val="0000ee"/>
            <w:u w:val="single"/>
            <w:rtl w:val="0"/>
          </w:rPr>
          <w:t xml:space="preserve">Trial Review - CTM RFI </w:t>
        </w:r>
      </w:hyperlink>
      <w:r w:rsidRPr="00000000" w:rsidDel="00000000" w:rsidR="00000000">
        <w:rPr>
          <w:rtl w:val="0"/>
        </w:rPr>
        <w:t xml:space="preserve"> , </w:t>
      </w:r>
      <w:hyperlink r:id="rId48">
        <w:r w:rsidRPr="00000000" w:rsidDel="00000000" w:rsidR="00000000">
          <w:rPr>
            <w:color w:val="0000ee"/>
            <w:u w:val="single"/>
            <w:rtl w:val="0"/>
          </w:rPr>
          <w:t xml:space="preserve">Offboarding Appeals Backlog QA Test Script </w:t>
        </w:r>
      </w:hyperlink>
      <w:r w:rsidRPr="00000000" w:rsidDel="00000000" w:rsidR="00000000">
        <w:rPr>
          <w:rtl w:val="0"/>
        </w:rPr>
      </w:r>
    </w:p>
    <w:p w:rsidRPr="00000000" w:rsidR="00000000" w:rsidDel="00000000" w:rsidP="00000000" w:rsidRDefault="00000000" w14:paraId="00000469">
      <w:pPr>
        <w:spacing w:after="0" w:lineRule="auto"/>
        <w:rPr/>
      </w:pPr>
      <w:r w:rsidRPr="00000000" w:rsidDel="00000000" w:rsidR="00000000">
        <w:rPr>
          <w:rtl w:val="0"/>
        </w:rPr>
      </w:r>
    </w:p>
    <w:p w:rsidRPr="00000000" w:rsidR="00000000" w:rsidDel="00000000" w:rsidP="00000000" w:rsidRDefault="00000000" w14:paraId="0000046A">
      <w:pPr>
        <w:numPr>
          <w:ilvl w:val="2"/>
          <w:numId w:val="25"/>
        </w:numPr>
        <w:spacing w:after="240" w:lineRule="auto"/>
        <w:ind w:left="720"/>
        <w:jc w:val="both"/>
        <w:rPr>
          <w:highlight w:val="white"/>
        </w:rPr>
      </w:pPr>
      <w:bookmarkStart w:name="_heading=h.wlyr4hq8a3yx" w:colFirst="0" w:colLast="0" w:id="251"/>
      <w:bookmarkEnd w:id="251"/>
      <w:r w:rsidRPr="00000000" w:rsidDel="00000000" w:rsidR="00000000">
        <w:rPr>
          <w:highlight w:val="white"/>
          <w:rtl w:val="0"/>
        </w:rPr>
        <w:t xml:space="preserve">After the findings are compiled, the report will contribute to meeting the QA responsibilities and also recorded in QA. See </w:t>
      </w:r>
      <w:hyperlink r:id="rId49">
        <w:r w:rsidRPr="00000000" w:rsidDel="00000000" w:rsidR="00000000">
          <w:rPr>
            <w:color w:val="0000ee"/>
            <w:u w:val="single"/>
            <w:rtl w:val="0"/>
          </w:rPr>
          <w:t xml:space="preserve">QA (Additional QA on RFI &amp; Offboarding Appeal)</w:t>
        </w:r>
      </w:hyperlink>
      <w:r w:rsidRPr="00000000" w:rsidDel="00000000" w:rsidR="00000000">
        <w:rPr>
          <w:highlight w:val="white"/>
          <w:rtl w:val="0"/>
        </w:rPr>
        <w:t xml:space="preserve"> for further details.</w:t>
      </w:r>
    </w:p>
    <w:p w:rsidRPr="00000000" w:rsidR="00000000" w:rsidDel="00000000" w:rsidP="00000000" w:rsidRDefault="00000000" w14:paraId="0000046B">
      <w:pPr>
        <w:spacing w:after="240" w:lineRule="auto"/>
        <w:ind w:firstLine="720"/>
        <w:jc w:val="both"/>
        <w:rPr>
          <w:b w:val="1"/>
          <w:bCs w:val="1"/>
          <w:u w:val="single"/>
        </w:rPr>
      </w:pPr>
      <w:bookmarkStart w:name="_heading=h.svj91jp2jjo2" w:colFirst="0" w:colLast="0" w:id="252"/>
      <w:bookmarkEnd w:id="252"/>
      <w:r w:rsidRPr="00000000" w:rsidDel="00000000" w:rsidR="00000000">
        <w:rPr>
          <w:b w:val="1"/>
          <w:bCs w:val="1"/>
          <w:u w:val="single"/>
          <w:rtl w:val="0"/>
        </w:rPr>
        <w:t xml:space="preserve">Sampling Check</w:t>
      </w:r>
    </w:p>
    <w:p w:rsidRPr="00000000" w:rsidR="00000000" w:rsidDel="00000000" w:rsidP="00000000" w:rsidRDefault="00000000" w14:paraId="0000046C">
      <w:pPr>
        <w:numPr>
          <w:ilvl w:val="2"/>
          <w:numId w:val="25"/>
        </w:numPr>
        <w:spacing w:after="240" w:lineRule="auto"/>
        <w:ind w:left="720"/>
        <w:jc w:val="both"/>
        <w:rPr>
          <w:highlight w:val="white"/>
        </w:rPr>
      </w:pPr>
      <w:bookmarkStart w:name="_heading=h.9ipsdjvf123y" w:colFirst="0" w:colLast="0" w:id="253"/>
      <w:bookmarkEnd w:id="253"/>
      <w:r w:rsidRPr="00000000" w:rsidDel="00000000" w:rsidR="00000000">
        <w:rPr>
          <w:highlight w:val="white"/>
          <w:rtl w:val="0"/>
        </w:rPr>
        <w:t xml:space="preserve">With an aim to improve the overall QA process, Binance Group has implemented a random sampling check process as a control measure.</w:t>
      </w:r>
    </w:p>
    <w:p w:rsidRPr="00000000" w:rsidR="00000000" w:rsidDel="00000000" w:rsidP="00000000" w:rsidRDefault="00000000" w14:paraId="0000046D">
      <w:pPr>
        <w:numPr>
          <w:ilvl w:val="2"/>
          <w:numId w:val="25"/>
        </w:numPr>
        <w:spacing w:after="240" w:lineRule="auto"/>
        <w:ind w:left="720"/>
        <w:jc w:val="both"/>
        <w:rPr>
          <w:highlight w:val="white"/>
        </w:rPr>
      </w:pPr>
      <w:bookmarkStart w:name="_heading=h.bhfqqoezrzzl" w:colFirst="0" w:colLast="0" w:id="254"/>
      <w:bookmarkEnd w:id="254"/>
      <w:r w:rsidRPr="00000000" w:rsidDel="00000000" w:rsidR="00000000">
        <w:rPr>
          <w:highlight w:val="white"/>
          <w:rtl w:val="0"/>
        </w:rPr>
        <w:t xml:space="preserve">There is mandatory </w:t>
      </w:r>
      <w:r w:rsidRPr="00000000" w:rsidDel="00000000" w:rsidR="00000000">
        <w:rPr>
          <w:b w:val="1"/>
          <w:bCs w:val="1"/>
          <w:highlight w:val="white"/>
          <w:rtl w:val="0"/>
        </w:rPr>
        <w:t xml:space="preserve">1% (subject to changes)</w:t>
      </w:r>
      <w:r w:rsidRPr="00000000" w:rsidDel="00000000" w:rsidR="00000000">
        <w:rPr>
          <w:highlight w:val="white"/>
          <w:rtl w:val="0"/>
        </w:rPr>
        <w:t xml:space="preserve"> random selection of double closure cases that will be selected individually for each analyst on the checks. For instance, if an analyst works on 500 cases per month, they will undergo a check of 5 cases. This approach ensures that high KPIs will also result in higher checks to maintain fairness. The extraction will be carried out specifically for the KPI tracker from the Datawind Onchain table for double closure cases. Following the Transaction Monitoring internal </w:t>
      </w:r>
      <w:r w:rsidRPr="00000000" w:rsidDel="00000000" w:rsidR="00000000">
        <w:rPr>
          <w:highlight w:val="white"/>
          <w:rtl w:val="0"/>
        </w:rPr>
        <w:t xml:space="preserve">QC team</w:t>
      </w:r>
      <w:r w:rsidRPr="00000000" w:rsidDel="00000000" w:rsidR="00000000">
        <w:rPr>
          <w:highlight w:val="white"/>
          <w:rtl w:val="0"/>
        </w:rPr>
        <w:t xml:space="preserve">'s (Checker’s) evaluation of the team, the lead will then conduct a QC check on the QC team to ensure that everyone undergoes the QC process. </w:t>
      </w:r>
    </w:p>
    <w:p w:rsidRPr="00000000" w:rsidR="00000000" w:rsidDel="00000000" w:rsidP="00000000" w:rsidRDefault="00000000" w14:paraId="0000046E">
      <w:pPr>
        <w:numPr>
          <w:ilvl w:val="2"/>
          <w:numId w:val="25"/>
        </w:numPr>
        <w:spacing w:after="240" w:lineRule="auto"/>
        <w:ind w:left="720"/>
        <w:jc w:val="both"/>
        <w:rPr>
          <w:highlight w:val="white"/>
        </w:rPr>
      </w:pPr>
      <w:bookmarkStart w:name="_heading=h.f8axxo3z7bu9" w:colFirst="0" w:colLast="0" w:id="255"/>
      <w:bookmarkEnd w:id="255"/>
      <w:r w:rsidRPr="00000000" w:rsidDel="00000000" w:rsidR="00000000">
        <w:rPr>
          <w:b w:val="1"/>
          <w:bCs w:val="1"/>
          <w:highlight w:val="white"/>
          <w:u w:val="single"/>
          <w:rtl w:val="0"/>
        </w:rPr>
        <w:t xml:space="preserve">Dynamic QC Checks:</w:t>
      </w:r>
      <w:r w:rsidRPr="00000000" w:rsidDel="00000000" w:rsidR="00000000">
        <w:rPr>
          <w:highlight w:val="white"/>
          <w:rtl w:val="0"/>
        </w:rPr>
        <w:t xml:space="preserve"> The QC template (</w:t>
      </w:r>
      <w:hyperlink r:id="rId50">
        <w:r w:rsidRPr="00000000" w:rsidDel="00000000" w:rsidR="00000000">
          <w:rPr>
            <w:color w:val="0000ee"/>
            <w:highlight w:val="white"/>
            <w:u w:val="single"/>
            <w:rtl w:val="0"/>
          </w:rPr>
          <w:t xml:space="preserve">QC Data Stat</w:t>
        </w:r>
      </w:hyperlink>
      <w:r w:rsidRPr="00000000" w:rsidDel="00000000" w:rsidR="00000000">
        <w:rPr>
          <w:b w:val="1"/>
          <w:bCs w:val="1"/>
          <w:rtl w:val="0"/>
        </w:rPr>
        <w:t xml:space="preserve">)</w:t>
      </w:r>
      <w:r w:rsidRPr="00000000" w:rsidDel="00000000" w:rsidR="00000000">
        <w:rPr>
          <w:rtl w:val="0"/>
        </w:rPr>
        <w:t xml:space="preserve"> The QC template will run via script to select the set percentile of monthly cases. Once the monthly QA script is released, analysts with the highest number of findings will be evaluated. </w:t>
      </w:r>
    </w:p>
    <w:p w:rsidRPr="00000000" w:rsidR="00000000" w:rsidDel="00000000" w:rsidP="00000000" w:rsidRDefault="00000000" w14:paraId="0000046F">
      <w:pPr>
        <w:numPr>
          <w:ilvl w:val="2"/>
          <w:numId w:val="25"/>
        </w:numPr>
        <w:spacing w:after="240" w:lineRule="auto"/>
        <w:ind w:left="720"/>
        <w:jc w:val="both"/>
        <w:rPr>
          <w:highlight w:val="white"/>
        </w:rPr>
      </w:pPr>
      <w:bookmarkStart w:name="_heading=h.3aryre2con2" w:colFirst="0" w:colLast="0" w:id="256"/>
      <w:bookmarkEnd w:id="256"/>
      <w:r w:rsidRPr="00000000" w:rsidDel="00000000" w:rsidR="00000000">
        <w:rPr>
          <w:rtl w:val="0"/>
        </w:rPr>
        <w:t xml:space="preserve">This process ensures analysts review cases holistically, using all available information to decide on closure or escalation. It also supports accurate user outcomes—whether retention, escalation, or offboarding—while maintaining high standards, identifying underperformance, and guiding future training or warnings to uphold overall quality.</w:t>
      </w:r>
    </w:p>
    <w:p w:rsidRPr="00000000" w:rsidR="00000000" w:rsidDel="00000000" w:rsidP="00000000" w:rsidRDefault="00000000" w14:paraId="00000470">
      <w:pPr>
        <w:numPr>
          <w:ilvl w:val="2"/>
          <w:numId w:val="25"/>
        </w:numPr>
        <w:spacing w:after="240" w:lineRule="auto"/>
        <w:ind w:left="720"/>
        <w:jc w:val="both"/>
        <w:rPr>
          <w:highlight w:val="white"/>
        </w:rPr>
      </w:pPr>
      <w:bookmarkStart w:name="_heading=h.qh4qmvdbazen" w:colFirst="0" w:colLast="0" w:id="257"/>
      <w:bookmarkEnd w:id="257"/>
      <w:r w:rsidRPr="00000000" w:rsidDel="00000000" w:rsidR="00000000">
        <w:rPr>
          <w:b w:val="1"/>
          <w:bCs w:val="1"/>
          <w:highlight w:val="white"/>
          <w:u w:val="single"/>
          <w:rtl w:val="0"/>
        </w:rPr>
        <w:t xml:space="preserve">QC Checklist:</w:t>
      </w:r>
      <w:r w:rsidRPr="00000000" w:rsidDel="00000000" w:rsidR="00000000">
        <w:rPr>
          <w:highlight w:val="white"/>
          <w:rtl w:val="0"/>
        </w:rPr>
        <w:t xml:space="preserve"> The QC Checklist (</w:t>
      </w:r>
      <w:hyperlink r:id="rId51">
        <w:r w:rsidRPr="00000000" w:rsidDel="00000000" w:rsidR="00000000">
          <w:rPr>
            <w:color w:val="0000ee"/>
            <w:highlight w:val="white"/>
            <w:u w:val="single"/>
            <w:rtl w:val="0"/>
          </w:rPr>
          <w:t xml:space="preserve">QC Checklist Tracker</w:t>
        </w:r>
      </w:hyperlink>
      <w:r w:rsidRPr="00000000" w:rsidDel="00000000" w:rsidR="00000000">
        <w:rPr>
          <w:highlight w:val="white"/>
          <w:rtl w:val="0"/>
        </w:rPr>
        <w:t xml:space="preserve">) consists of the following assessment criteria:</w:t>
      </w:r>
    </w:p>
    <w:p w:rsidRPr="00000000" w:rsidR="00000000" w:rsidDel="00000000" w:rsidP="00000000" w:rsidRDefault="00000000" w14:paraId="00000471">
      <w:pPr>
        <w:numPr>
          <w:ilvl w:val="0"/>
          <w:numId w:val="28"/>
        </w:numPr>
        <w:spacing w:after="0" w:lineRule="auto"/>
        <w:ind w:left="1080" w:hanging="360"/>
        <w:jc w:val="both"/>
        <w:rPr>
          <w:rFonts w:ascii="Arial" w:hAnsi="Arial" w:eastAsia="Arial" w:cs="Arial"/>
        </w:rPr>
      </w:pPr>
      <w:r w:rsidRPr="00000000" w:rsidDel="00000000" w:rsidR="00000000">
        <w:rPr>
          <w:u w:val="single"/>
          <w:rtl w:val="0"/>
        </w:rPr>
        <w:t xml:space="preserve">Data Accuracy</w:t>
      </w:r>
      <w:r w:rsidRPr="00000000" w:rsidDel="00000000" w:rsidR="00000000">
        <w:rPr>
          <w:rtl w:val="0"/>
        </w:rPr>
        <w:t xml:space="preserve">: Verify the precision of recorded and analyzed information.</w:t>
      </w:r>
    </w:p>
    <w:p w:rsidRPr="00000000" w:rsidR="00000000" w:rsidDel="00000000" w:rsidP="00000000" w:rsidRDefault="00000000" w14:paraId="00000472">
      <w:pPr>
        <w:numPr>
          <w:ilvl w:val="0"/>
          <w:numId w:val="28"/>
        </w:numPr>
        <w:spacing w:after="0" w:lineRule="auto"/>
        <w:ind w:left="1080" w:hanging="360"/>
        <w:jc w:val="both"/>
        <w:rPr>
          <w:rFonts w:ascii="Arial" w:hAnsi="Arial" w:eastAsia="Arial" w:cs="Arial"/>
        </w:rPr>
      </w:pPr>
      <w:r w:rsidRPr="00000000" w:rsidDel="00000000" w:rsidR="00000000">
        <w:rPr>
          <w:u w:val="single"/>
          <w:rtl w:val="0"/>
        </w:rPr>
        <w:t xml:space="preserve">Completeness</w:t>
      </w:r>
      <w:r w:rsidRPr="00000000" w:rsidDel="00000000" w:rsidR="00000000">
        <w:rPr>
          <w:rtl w:val="0"/>
        </w:rPr>
        <w:t xml:space="preserve">: Ensure that all pertinent details are captured and thoroughly reviewed.</w:t>
      </w:r>
    </w:p>
    <w:p w:rsidRPr="00000000" w:rsidR="00000000" w:rsidDel="00000000" w:rsidP="00000000" w:rsidRDefault="00000000" w14:paraId="00000473">
      <w:pPr>
        <w:numPr>
          <w:ilvl w:val="0"/>
          <w:numId w:val="28"/>
        </w:numPr>
        <w:spacing w:after="0" w:lineRule="auto"/>
        <w:ind w:left="1080" w:hanging="360"/>
        <w:jc w:val="both"/>
        <w:rPr>
          <w:rFonts w:ascii="Arial" w:hAnsi="Arial" w:eastAsia="Arial" w:cs="Arial"/>
        </w:rPr>
      </w:pPr>
      <w:r w:rsidRPr="00000000" w:rsidDel="00000000" w:rsidR="00000000">
        <w:rPr>
          <w:u w:val="single"/>
          <w:rtl w:val="0"/>
        </w:rPr>
        <w:t xml:space="preserve">Risk assessment</w:t>
      </w:r>
      <w:r w:rsidRPr="00000000" w:rsidDel="00000000" w:rsidR="00000000">
        <w:rPr>
          <w:rtl w:val="0"/>
        </w:rPr>
        <w:t xml:space="preserve">: Check for adherence to regulatory and procedural requirements, ensuring that all actions align with established standards and guidelines.</w:t>
      </w:r>
    </w:p>
    <w:p w:rsidRPr="00000000" w:rsidR="00000000" w:rsidDel="00000000" w:rsidP="00000000" w:rsidRDefault="00000000" w14:paraId="00000474">
      <w:pPr>
        <w:numPr>
          <w:ilvl w:val="0"/>
          <w:numId w:val="28"/>
        </w:numPr>
        <w:spacing w:after="240" w:lineRule="auto"/>
        <w:ind w:left="1080" w:hanging="360"/>
        <w:jc w:val="both"/>
        <w:rPr>
          <w:rFonts w:ascii="Arial" w:hAnsi="Arial" w:eastAsia="Arial" w:cs="Arial"/>
        </w:rPr>
      </w:pPr>
      <w:r w:rsidRPr="00000000" w:rsidDel="00000000" w:rsidR="00000000">
        <w:rPr>
          <w:u w:val="single"/>
          <w:rtl w:val="0"/>
        </w:rPr>
        <w:t xml:space="preserve">Case Evaluation</w:t>
      </w:r>
      <w:r w:rsidRPr="00000000" w:rsidDel="00000000" w:rsidR="00000000">
        <w:rPr>
          <w:rtl w:val="0"/>
        </w:rPr>
        <w:t xml:space="preserve">: Assess whether the review and monitoring processes align, focusing on a comprehensive overview and adherence to guidelines to ensure the correct decisions are made.</w:t>
      </w:r>
    </w:p>
    <w:p w:rsidRPr="00000000" w:rsidR="00000000" w:rsidDel="00000000" w:rsidP="00000000" w:rsidRDefault="00000000" w14:paraId="00000475">
      <w:pPr>
        <w:spacing w:after="240" w:lineRule="auto"/>
        <w:ind w:left="720" w:firstLine="0"/>
        <w:jc w:val="both"/>
        <w:rPr/>
      </w:pPr>
      <w:bookmarkStart w:name="_heading=h.7thuivse4zai" w:colFirst="0" w:colLast="0" w:id="258"/>
      <w:bookmarkEnd w:id="258"/>
      <w:r w:rsidRPr="00000000" w:rsidDel="00000000" w:rsidR="00000000">
        <w:rPr>
          <w:rtl w:val="0"/>
        </w:rPr>
        <w:t xml:space="preserve">The QC Checklist provides a holistic overview of the specific criteria for quality checks, and uses a scoring matrix to assess the quality of the cases. Each assessment criteria will receive 1 point for accurate and present data, and additional points will correspond to a higher score accordingly. Scores will be categorized as Good, Average, and Needs Improvement. A good score will range from 12-14 points, average from 8-11, and needs Improvement from 0-7. The scoring matrix will be reassessed on an ad-hoc basis</w:t>
      </w:r>
      <w:r w:rsidRPr="00000000" w:rsidDel="00000000" w:rsidR="00000000">
        <w:rPr>
          <w:rtl w:val="0"/>
        </w:rPr>
        <w:t xml:space="preserve"> </w:t>
      </w:r>
      <w:r w:rsidRPr="00000000" w:rsidDel="00000000" w:rsidR="00000000">
        <w:rPr>
          <w:rtl w:val="0"/>
        </w:rPr>
        <w:t xml:space="preserve">to ensure simplicity and sufficient quality check criteria, ensuring that analyst cases are promptly assessed. </w:t>
      </w:r>
    </w:p>
    <w:p w:rsidRPr="00000000" w:rsidR="00000000" w:rsidDel="00000000" w:rsidP="00000000" w:rsidRDefault="00000000" w14:paraId="00000476">
      <w:pPr>
        <w:numPr>
          <w:ilvl w:val="2"/>
          <w:numId w:val="25"/>
        </w:numPr>
        <w:spacing w:after="240" w:lineRule="auto"/>
        <w:ind w:left="720"/>
        <w:jc w:val="both"/>
        <w:rPr>
          <w:highlight w:val="white"/>
        </w:rPr>
      </w:pPr>
      <w:bookmarkStart w:name="_heading=h.wtppdpy6iobi" w:colFirst="0" w:colLast="0" w:id="259"/>
      <w:bookmarkEnd w:id="259"/>
      <w:r w:rsidRPr="00000000" w:rsidDel="00000000" w:rsidR="00000000">
        <w:rPr>
          <w:b w:val="1"/>
          <w:bCs w:val="1"/>
          <w:highlight w:val="white"/>
          <w:u w:val="single"/>
          <w:rtl w:val="0"/>
        </w:rPr>
        <w:t xml:space="preserve">Statistical Report:</w:t>
      </w:r>
      <w:r w:rsidRPr="00000000" w:rsidDel="00000000" w:rsidR="00000000">
        <w:rPr>
          <w:highlight w:val="white"/>
          <w:rtl w:val="0"/>
        </w:rPr>
        <w:t xml:space="preserve"> </w:t>
      </w:r>
      <w:r w:rsidRPr="00000000" w:rsidDel="00000000" w:rsidR="00000000">
        <w:rPr>
          <w:rtl w:val="0"/>
        </w:rPr>
        <w:t xml:space="preserve">Utilizing the QC checklist tracker and Datawind - QC , we can generate a statistical report to ensure the proper documentation of QC cases, promoting fairness in case selection through a formulated approach. Cross-team QC evaluations will also be conducted to ensure unbiased judgments. The required statistics can be extracted from the </w:t>
      </w:r>
      <w:r w:rsidRPr="00000000" w:rsidDel="00000000" w:rsidR="00000000">
        <w:rPr>
          <w:i w:val="1"/>
          <w:iCs w:val="1"/>
          <w:rtl w:val="0"/>
        </w:rPr>
        <w:t xml:space="preserve">Official Pivot tab</w:t>
      </w:r>
      <w:r w:rsidRPr="00000000" w:rsidDel="00000000" w:rsidR="00000000">
        <w:rPr>
          <w:rtl w:val="0"/>
        </w:rPr>
        <w:t xml:space="preserve"> in the QC Checklist Tracker, and </w:t>
      </w:r>
      <w:r w:rsidRPr="00000000" w:rsidDel="00000000" w:rsidR="00000000">
        <w:rPr>
          <w:i w:val="1"/>
          <w:iCs w:val="1"/>
          <w:rtl w:val="0"/>
        </w:rPr>
        <w:t xml:space="preserve">the Filtered Data (Pivot Table - 1%/2% Check)</w:t>
      </w:r>
      <w:r w:rsidRPr="00000000" w:rsidDel="00000000" w:rsidR="00000000">
        <w:rPr>
          <w:rtl w:val="0"/>
        </w:rPr>
        <w:t xml:space="preserve"> tab from QC template % , therefore providing an overall perspective on the total number of QC cases. The percentage may undergo adjustments as the team gradually elevates the standards of their work, focusing on maintaining a balance between quality and quantity.</w:t>
      </w:r>
      <w:r w:rsidRPr="00000000" w:rsidDel="00000000" w:rsidR="00000000">
        <w:rPr>
          <w:rtl w:val="0"/>
        </w:rPr>
      </w:r>
    </w:p>
    <w:p w:rsidRPr="00000000" w:rsidR="00000000" w:rsidDel="00000000" w:rsidP="00000000" w:rsidRDefault="00000000" w14:paraId="00000477">
      <w:pPr>
        <w:spacing w:after="240" w:lineRule="auto"/>
        <w:ind w:left="720" w:firstLine="0"/>
        <w:jc w:val="both"/>
        <w:rPr/>
      </w:pPr>
      <w:bookmarkStart w:name="_heading=h.mdhaqbfz3qd" w:colFirst="0" w:colLast="0" w:id="260"/>
      <w:bookmarkEnd w:id="260"/>
      <w:r w:rsidRPr="00000000" w:rsidDel="00000000" w:rsidR="00000000">
        <w:rPr>
          <w:rtl w:val="0"/>
        </w:rPr>
        <w:t xml:space="preserve">A sample of completed cases are reviewed for supervisory review.  In this phase, the L2 analyst evaluates the comprehensiveness, accuracy, and appropriateness of the analysis.  If necessary, the L2 Analyst can send the case back to the L1 Analyst for additional adjustments and/or further investigation.  A L2 Analyst cannot complete a supervisory review on their own cases.</w:t>
      </w:r>
    </w:p>
    <w:p w:rsidRPr="00000000" w:rsidR="00000000" w:rsidDel="00000000" w:rsidP="00000000" w:rsidRDefault="00000000" w14:paraId="00000478">
      <w:pPr>
        <w:spacing w:after="240" w:lineRule="auto"/>
        <w:ind w:left="0" w:firstLine="0"/>
        <w:jc w:val="both"/>
        <w:rPr/>
      </w:pPr>
      <w:bookmarkStart w:name="_heading=h.k5v8xvu0t9zc" w:colFirst="0" w:colLast="0" w:id="261"/>
      <w:bookmarkEnd w:id="261"/>
      <w:r w:rsidRPr="00000000" w:rsidDel="00000000" w:rsidR="00000000">
        <w:rPr>
          <w:rtl w:val="0"/>
        </w:rPr>
        <w:t xml:space="preserve">12.7.24 </w:t>
      </w:r>
      <w:r w:rsidRPr="00000000" w:rsidDel="00000000" w:rsidR="00000000">
        <w:rPr>
          <w:b w:val="1"/>
          <w:bCs w:val="1"/>
          <w:rtl w:val="0"/>
        </w:rPr>
        <w:t xml:space="preserve">Validation on system closed RFI and review cases</w:t>
      </w:r>
      <w:r w:rsidRPr="00000000" w:rsidDel="00000000" w:rsidR="00000000">
        <w:rPr>
          <w:rtl w:val="0"/>
        </w:rPr>
      </w:r>
    </w:p>
    <w:p w:rsidRPr="00000000" w:rsidR="00000000" w:rsidDel="00000000" w:rsidP="00000000" w:rsidRDefault="00000000" w14:paraId="00000479">
      <w:pPr>
        <w:spacing w:after="240" w:lineRule="auto"/>
        <w:ind w:left="720" w:firstLine="0"/>
        <w:jc w:val="both"/>
        <w:rPr/>
      </w:pPr>
      <w:bookmarkStart w:name="_heading=h.t5kmcqmd57sx" w:colFirst="0" w:colLast="0" w:id="262"/>
      <w:bookmarkEnd w:id="262"/>
      <w:r w:rsidRPr="00000000" w:rsidDel="00000000" w:rsidR="00000000">
        <w:rPr>
          <w:rtl w:val="0"/>
        </w:rPr>
        <w:t xml:space="preserve">To ensure oversight and reliability of system-driven outcomes, TM Ops QA analysts/Team Leads will conduct quarterly sampling of </w:t>
      </w:r>
      <w:r w:rsidRPr="00000000" w:rsidDel="00000000" w:rsidR="00000000">
        <w:rPr>
          <w:b w:val="1"/>
          <w:bCs w:val="1"/>
          <w:rtl w:val="0"/>
        </w:rPr>
        <w:t xml:space="preserve">100 cases (subject to changes)</w:t>
      </w:r>
      <w:r w:rsidRPr="00000000" w:rsidDel="00000000" w:rsidR="00000000">
        <w:rPr>
          <w:rtl w:val="0"/>
        </w:rPr>
        <w:t xml:space="preserve"> across both autoclosed and auto-RFI categories, adjustable as needed. For system closed cases, </w:t>
      </w:r>
      <w:r w:rsidRPr="00000000" w:rsidDel="00000000" w:rsidR="00000000">
        <w:rPr>
          <w:b w:val="1"/>
          <w:bCs w:val="1"/>
          <w:rtl w:val="0"/>
        </w:rPr>
        <w:t xml:space="preserve">quarterly samples</w:t>
      </w:r>
      <w:r w:rsidRPr="00000000" w:rsidDel="00000000" w:rsidR="00000000">
        <w:rPr>
          <w:rtl w:val="0"/>
        </w:rPr>
        <w:t xml:space="preserve"> will be taken from the risk rules that triggered closure, prioritizing high-risk rules such as sanctions and illicit exposures, with any incorrect closures reopened for investigation. A dedicated Datawind table (</w:t>
      </w:r>
      <w:hyperlink r:id="rId52">
        <w:r w:rsidRPr="00000000" w:rsidDel="00000000" w:rsidR="00000000">
          <w:rPr>
            <w:color w:val="1155cc"/>
            <w:u w:val="single"/>
            <w:rtl w:val="0"/>
          </w:rPr>
          <w:t xml:space="preserve">Compliance_autoclosed_tracking</w:t>
        </w:r>
      </w:hyperlink>
      <w:r w:rsidRPr="00000000" w:rsidDel="00000000" w:rsidR="00000000">
        <w:rPr>
          <w:rtl w:val="0"/>
        </w:rPr>
        <w:t xml:space="preserve">)</w:t>
      </w:r>
      <w:r w:rsidRPr="00000000" w:rsidDel="00000000" w:rsidR="00000000">
        <w:rPr>
          <w:rtl w:val="0"/>
        </w:rPr>
        <w:t xml:space="preserve"> captures key case details to support efficient tracking and visibility.</w:t>
      </w:r>
    </w:p>
    <w:p w:rsidRPr="00000000" w:rsidR="00000000" w:rsidDel="00000000" w:rsidP="00000000" w:rsidRDefault="00000000" w14:paraId="0000047A">
      <w:pPr>
        <w:spacing w:after="240" w:lineRule="auto"/>
        <w:ind w:left="720" w:firstLine="0"/>
        <w:jc w:val="both"/>
        <w:rPr/>
      </w:pPr>
      <w:bookmarkStart w:name="_heading=h.i8ij7svik6cp" w:colFirst="0" w:colLast="0" w:id="263"/>
      <w:bookmarkEnd w:id="263"/>
      <w:r w:rsidRPr="00000000" w:rsidDel="00000000" w:rsidR="00000000">
        <w:rPr>
          <w:rtl w:val="0"/>
        </w:rPr>
        <w:t xml:space="preserve">For system closed RFI cases, </w:t>
      </w:r>
      <w:r w:rsidRPr="00000000" w:rsidDel="00000000" w:rsidR="00000000">
        <w:rPr>
          <w:b w:val="1"/>
          <w:bCs w:val="1"/>
          <w:rtl w:val="0"/>
        </w:rPr>
        <w:t xml:space="preserve">quarterly sampling </w:t>
      </w:r>
      <w:r w:rsidRPr="00000000" w:rsidDel="00000000" w:rsidR="00000000">
        <w:rPr>
          <w:rtl w:val="0"/>
        </w:rPr>
        <w:t xml:space="preserve">will validate correct rule code application, accuracy of flagged transactions, and proper system delivery of RFIs. The initial scope covers 100 cases (Rule IDs 9252 and 9019), with adjustments made as needed. Findings from both streams will be documented and reviewed periodically to refine logic, improve escalation rules, and strengthen overall QA consistency.</w:t>
      </w:r>
    </w:p>
    <w:p w:rsidRPr="00000000" w:rsidR="00000000" w:rsidDel="00000000" w:rsidP="00000000" w:rsidRDefault="00000000" w14:paraId="0000047B">
      <w:pPr>
        <w:pStyle w:val="Heading1"/>
        <w:keepNext w:val="1"/>
        <w:keepLines w:val="1"/>
        <w:pageBreakBefore w:val="0"/>
        <w:widowControl w:val="1"/>
        <w:numPr>
          <w:ilvl w:val="0"/>
          <w:numId w:val="25"/>
        </w:numPr>
        <w:pBdr>
          <w:top w:val="nil" w:sz="0" w:space="0"/>
          <w:left w:val="nil" w:sz="0" w:space="0"/>
          <w:bottom w:val="nil" w:sz="0" w:space="0"/>
          <w:right w:val="nil" w:sz="0" w:space="0"/>
          <w:between w:val="nil" w:sz="0" w:space="0"/>
        </w:pBdr>
        <w:shd w:val="clear" w:fill="auto"/>
        <w:spacing w:before="480" w:after="240" w:line="276" w:lineRule="auto"/>
        <w:ind w:left="720" w:right="0" w:hanging="720"/>
        <w:jc w:val="both"/>
        <w:rPr/>
      </w:pPr>
      <w:bookmarkStart w:name="_heading=h.lif1z3bjjs8e" w:colFirst="0" w:colLast="0" w:id="264"/>
      <w:bookmarkEnd w:id="264"/>
      <w:r w:rsidRPr="00000000" w:rsidDel="00000000" w:rsidR="00000000">
        <w:rPr>
          <w:rFonts w:ascii="Arial" w:hAnsi="Arial" w:eastAsia="Arial" w:cs="Arial"/>
          <w:smallCaps w:val="1"/>
          <w:sz w:val="28"/>
          <w:szCs w:val="28"/>
          <w:rtl w:val="0"/>
        </w:rPr>
        <w:t xml:space="preserve">OFF-CHAIN TRANSACTION MONITORING WORKFLOW</w:t>
      </w:r>
    </w:p>
    <w:p w:rsidRPr="00000000" w:rsidR="00000000" w:rsidDel="00000000" w:rsidP="00000000" w:rsidRDefault="00000000" w14:paraId="0000047C">
      <w:pPr>
        <w:pStyle w:val="Heading2"/>
        <w:numPr>
          <w:ilvl w:val="1"/>
          <w:numId w:val="25"/>
        </w:numPr>
        <w:spacing w:after="240" w:lineRule="auto"/>
        <w:ind w:left="720"/>
        <w:rPr/>
      </w:pPr>
      <w:bookmarkStart w:name="_heading=h.a37rzc1ykm4o" w:colFirst="0" w:colLast="0" w:id="265"/>
      <w:bookmarkEnd w:id="265"/>
      <w:r w:rsidRPr="00000000" w:rsidDel="00000000" w:rsidR="00000000">
        <w:rPr>
          <w:rFonts w:ascii="Arial" w:hAnsi="Arial" w:eastAsia="Arial" w:cs="Arial"/>
          <w:smallCaps w:val="0"/>
          <w:sz w:val="24"/>
          <w:szCs w:val="24"/>
          <w:rtl w:val="0"/>
        </w:rPr>
        <w:t xml:space="preserve">Case prioritization and roles assignment</w:t>
      </w:r>
      <w:r w:rsidRPr="00000000" w:rsidDel="00000000" w:rsidR="00000000">
        <w:rPr>
          <w:rtl w:val="0"/>
        </w:rPr>
      </w:r>
    </w:p>
    <w:p w:rsidRPr="00000000" w:rsidR="00000000" w:rsidDel="00000000" w:rsidP="00000000" w:rsidRDefault="00000000" w14:paraId="0000047D">
      <w:pPr>
        <w:numPr>
          <w:ilvl w:val="2"/>
          <w:numId w:val="25"/>
        </w:numPr>
        <w:spacing w:after="240" w:lineRule="auto"/>
        <w:ind w:left="720" w:hanging="720"/>
        <w:jc w:val="both"/>
        <w:rPr/>
      </w:pPr>
      <w:bookmarkStart w:name="_heading=h.jn2wcocqkjnt" w:colFirst="0" w:colLast="0" w:id="266"/>
      <w:bookmarkEnd w:id="266"/>
      <w:r w:rsidRPr="00000000" w:rsidDel="00000000" w:rsidR="00000000">
        <w:rPr>
          <w:rtl w:val="0"/>
        </w:rPr>
        <w:t xml:space="preserve">Cases generated from the transaction monitoring system must be assigned for work in priority order.</w:t>
      </w:r>
    </w:p>
    <w:p w:rsidRPr="00000000" w:rsidR="00000000" w:rsidDel="00000000" w:rsidP="00000000" w:rsidRDefault="00000000" w14:paraId="0000047E">
      <w:pPr>
        <w:numPr>
          <w:ilvl w:val="2"/>
          <w:numId w:val="25"/>
        </w:numPr>
        <w:spacing w:after="240" w:lineRule="auto"/>
        <w:ind w:left="720" w:hanging="720"/>
        <w:jc w:val="both"/>
        <w:rPr/>
      </w:pPr>
      <w:bookmarkStart w:name="_heading=h.ks4qvqe878hb" w:colFirst="0" w:colLast="0" w:id="267"/>
      <w:bookmarkEnd w:id="267"/>
      <w:r w:rsidRPr="00000000" w:rsidDel="00000000" w:rsidR="00000000">
        <w:rPr>
          <w:rtl w:val="0"/>
        </w:rPr>
        <w:t xml:space="preserve"> The following roles are available within Haodesk Case Management System:</w:t>
      </w:r>
    </w:p>
    <w:p w:rsidRPr="00000000" w:rsidR="00000000" w:rsidDel="00000000" w:rsidP="00000000" w:rsidRDefault="00000000" w14:paraId="0000047F">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Fiat TM Supervisor</w:t>
      </w:r>
    </w:p>
    <w:p w:rsidRPr="00000000" w:rsidR="00000000" w:rsidDel="00000000" w:rsidP="00000000" w:rsidRDefault="00000000" w14:paraId="00000480">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Fiat TM L2 - Checker</w:t>
      </w:r>
    </w:p>
    <w:p w:rsidRPr="00000000" w:rsidR="00000000" w:rsidDel="00000000" w:rsidP="00000000" w:rsidRDefault="00000000" w14:paraId="00000481">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Fiat TM L1 - Maker </w:t>
      </w:r>
    </w:p>
    <w:p w:rsidRPr="00000000" w:rsidR="00000000" w:rsidDel="00000000" w:rsidP="00000000" w:rsidRDefault="00000000" w14:paraId="00000482">
      <w:pPr>
        <w:numPr>
          <w:ilvl w:val="2"/>
          <w:numId w:val="25"/>
        </w:numPr>
        <w:spacing w:after="240" w:lineRule="auto"/>
        <w:ind w:left="720" w:hanging="720"/>
        <w:rPr/>
      </w:pPr>
      <w:bookmarkStart w:name="_heading=h.2crl21ke72t4" w:colFirst="0" w:colLast="0" w:id="268"/>
      <w:bookmarkEnd w:id="268"/>
      <w:r w:rsidRPr="00000000" w:rsidDel="00000000" w:rsidR="00000000">
        <w:rPr>
          <w:rtl w:val="0"/>
        </w:rPr>
        <w:t xml:space="preserve">Only Team Leads and L2 Analysts (Checkers) may be assigned as “Fiat TM Supervisor”.</w:t>
      </w:r>
    </w:p>
    <w:p w:rsidRPr="00000000" w:rsidR="00000000" w:rsidDel="00000000" w:rsidP="00000000" w:rsidRDefault="00000000" w14:paraId="00000483">
      <w:pPr>
        <w:numPr>
          <w:ilvl w:val="2"/>
          <w:numId w:val="25"/>
        </w:numPr>
        <w:spacing w:after="240" w:lineRule="auto"/>
        <w:ind w:left="720" w:hanging="720"/>
        <w:jc w:val="both"/>
        <w:rPr/>
      </w:pPr>
      <w:bookmarkStart w:name="_heading=h.5wxjtrjcdhr2" w:colFirst="0" w:colLast="0" w:id="269"/>
      <w:bookmarkEnd w:id="269"/>
      <w:r w:rsidRPr="00000000" w:rsidDel="00000000" w:rsidR="00000000">
        <w:rPr>
          <w:rtl w:val="0"/>
        </w:rPr>
        <w:t xml:space="preserve">L1s (Analysts) are to be assigned “Fiat TM L1 Maker” according to the following Skill levels (S1 – S4):</w:t>
      </w:r>
    </w:p>
    <w:p w:rsidRPr="00000000" w:rsidR="00000000" w:rsidDel="00000000" w:rsidP="00000000" w:rsidRDefault="00000000" w14:paraId="00000484">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bookmarkStart w:name="_heading=h.87w507cnhj73" w:colFirst="0" w:colLast="0" w:id="270"/>
      <w:bookmarkEnd w:id="270"/>
      <w:r w:rsidRPr="00000000" w:rsidDel="00000000" w:rsidR="00000000">
        <w:rPr>
          <w:i w:val="0"/>
          <w:iCs w:val="0"/>
          <w:smallCaps w:val="0"/>
          <w:strike w:val="0"/>
          <w:color w:val="000000"/>
          <w:sz w:val="22"/>
          <w:szCs w:val="22"/>
          <w:u w:val="none"/>
          <w:shd w:val="clear" w:fill="auto"/>
          <w:vertAlign w:val="baseline"/>
          <w:rtl w:val="0"/>
        </w:rPr>
        <w:t xml:space="preserve">Regulated Entity Tagged Users - (A1 to A5 &amp; &gt;=S2)</w:t>
      </w:r>
    </w:p>
    <w:p w:rsidRPr="00000000" w:rsidR="00000000" w:rsidDel="00000000" w:rsidP="00000000" w:rsidRDefault="00000000" w14:paraId="00000485">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Regulated Jurisdictions - (A1 to A5 &amp; &gt;=S2) </w:t>
      </w:r>
    </w:p>
    <w:p w:rsidRPr="00000000" w:rsidR="00000000" w:rsidDel="00000000" w:rsidP="00000000" w:rsidRDefault="00000000" w14:paraId="00000486">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Age of alerts - (A1 to A5 &amp; S1 to S4)</w:t>
      </w:r>
    </w:p>
    <w:p w:rsidRPr="00000000" w:rsidR="00000000" w:rsidDel="00000000" w:rsidP="00000000" w:rsidRDefault="00000000" w14:paraId="00000487">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No. of Alerts</w:t>
      </w:r>
      <w:r w:rsidRPr="00000000" w:rsidDel="00000000" w:rsidR="00000000">
        <w:rPr>
          <w:i w:val="0"/>
          <w:iCs w:val="0"/>
          <w:smallCaps w:val="0"/>
          <w:strike w:val="0"/>
          <w:color w:val="000000"/>
          <w:sz w:val="22"/>
          <w:szCs w:val="22"/>
          <w:u w:val="none"/>
          <w:shd w:val="clear" w:fill="auto"/>
          <w:vertAlign w:val="superscript"/>
        </w:rPr>
        <w:footnoteReference w:customMarkFollows="0" w:id="7"/>
      </w:r>
      <w:r w:rsidRPr="00000000" w:rsidDel="00000000" w:rsidR="00000000">
        <w:rPr>
          <w:i w:val="0"/>
          <w:iCs w:val="0"/>
          <w:smallCaps w:val="0"/>
          <w:strike w:val="0"/>
          <w:color w:val="000000"/>
          <w:sz w:val="22"/>
          <w:szCs w:val="22"/>
          <w:u w:val="none"/>
          <w:shd w:val="clear" w:fill="auto"/>
          <w:vertAlign w:val="baseline"/>
          <w:rtl w:val="0"/>
        </w:rPr>
        <w:t xml:space="preserve"> - (A1 to A5 &amp; S1 to S4)</w:t>
      </w:r>
    </w:p>
    <w:p w:rsidRPr="00000000" w:rsidR="00000000" w:rsidDel="00000000" w:rsidP="00000000" w:rsidRDefault="00000000" w14:paraId="00000488">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VIP 3 and above - (A1 to A5 &amp; &gt;=S2)</w:t>
      </w:r>
    </w:p>
    <w:p w:rsidRPr="00000000" w:rsidR="00000000" w:rsidDel="00000000" w:rsidP="00000000" w:rsidRDefault="00000000" w14:paraId="00000489">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Entity Type (Corporate) - (A1 to A5 &amp; &gt;=S3)</w:t>
      </w:r>
    </w:p>
    <w:p w:rsidRPr="00000000" w:rsidR="00000000" w:rsidDel="00000000" w:rsidP="00000000" w:rsidRDefault="00000000" w14:paraId="0000048A">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Entity Type (Retail) - (A1 to A5 &amp; S1 to S4)</w:t>
      </w:r>
    </w:p>
    <w:p w:rsidRPr="00000000" w:rsidR="00000000" w:rsidDel="00000000" w:rsidP="00000000" w:rsidRDefault="00000000" w14:paraId="0000048B">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Unregulated Jurisdictions - (A1 to A5 &amp; S1 to S4)</w:t>
      </w:r>
    </w:p>
    <w:p w:rsidRPr="00000000" w:rsidR="00000000" w:rsidDel="00000000" w:rsidP="00000000" w:rsidRDefault="00000000" w14:paraId="0000048C">
      <w:pPr>
        <w:numPr>
          <w:ilvl w:val="2"/>
          <w:numId w:val="25"/>
        </w:numPr>
        <w:spacing w:after="240" w:lineRule="auto"/>
        <w:ind w:left="720" w:hanging="720"/>
        <w:jc w:val="both"/>
        <w:rPr/>
      </w:pPr>
      <w:bookmarkStart w:name="_heading=h.u9u6spw8o4ve" w:colFirst="0" w:colLast="0" w:id="271"/>
      <w:bookmarkEnd w:id="271"/>
      <w:r w:rsidRPr="00000000" w:rsidDel="00000000" w:rsidR="00000000">
        <w:rPr>
          <w:rtl w:val="0"/>
        </w:rPr>
        <w:t xml:space="preserve">Within the sub skill sets to add “FIAT-TM - All Entity Tagged” and the respective breakdown of entities. Full list added as follows (subject to change in accordance with amendments to the applicable regulatory jurisdictions):</w:t>
      </w:r>
    </w:p>
    <w:p w:rsidRPr="00000000" w:rsidR="00000000" w:rsidDel="00000000" w:rsidP="00000000" w:rsidRDefault="00000000" w14:paraId="0000048D">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.AE (Reg)</w:t>
      </w:r>
    </w:p>
    <w:p w:rsidRPr="00000000" w:rsidR="00000000" w:rsidDel="00000000" w:rsidP="00000000" w:rsidRDefault="00000000" w14:paraId="0000048E">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.AU (Reg)</w:t>
      </w:r>
    </w:p>
    <w:p w:rsidRPr="00000000" w:rsidR="00000000" w:rsidDel="00000000" w:rsidP="00000000" w:rsidRDefault="00000000" w14:paraId="0000048F">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.PL_BE</w:t>
      </w:r>
    </w:p>
    <w:p w:rsidRPr="00000000" w:rsidR="00000000" w:rsidDel="00000000" w:rsidP="00000000" w:rsidRDefault="00000000" w14:paraId="00000490">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.BINANCE_BAHRAIN (Reg)</w:t>
      </w:r>
    </w:p>
    <w:p w:rsidRPr="00000000" w:rsidR="00000000" w:rsidDel="00000000" w:rsidP="00000000" w:rsidRDefault="00000000" w14:paraId="00000491">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.FR (Reg)</w:t>
      </w:r>
    </w:p>
    <w:p w:rsidRPr="00000000" w:rsidR="00000000" w:rsidDel="00000000" w:rsidP="00000000" w:rsidRDefault="00000000" w14:paraId="00000492">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.ES (Reg)</w:t>
      </w:r>
    </w:p>
    <w:p w:rsidRPr="00000000" w:rsidR="00000000" w:rsidDel="00000000" w:rsidP="00000000" w:rsidRDefault="00000000" w14:paraId="00000493">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.UK (Reg), .UK_Titan (Reg)</w:t>
      </w:r>
    </w:p>
    <w:p w:rsidRPr="00000000" w:rsidR="00000000" w:rsidDel="00000000" w:rsidP="00000000" w:rsidRDefault="00000000" w14:paraId="00000494">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.IN (Reg)</w:t>
      </w:r>
    </w:p>
    <w:p w:rsidRPr="00000000" w:rsidR="00000000" w:rsidDel="00000000" w:rsidP="00000000" w:rsidRDefault="00000000" w14:paraId="00000495">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.IT (Reg)</w:t>
      </w:r>
    </w:p>
    <w:p w:rsidRPr="00000000" w:rsidR="00000000" w:rsidDel="00000000" w:rsidP="00000000" w:rsidRDefault="00000000" w14:paraId="00000496">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.JP (Reg)</w:t>
      </w:r>
    </w:p>
    <w:p w:rsidRPr="00000000" w:rsidR="00000000" w:rsidDel="00000000" w:rsidP="00000000" w:rsidRDefault="00000000" w14:paraId="00000497">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.KZ (Reg)</w:t>
      </w:r>
    </w:p>
    <w:p w:rsidRPr="00000000" w:rsidR="00000000" w:rsidDel="00000000" w:rsidP="00000000" w:rsidRDefault="00000000" w14:paraId="00000498">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.LT (Reg) </w:t>
      </w:r>
    </w:p>
    <w:p w:rsidRPr="00000000" w:rsidR="00000000" w:rsidDel="00000000" w:rsidP="00000000" w:rsidRDefault="00000000" w14:paraId="00000499">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.NZ (Reg)</w:t>
      </w:r>
    </w:p>
    <w:p w:rsidRPr="00000000" w:rsidR="00000000" w:rsidDel="00000000" w:rsidP="00000000" w:rsidRDefault="00000000" w14:paraId="0000049A">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.PL (Reg)</w:t>
      </w:r>
    </w:p>
    <w:p w:rsidRPr="00000000" w:rsidR="00000000" w:rsidDel="00000000" w:rsidP="00000000" w:rsidRDefault="00000000" w14:paraId="0000049B">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.SE (Reg)</w:t>
      </w:r>
    </w:p>
    <w:p w:rsidRPr="00000000" w:rsidR="00000000" w:rsidDel="00000000" w:rsidP="00000000" w:rsidRDefault="00000000" w14:paraId="0000049C">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Thailand  (Reg but not Entity tagged)</w:t>
      </w:r>
    </w:p>
    <w:p w:rsidRPr="00000000" w:rsidR="00000000" w:rsidDel="00000000" w:rsidP="00000000" w:rsidRDefault="00000000" w14:paraId="0000049D">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Mexico (Reg but not Entity tagged - based on Country of Residency)</w:t>
      </w:r>
    </w:p>
    <w:p w:rsidRPr="00000000" w:rsidR="00000000" w:rsidDel="00000000" w:rsidP="00000000" w:rsidRDefault="00000000" w14:paraId="0000049E">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El Salvador  (Reg but not Entity tagged- based on Country of Residency)</w:t>
      </w:r>
    </w:p>
    <w:p w:rsidRPr="00000000" w:rsidR="00000000" w:rsidDel="00000000" w:rsidP="00000000" w:rsidRDefault="00000000" w14:paraId="0000049F">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.AR (Reg)</w:t>
      </w:r>
    </w:p>
    <w:p w:rsidRPr="00000000" w:rsidR="00000000" w:rsidDel="00000000" w:rsidP="00000000" w:rsidRDefault="00000000" w14:paraId="000004A0">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.CO (Reg)</w:t>
      </w:r>
    </w:p>
    <w:p w:rsidRPr="00000000" w:rsidR="00000000" w:rsidDel="00000000" w:rsidP="00000000" w:rsidRDefault="00000000" w14:paraId="000004A1">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.BR (Reg)</w:t>
      </w:r>
    </w:p>
    <w:p w:rsidRPr="00000000" w:rsidR="00000000" w:rsidDel="00000000" w:rsidP="00000000" w:rsidRDefault="00000000" w14:paraId="000004A2">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.TR (Reg)</w:t>
      </w:r>
    </w:p>
    <w:p w:rsidRPr="00000000" w:rsidR="00000000" w:rsidDel="00000000" w:rsidP="00000000" w:rsidRDefault="00000000" w14:paraId="000004A3">
      <w:pPr>
        <w:spacing w:after="240" w:lineRule="auto"/>
        <w:ind w:left="720" w:firstLine="0"/>
        <w:jc w:val="both"/>
        <w:rPr/>
      </w:pPr>
      <w:bookmarkStart w:name="_heading=h.vbv3rmr5v0b5" w:colFirst="0" w:colLast="0" w:id="272"/>
      <w:bookmarkEnd w:id="272"/>
      <w:r w:rsidRPr="00000000" w:rsidDel="00000000" w:rsidR="00000000">
        <w:rPr>
          <w:rtl w:val="0"/>
        </w:rPr>
        <w:t xml:space="preserve">Skill levels (Assigned to each analyst)</w:t>
      </w:r>
    </w:p>
    <w:p w:rsidRPr="00000000" w:rsidR="00000000" w:rsidDel="00000000" w:rsidP="00000000" w:rsidRDefault="00000000" w14:paraId="000004A4">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S1- Non-regulated cases + Retail</w:t>
      </w:r>
    </w:p>
    <w:p w:rsidRPr="00000000" w:rsidR="00000000" w:rsidDel="00000000" w:rsidP="00000000" w:rsidRDefault="00000000" w14:paraId="000004A5">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S2- Regulated cases + Retail + VIP 1 &amp; 2</w:t>
      </w:r>
    </w:p>
    <w:p w:rsidRPr="00000000" w:rsidR="00000000" w:rsidDel="00000000" w:rsidP="00000000" w:rsidRDefault="00000000" w14:paraId="000004A6">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S3- Regulated cases + Retail + VIP 3 and above, Corporate cases</w:t>
      </w:r>
    </w:p>
    <w:p w:rsidRPr="00000000" w:rsidR="00000000" w:rsidDel="00000000" w:rsidP="00000000" w:rsidRDefault="00000000" w14:paraId="000004A7">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S4- Senior (remain unchanged)</w:t>
      </w:r>
    </w:p>
    <w:p w:rsidRPr="00000000" w:rsidR="00000000" w:rsidDel="00000000" w:rsidP="00000000" w:rsidRDefault="00000000" w14:paraId="000004A8">
      <w:pPr>
        <w:numPr>
          <w:ilvl w:val="2"/>
          <w:numId w:val="25"/>
        </w:numPr>
        <w:spacing w:after="240" w:lineRule="auto"/>
        <w:ind w:left="720" w:hanging="720"/>
        <w:jc w:val="both"/>
        <w:rPr/>
      </w:pPr>
      <w:bookmarkStart w:name="_heading=h.g7ed1hnep5ka" w:colFirst="0" w:colLast="0" w:id="273"/>
      <w:bookmarkEnd w:id="273"/>
      <w:r w:rsidRPr="00000000" w:rsidDel="00000000" w:rsidR="00000000">
        <w:rPr>
          <w:rtl w:val="0"/>
        </w:rPr>
        <w:t xml:space="preserve">Once the Skill levels are set for the L1 analysts, “Sub-skills” can be adjusted to ensure specific jurisdiction/source format alerts are auto-assigned to analysts.</w:t>
      </w:r>
    </w:p>
    <w:p w:rsidRPr="00000000" w:rsidR="00000000" w:rsidDel="00000000" w:rsidP="00000000" w:rsidRDefault="00000000" w14:paraId="000004A9">
      <w:pPr>
        <w:numPr>
          <w:ilvl w:val="2"/>
          <w:numId w:val="25"/>
        </w:numPr>
        <w:spacing w:after="240" w:lineRule="auto"/>
        <w:ind w:left="720" w:hanging="720"/>
        <w:jc w:val="both"/>
        <w:rPr/>
      </w:pPr>
      <w:bookmarkStart w:name="_heading=h.j9gla2lg8a48" w:colFirst="0" w:colLast="0" w:id="274"/>
      <w:bookmarkEnd w:id="274"/>
      <w:r w:rsidRPr="00000000" w:rsidDel="00000000" w:rsidR="00000000">
        <w:rPr>
          <w:rtl w:val="0"/>
        </w:rPr>
        <w:t xml:space="preserve">Adjustments can be made to assign only cases:</w:t>
      </w:r>
    </w:p>
    <w:p w:rsidRPr="00000000" w:rsidR="00000000" w:rsidDel="00000000" w:rsidP="00000000" w:rsidRDefault="00000000" w14:paraId="000004AA">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Particular jurisdiction (ex. FIAT-TM-IT) or all countries (FIAT-TM-All Countries)</w:t>
      </w:r>
    </w:p>
    <w:p w:rsidRPr="00000000" w:rsidR="00000000" w:rsidDel="00000000" w:rsidP="00000000" w:rsidRDefault="00000000" w14:paraId="000004AB">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Particular source format (ex. FIAT-TM - Binance Pay or FIAT-TM - Binance Kazakhstan)</w:t>
      </w:r>
    </w:p>
    <w:p w:rsidRPr="00000000" w:rsidR="00000000" w:rsidDel="00000000" w:rsidP="00000000" w:rsidRDefault="00000000" w14:paraId="000004AC">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Particular analysts group whose access/approach requires separation (ex. FIAT-TM - BPO).</w:t>
      </w:r>
    </w:p>
    <w:p w:rsidRPr="00000000" w:rsidR="00000000" w:rsidDel="00000000" w:rsidP="00000000" w:rsidRDefault="00000000" w14:paraId="000004AD">
      <w:pPr>
        <w:numPr>
          <w:ilvl w:val="2"/>
          <w:numId w:val="25"/>
        </w:numPr>
        <w:spacing w:after="240" w:lineRule="auto"/>
        <w:ind w:left="720" w:hanging="720"/>
        <w:jc w:val="both"/>
        <w:rPr/>
      </w:pPr>
      <w:bookmarkStart w:name="_heading=h.4inxqick1tib" w:colFirst="0" w:colLast="0" w:id="275"/>
      <w:bookmarkEnd w:id="275"/>
      <w:r w:rsidRPr="00000000" w:rsidDel="00000000" w:rsidR="00000000">
        <w:rPr>
          <w:rtl w:val="0"/>
        </w:rPr>
        <w:t xml:space="preserve">Cases must be monitored and tracked via team leads to ensure they are assigned and completed within relevant timeframes, and that overall volumes can be completed within the overall SLA. </w:t>
      </w:r>
    </w:p>
    <w:p w:rsidRPr="00000000" w:rsidR="00000000" w:rsidDel="00000000" w:rsidP="00000000" w:rsidRDefault="00000000" w14:paraId="000004AE">
      <w:pPr>
        <w:numPr>
          <w:ilvl w:val="2"/>
          <w:numId w:val="25"/>
        </w:numPr>
        <w:spacing w:after="240" w:lineRule="auto"/>
        <w:ind w:left="720" w:hanging="720"/>
        <w:jc w:val="both"/>
        <w:rPr/>
      </w:pPr>
      <w:bookmarkStart w:name="_heading=h.fo1nnp1cwupr" w:colFirst="0" w:colLast="0" w:id="276"/>
      <w:bookmarkEnd w:id="276"/>
      <w:r w:rsidRPr="00000000" w:rsidDel="00000000" w:rsidR="00000000">
        <w:rPr>
          <w:rtl w:val="0"/>
        </w:rPr>
        <w:t xml:space="preserve">TM Managers/Team Leaders (as applicable) should review assigned cases to Analysts (on the case management system) periodically via:</w:t>
      </w:r>
    </w:p>
    <w:p w:rsidRPr="00000000" w:rsidR="00000000" w:rsidDel="00000000" w:rsidP="00000000" w:rsidRDefault="00000000" w14:paraId="000004AF">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Regulated Jurisdictions</w:t>
      </w:r>
    </w:p>
    <w:p w:rsidRPr="00000000" w:rsidR="00000000" w:rsidDel="00000000" w:rsidP="00000000" w:rsidRDefault="00000000" w14:paraId="000004B0">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Age of alerts</w:t>
      </w:r>
    </w:p>
    <w:p w:rsidRPr="00000000" w:rsidR="00000000" w:rsidDel="00000000" w:rsidP="00000000" w:rsidRDefault="00000000" w14:paraId="000004B1">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Number of alerts</w:t>
      </w:r>
    </w:p>
    <w:p w:rsidRPr="00000000" w:rsidR="00000000" w:rsidDel="00000000" w:rsidP="00000000" w:rsidRDefault="00000000" w14:paraId="000004B2">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VIP 3 and above</w:t>
      </w:r>
    </w:p>
    <w:p w:rsidRPr="00000000" w:rsidR="00000000" w:rsidDel="00000000" w:rsidP="00000000" w:rsidRDefault="00000000" w14:paraId="000004B3">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Entity Type (Corporate)</w:t>
      </w:r>
    </w:p>
    <w:p w:rsidRPr="00000000" w:rsidR="00000000" w:rsidDel="00000000" w:rsidP="00000000" w:rsidRDefault="00000000" w14:paraId="000004B4">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Entity Type (Retail)</w:t>
      </w:r>
    </w:p>
    <w:p w:rsidRPr="00000000" w:rsidR="00000000" w:rsidDel="00000000" w:rsidP="00000000" w:rsidRDefault="00000000" w14:paraId="000004B5">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Unregulated Jurisdictions</w:t>
      </w:r>
    </w:p>
    <w:p w:rsidRPr="00000000" w:rsidR="00000000" w:rsidDel="00000000" w:rsidP="00000000" w:rsidRDefault="00000000" w14:paraId="000004B6">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VIP 0 - 2</w:t>
      </w:r>
    </w:p>
    <w:p w:rsidRPr="00000000" w:rsidR="00000000" w:rsidDel="00000000" w:rsidP="00000000" w:rsidRDefault="00000000" w14:paraId="000004B7">
      <w:pPr>
        <w:numPr>
          <w:ilvl w:val="2"/>
          <w:numId w:val="25"/>
        </w:numPr>
        <w:spacing w:after="240" w:lineRule="auto"/>
        <w:ind w:left="720" w:hanging="720"/>
        <w:jc w:val="both"/>
        <w:rPr/>
      </w:pPr>
      <w:bookmarkStart w:name="_heading=h.jo5raqyjn696" w:colFirst="0" w:colLast="0" w:id="277"/>
      <w:bookmarkEnd w:id="277"/>
      <w:r w:rsidRPr="00000000" w:rsidDel="00000000" w:rsidR="00000000">
        <w:rPr>
          <w:rtl w:val="0"/>
        </w:rPr>
        <w:t xml:space="preserve">Team Leaders/TM Managers should utilize the metrics from the transaction monitoring system on volumes and adherence to the 30 calendar day deadline. </w:t>
      </w:r>
    </w:p>
    <w:p w:rsidRPr="00000000" w:rsidR="00000000" w:rsidDel="00000000" w:rsidP="00000000" w:rsidRDefault="00000000" w14:paraId="000004B8">
      <w:pPr>
        <w:numPr>
          <w:ilvl w:val="2"/>
          <w:numId w:val="25"/>
        </w:numPr>
        <w:spacing w:after="240" w:lineRule="auto"/>
        <w:ind w:left="720" w:hanging="720"/>
        <w:jc w:val="both"/>
        <w:rPr/>
      </w:pPr>
      <w:bookmarkStart w:name="_heading=h.jyri2qelu25x" w:colFirst="0" w:colLast="0" w:id="278"/>
      <w:bookmarkEnd w:id="278"/>
      <w:r w:rsidRPr="00000000" w:rsidDel="00000000" w:rsidR="00000000">
        <w:rPr>
          <w:rtl w:val="0"/>
        </w:rPr>
        <w:t xml:space="preserve">If cases cannot be assigned or completed within 30 calendar days, this must be reported to senior management through weekly reporting and to the Global TM Lead.</w:t>
      </w:r>
    </w:p>
    <w:p w:rsidRPr="00000000" w:rsidR="00000000" w:rsidDel="00000000" w:rsidP="00000000" w:rsidRDefault="00000000" w14:paraId="000004B9">
      <w:pPr>
        <w:numPr>
          <w:ilvl w:val="2"/>
          <w:numId w:val="25"/>
        </w:numPr>
        <w:spacing w:after="240" w:lineRule="auto"/>
        <w:ind w:left="720" w:hanging="720"/>
        <w:jc w:val="both"/>
        <w:rPr/>
      </w:pPr>
      <w:bookmarkStart w:name="_heading=h.wgudneuf6snl" w:colFirst="0" w:colLast="0" w:id="279"/>
      <w:bookmarkEnd w:id="279"/>
      <w:r w:rsidRPr="00000000" w:rsidDel="00000000" w:rsidR="00000000">
        <w:rPr>
          <w:rtl w:val="0"/>
        </w:rPr>
        <w:t xml:space="preserve">The following steps must be undertaken when reviewing cases assigned to Analysts:</w:t>
      </w:r>
    </w:p>
    <w:p w:rsidRPr="00000000" w:rsidR="00000000" w:rsidDel="00000000" w:rsidP="00000000" w:rsidRDefault="00000000" w14:paraId="000004BA">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All cases assigned in priority order.</w:t>
      </w:r>
    </w:p>
    <w:p w:rsidRPr="00000000" w:rsidR="00000000" w:rsidDel="00000000" w:rsidP="00000000" w:rsidRDefault="00000000" w14:paraId="000004BB">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The Analyst must combine multiple cases for the same subject into a single case.</w:t>
      </w:r>
    </w:p>
    <w:p w:rsidRPr="00000000" w:rsidR="00000000" w:rsidDel="00000000" w:rsidP="00000000" w:rsidRDefault="00000000" w14:paraId="000004BC">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Unless advised otherwise, the analyst must work the oldest case first in their workflow.</w:t>
      </w:r>
    </w:p>
    <w:p w:rsidRPr="00000000" w:rsidR="00000000" w:rsidDel="00000000" w:rsidP="00000000" w:rsidRDefault="00000000" w14:paraId="000004BD">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Employee-related cases (i.e. alerts/cases that involve Binance Group employees) must be generated into a segregated queue, where systemically/operationally possible, with supervisory access controls.  These cases should be reviewed by Transaction Monitoring Team Leads and document the case and findings within</w:t>
      </w:r>
      <w:hyperlink r:id="rId53">
        <w:r w:rsidRPr="00000000" w:rsidDel="00000000" w:rsidR="00000000">
          <w:rPr>
            <w:i w:val="0"/>
            <w:iCs w:val="0"/>
            <w:smallCaps w:val="0"/>
            <w:strike w:val="0"/>
            <w:color w:val="1155cc"/>
            <w:sz w:val="22"/>
            <w:szCs w:val="22"/>
            <w:u w:val="none"/>
            <w:shd w:val="clear" w:fill="auto"/>
            <w:vertAlign w:val="baseline"/>
            <w:rtl w:val="0"/>
          </w:rPr>
          <w:t xml:space="preserve"> </w:t>
        </w:r>
      </w:hyperlink>
      <w:hyperlink r:id="rId54">
        <w:r w:rsidRPr="00000000" w:rsidDel="00000000" w:rsidR="00000000">
          <w:rPr>
            <w:i w:val="0"/>
            <w:iCs w:val="0"/>
            <w:smallCaps w:val="0"/>
            <w:strike w:val="0"/>
            <w:color w:val="1155cc"/>
            <w:sz w:val="22"/>
            <w:szCs w:val="22"/>
            <w:u w:val="single"/>
            <w:shd w:val="clear" w:fill="auto"/>
            <w:vertAlign w:val="baseline"/>
            <w:rtl w:val="0"/>
          </w:rPr>
          <w:t xml:space="preserve">Employee Account Reviews</w:t>
        </w:r>
      </w:hyperlink>
      <w:r w:rsidRPr="00000000" w:rsidDel="00000000" w:rsidR="00000000">
        <w:rPr>
          <w:i w:val="0"/>
          <w:iCs w:val="0"/>
          <w:smallCaps w:val="0"/>
          <w:strike w:val="0"/>
          <w:color w:val="000000"/>
          <w:sz w:val="22"/>
          <w:szCs w:val="22"/>
          <w:u w:val="none"/>
          <w:shd w:val="clear" w:fill="auto"/>
          <w:vertAlign w:val="baseline"/>
          <w:rtl w:val="0"/>
        </w:rPr>
        <w:t xml:space="preserve">, of which access is strictly managed.</w:t>
      </w:r>
    </w:p>
    <w:p w:rsidRPr="00000000" w:rsidR="00000000" w:rsidDel="00000000" w:rsidP="00000000" w:rsidRDefault="00000000" w14:paraId="000004BE">
      <w:pPr>
        <w:pStyle w:val="Heading2"/>
        <w:numPr>
          <w:ilvl w:val="1"/>
          <w:numId w:val="25"/>
        </w:numPr>
        <w:rPr/>
      </w:pPr>
      <w:bookmarkStart w:name="_heading=h.nymto3b6zwvi" w:colFirst="0" w:colLast="0" w:id="280"/>
      <w:bookmarkEnd w:id="280"/>
      <w:r w:rsidRPr="00000000" w:rsidDel="00000000" w:rsidR="00000000">
        <w:rPr>
          <w:rFonts w:ascii="Arial" w:hAnsi="Arial" w:eastAsia="Arial" w:cs="Arial"/>
          <w:smallCaps w:val="0"/>
          <w:sz w:val="24"/>
          <w:szCs w:val="24"/>
          <w:rtl w:val="0"/>
        </w:rPr>
        <w:t xml:space="preserve">Why Case(s) Raised</w:t>
      </w:r>
      <w:r w:rsidRPr="00000000" w:rsidDel="00000000" w:rsidR="00000000">
        <w:rPr>
          <w:rtl w:val="0"/>
        </w:rPr>
      </w:r>
    </w:p>
    <w:p w:rsidRPr="00000000" w:rsidR="00000000" w:rsidDel="00000000" w:rsidP="00000000" w:rsidRDefault="00000000" w14:paraId="000004BF">
      <w:pPr>
        <w:numPr>
          <w:ilvl w:val="2"/>
          <w:numId w:val="25"/>
        </w:numPr>
        <w:spacing w:after="240" w:lineRule="auto"/>
        <w:ind w:left="720" w:hanging="720"/>
        <w:jc w:val="both"/>
        <w:rPr/>
      </w:pPr>
      <w:bookmarkStart w:name="_heading=h.sh8a3bigpesy" w:colFirst="0" w:colLast="0" w:id="281"/>
      <w:bookmarkEnd w:id="281"/>
      <w:r w:rsidRPr="00000000" w:rsidDel="00000000" w:rsidR="00000000">
        <w:rPr>
          <w:rtl w:val="0"/>
        </w:rPr>
        <w:t xml:space="preserve">The Analyst needs to understand what user’s behavior has triggered the alert, while reviewing the case Alert triggering scenarios have been created to detect typologies that are indicative of financial crime risk.</w:t>
      </w:r>
    </w:p>
    <w:p w:rsidRPr="00000000" w:rsidR="00000000" w:rsidDel="00000000" w:rsidP="00000000" w:rsidRDefault="00000000" w14:paraId="000004C0">
      <w:pPr>
        <w:numPr>
          <w:ilvl w:val="2"/>
          <w:numId w:val="25"/>
        </w:numPr>
        <w:spacing w:after="240" w:lineRule="auto"/>
        <w:ind w:left="720" w:hanging="720"/>
        <w:jc w:val="both"/>
        <w:rPr/>
      </w:pPr>
      <w:bookmarkStart w:name="_heading=h.qb5x5ymmata9" w:colFirst="0" w:colLast="0" w:id="282"/>
      <w:bookmarkEnd w:id="282"/>
      <w:r w:rsidRPr="00000000" w:rsidDel="00000000" w:rsidR="00000000">
        <w:rPr>
          <w:rtl w:val="0"/>
        </w:rPr>
        <w:t xml:space="preserve">In reviewing the alert(s), the Analyst should consider from the non-exhaustive factors:</w:t>
      </w:r>
    </w:p>
    <w:p w:rsidRPr="00000000" w:rsidR="00000000" w:rsidDel="00000000" w:rsidP="00000000" w:rsidRDefault="00000000" w14:paraId="000004C1">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Why the case(s) was/were raised – understand why generated/raised</w:t>
      </w:r>
    </w:p>
    <w:p w:rsidRPr="00000000" w:rsidR="00000000" w:rsidDel="00000000" w:rsidP="00000000" w:rsidRDefault="00000000" w14:paraId="000004C2">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What are the typologies of concern e.g. what scenarios have alerted?</w:t>
      </w:r>
    </w:p>
    <w:p w:rsidRPr="00000000" w:rsidR="00000000" w:rsidDel="00000000" w:rsidP="00000000" w:rsidRDefault="00000000" w14:paraId="000004C3">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Have all of the violations alerted activities contained within the case been reviewed and understood?</w:t>
      </w:r>
    </w:p>
    <w:p w:rsidRPr="00000000" w:rsidR="00000000" w:rsidDel="00000000" w:rsidP="00000000" w:rsidRDefault="00000000" w14:paraId="000004C4">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Are there different Risk indicators across multiple products? Are they the same? Do they look connected?</w:t>
      </w:r>
    </w:p>
    <w:p w:rsidRPr="00000000" w:rsidR="00000000" w:rsidDel="00000000" w:rsidP="00000000" w:rsidRDefault="00000000" w14:paraId="000004C5">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Are the risk indicators connected e.g. risk indicators related to the same transactional activity?</w:t>
      </w:r>
    </w:p>
    <w:p w:rsidRPr="00000000" w:rsidR="00000000" w:rsidDel="00000000" w:rsidP="00000000" w:rsidRDefault="00000000" w14:paraId="000004C6">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The applicable/reviewed products</w:t>
      </w:r>
    </w:p>
    <w:p w:rsidRPr="00000000" w:rsidR="00000000" w:rsidDel="00000000" w:rsidP="00000000" w:rsidRDefault="00000000" w14:paraId="000004C7">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What is the period of alerted activity?</w:t>
      </w:r>
    </w:p>
    <w:p w:rsidRPr="00000000" w:rsidR="00000000" w:rsidDel="00000000" w:rsidP="00000000" w:rsidRDefault="00000000" w14:paraId="000004C8">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What is the transaction method? (the relevant credit and/or debit activity)?</w:t>
      </w:r>
    </w:p>
    <w:p w:rsidRPr="00000000" w:rsidR="00000000" w:rsidDel="00000000" w:rsidP="00000000" w:rsidRDefault="00000000" w14:paraId="000004C9">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What is the transactional value/volume of concern?</w:t>
      </w:r>
    </w:p>
    <w:p w:rsidRPr="00000000" w:rsidR="00000000" w:rsidDel="00000000" w:rsidP="00000000" w:rsidRDefault="00000000" w14:paraId="000004CA">
      <w:pPr>
        <w:pStyle w:val="Heading2"/>
        <w:numPr>
          <w:ilvl w:val="1"/>
          <w:numId w:val="25"/>
        </w:numPr>
        <w:spacing w:after="240" w:lineRule="auto"/>
        <w:ind w:left="720"/>
        <w:jc w:val="both"/>
        <w:rPr/>
      </w:pPr>
      <w:bookmarkStart w:name="_heading=h.xj1uqaxkwkf3" w:colFirst="0" w:colLast="0" w:id="283"/>
      <w:bookmarkEnd w:id="283"/>
      <w:r w:rsidRPr="00000000" w:rsidDel="00000000" w:rsidR="00000000">
        <w:rPr>
          <w:rFonts w:ascii="Arial" w:hAnsi="Arial" w:eastAsia="Arial" w:cs="Arial"/>
          <w:smallCaps w:val="0"/>
          <w:sz w:val="24"/>
          <w:szCs w:val="24"/>
          <w:rtl w:val="0"/>
        </w:rPr>
        <w:t xml:space="preserve">Case Analysis</w:t>
      </w:r>
      <w:r w:rsidRPr="00000000" w:rsidDel="00000000" w:rsidR="00000000">
        <w:rPr>
          <w:rtl w:val="0"/>
        </w:rPr>
      </w:r>
    </w:p>
    <w:p w:rsidRPr="00000000" w:rsidR="00000000" w:rsidDel="00000000" w:rsidP="00000000" w:rsidRDefault="00000000" w14:paraId="000004CB">
      <w:pPr>
        <w:numPr>
          <w:ilvl w:val="2"/>
          <w:numId w:val="25"/>
        </w:numPr>
        <w:spacing w:after="240" w:lineRule="auto"/>
        <w:ind w:left="720" w:hanging="720"/>
        <w:jc w:val="both"/>
        <w:rPr/>
      </w:pPr>
      <w:bookmarkStart w:name="_heading=h.sdks2l59sddw" w:colFirst="0" w:colLast="0" w:id="284"/>
      <w:bookmarkEnd w:id="284"/>
      <w:r w:rsidRPr="00000000" w:rsidDel="00000000" w:rsidR="00000000">
        <w:rPr>
          <w:rtl w:val="0"/>
        </w:rPr>
        <w:t xml:space="preserve">The Analyst must enter the date range of the transaction review period (inclusive of the date of the alert itself):</w:t>
      </w:r>
    </w:p>
    <w:p w:rsidRPr="00000000" w:rsidR="00000000" w:rsidDel="00000000" w:rsidP="00000000" w:rsidRDefault="00000000" w14:paraId="000004CC">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Offchain TM analysts to perform a fixed 1 month lookback period from the first alerted transaction date and up to the last alerted transaction date</w:t>
      </w:r>
    </w:p>
    <w:p w:rsidRPr="00000000" w:rsidR="00000000" w:rsidDel="00000000" w:rsidP="00000000" w:rsidRDefault="00000000" w14:paraId="000004CD">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Bifinity Offchain Process applies a fixed 1 month lookback period from the first alerted transaction date to the date of the previous day (to the account review day).</w:t>
      </w:r>
    </w:p>
    <w:p w:rsidRPr="00000000" w:rsidR="00000000" w:rsidDel="00000000" w:rsidP="00000000" w:rsidRDefault="00000000" w14:paraId="000004CE">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If necessary, the review period may be amended at the Analyst’s discretion, depending on the situation</w:t>
      </w:r>
      <w:r w:rsidRPr="00000000" w:rsidDel="00000000" w:rsidR="00000000">
        <w:rPr>
          <w:rtl w:val="0"/>
        </w:rPr>
        <w:t xml:space="preserve"> as minimum</w:t>
      </w:r>
      <w:r w:rsidRPr="00000000" w:rsidDel="00000000" w:rsidR="00000000">
        <w:rPr>
          <w:i w:val="0"/>
          <w:iCs w:val="0"/>
          <w:smallCaps w:val="0"/>
          <w:strike w:val="0"/>
          <w:color w:val="000000"/>
          <w:sz w:val="22"/>
          <w:szCs w:val="22"/>
          <w:u w:val="none"/>
          <w:shd w:val="clear" w:fill="auto"/>
          <w:vertAlign w:val="baseline"/>
          <w:rtl w:val="0"/>
        </w:rPr>
        <w:t xml:space="preserve"> one-month lookback may not always be sufficient to identify transaction patterns necessary for effectively assessing alerted activity. For instance, extending the lookback period is beneficial when evaluating alerts related to changes in user behavior over time. For example:</w:t>
      </w:r>
    </w:p>
    <w:p w:rsidRPr="00000000" w:rsidR="00000000" w:rsidDel="00000000" w:rsidP="00000000" w:rsidRDefault="00000000" w14:paraId="000004CF">
      <w:pPr>
        <w:numPr>
          <w:ilvl w:val="1"/>
          <w:numId w:val="28"/>
        </w:numPr>
        <w:spacing w:after="240" w:lineRule="auto"/>
        <w:ind w:left="1800" w:hanging="360"/>
        <w:jc w:val="both"/>
        <w:rPr>
          <w:rFonts w:ascii="Arial" w:hAnsi="Arial" w:eastAsia="Arial" w:cs="Arial"/>
        </w:rPr>
      </w:pPr>
      <w:r w:rsidRPr="00000000" w:rsidDel="00000000" w:rsidR="00000000">
        <w:rPr>
          <w:rtl w:val="0"/>
        </w:rPr>
        <w:t xml:space="preserve">Transactional flow breaks, where there is no clear visibility on how deposited funds were utilized, and similarly for withdrawals.</w:t>
      </w:r>
    </w:p>
    <w:p w:rsidRPr="00000000" w:rsidR="00000000" w:rsidDel="00000000" w:rsidP="00000000" w:rsidRDefault="00000000" w14:paraId="000004D0">
      <w:pPr>
        <w:numPr>
          <w:ilvl w:val="1"/>
          <w:numId w:val="28"/>
        </w:numPr>
        <w:spacing w:after="240" w:lineRule="auto"/>
        <w:ind w:left="1800" w:hanging="360"/>
        <w:jc w:val="both"/>
        <w:rPr>
          <w:rFonts w:ascii="Arial" w:hAnsi="Arial" w:eastAsia="Arial" w:cs="Arial"/>
        </w:rPr>
      </w:pPr>
      <w:r w:rsidRPr="00000000" w:rsidDel="00000000" w:rsidR="00000000">
        <w:rPr>
          <w:rtl w:val="0"/>
        </w:rPr>
        <w:t xml:space="preserve">Cases involving TLHA-I / TLHA-O , which examines a 90-day transaction history and would provide valuable context during analysis.</w:t>
      </w:r>
    </w:p>
    <w:p w:rsidRPr="00000000" w:rsidR="00000000" w:rsidDel="00000000" w:rsidP="00000000" w:rsidRDefault="00000000" w14:paraId="000004D1">
      <w:pPr>
        <w:numPr>
          <w:ilvl w:val="1"/>
          <w:numId w:val="28"/>
        </w:numPr>
        <w:spacing w:after="240" w:lineRule="auto"/>
        <w:ind w:left="1800" w:hanging="360"/>
        <w:jc w:val="both"/>
        <w:rPr>
          <w:rFonts w:ascii="Arial" w:hAnsi="Arial" w:eastAsia="Arial" w:cs="Arial"/>
        </w:rPr>
      </w:pPr>
      <w:r w:rsidRPr="00000000" w:rsidDel="00000000" w:rsidR="00000000">
        <w:rPr>
          <w:rtl w:val="0"/>
        </w:rPr>
        <w:t xml:space="preserve">Cases involving ADA alerts, which examines 1 year transaction history </w:t>
      </w:r>
    </w:p>
    <w:p w:rsidRPr="00000000" w:rsidR="00000000" w:rsidDel="00000000" w:rsidP="00000000" w:rsidRDefault="00000000" w14:paraId="000004D2">
      <w:pPr>
        <w:numPr>
          <w:ilvl w:val="2"/>
          <w:numId w:val="25"/>
        </w:numPr>
        <w:spacing w:after="240" w:lineRule="auto"/>
        <w:ind w:left="720" w:hanging="720"/>
        <w:jc w:val="both"/>
        <w:rPr/>
      </w:pPr>
      <w:bookmarkStart w:name="_heading=h.bagzyylwxau" w:colFirst="0" w:colLast="0" w:id="285"/>
      <w:bookmarkEnd w:id="285"/>
      <w:r w:rsidRPr="00000000" w:rsidDel="00000000" w:rsidR="00000000">
        <w:rPr>
          <w:rtl w:val="0"/>
        </w:rPr>
        <w:t xml:space="preserve">During the Case Analysis, the Analyst is looking for behaviour to explain the violation and close the case.  If the behaviour cannot be explained (e.g. it does not align to the expected or understood behaviour of the subject, and/or use of the product), then further investigational steps will be required e.g. possible external searches.</w:t>
      </w:r>
    </w:p>
    <w:p w:rsidRPr="00000000" w:rsidR="00000000" w:rsidDel="00000000" w:rsidP="00000000" w:rsidRDefault="00000000" w14:paraId="000004D3">
      <w:pPr>
        <w:numPr>
          <w:ilvl w:val="2"/>
          <w:numId w:val="25"/>
        </w:numPr>
        <w:spacing w:after="240" w:lineRule="auto"/>
        <w:ind w:left="720" w:hanging="720"/>
        <w:jc w:val="both"/>
        <w:rPr/>
      </w:pPr>
      <w:bookmarkStart w:name="_heading=h.v56l8hq522xu" w:colFirst="0" w:colLast="0" w:id="286"/>
      <w:bookmarkEnd w:id="286"/>
      <w:r w:rsidRPr="00000000" w:rsidDel="00000000" w:rsidR="00000000">
        <w:rPr>
          <w:rtl w:val="0"/>
        </w:rPr>
        <w:t xml:space="preserve">During the Case Analysis stage, the Analyst will focus on the relevant credit and/or debit transactions and refers to Red Flags Checklist described at section ‎6.6.  The Case Analysis stage will result in the case (with all associated alerts) being either (i) a rapid closure as activities are deemed as not unusual; (ii) or requiring further investigational steps as sufficient evidence has not been found to negate all the alerted scenario(s) and then activities closed as not unusual; or (iii) escalation for further investigation to the FCI team.</w:t>
      </w:r>
    </w:p>
    <w:p w:rsidRPr="00000000" w:rsidR="00000000" w:rsidDel="00000000" w:rsidP="00000000" w:rsidRDefault="00000000" w14:paraId="000004D4">
      <w:pPr>
        <w:numPr>
          <w:ilvl w:val="2"/>
          <w:numId w:val="25"/>
        </w:numPr>
        <w:spacing w:after="240" w:lineRule="auto"/>
        <w:ind w:left="720" w:hanging="720"/>
        <w:jc w:val="both"/>
        <w:rPr/>
      </w:pPr>
      <w:bookmarkStart w:name="_heading=h.7ndsggs4y7f8" w:colFirst="0" w:colLast="0" w:id="287"/>
      <w:bookmarkEnd w:id="287"/>
      <w:r w:rsidRPr="00000000" w:rsidDel="00000000" w:rsidR="00000000">
        <w:rPr>
          <w:rtl w:val="0"/>
        </w:rPr>
        <w:t xml:space="preserve">Cases that are closed as not unusual must have a clear conclusion. As a minimum, evidence of the review must be included to support the decision.  Any supporting documentation must be uploaded to the case file and any external searches outlined.</w:t>
      </w:r>
    </w:p>
    <w:p w:rsidRPr="00000000" w:rsidR="00000000" w:rsidDel="00000000" w:rsidP="00000000" w:rsidRDefault="00000000" w14:paraId="000004D5">
      <w:pPr>
        <w:numPr>
          <w:ilvl w:val="2"/>
          <w:numId w:val="25"/>
        </w:numPr>
        <w:spacing w:after="240" w:lineRule="auto"/>
        <w:ind w:left="720" w:hanging="720"/>
        <w:jc w:val="both"/>
        <w:rPr/>
      </w:pPr>
      <w:bookmarkStart w:name="_heading=h.dpw4vzuxl3cz" w:colFirst="0" w:colLast="0" w:id="288"/>
      <w:bookmarkEnd w:id="288"/>
      <w:r w:rsidRPr="00000000" w:rsidDel="00000000" w:rsidR="00000000">
        <w:rPr>
          <w:rtl w:val="0"/>
        </w:rPr>
        <w:t xml:space="preserve">If at any time during the Case Analysis there is sufficient information to justify escalation or closure - do so immediately and cease further work (capturing the rationale for doing so in the ACS/Account Review and attaching any evidence found).</w:t>
      </w:r>
    </w:p>
    <w:p w:rsidRPr="00000000" w:rsidR="00000000" w:rsidDel="00000000" w:rsidP="00000000" w:rsidRDefault="00000000" w14:paraId="000004D6">
      <w:pPr>
        <w:numPr>
          <w:ilvl w:val="2"/>
          <w:numId w:val="25"/>
        </w:numPr>
        <w:spacing w:after="240" w:lineRule="auto"/>
        <w:ind w:left="720" w:hanging="720"/>
        <w:jc w:val="both"/>
        <w:rPr/>
      </w:pPr>
      <w:bookmarkStart w:name="_heading=h.w83bfv98tx0f" w:colFirst="0" w:colLast="0" w:id="289"/>
      <w:bookmarkEnd w:id="289"/>
      <w:r w:rsidRPr="00000000" w:rsidDel="00000000" w:rsidR="00000000">
        <w:rPr>
          <w:rtl w:val="0"/>
        </w:rPr>
        <w:t xml:space="preserve">When closing the case at the Case Analysis stage, the Analyst may have determined that, although no unusual activity is present there are KYC/KYB or any other triggers which require escalation to the relevant teams (see Section ‎9, Trigger Event Referrals).</w:t>
      </w:r>
    </w:p>
    <w:p w:rsidRPr="00000000" w:rsidR="00000000" w:rsidDel="00000000" w:rsidP="00000000" w:rsidRDefault="00000000" w14:paraId="000004D7">
      <w:pPr>
        <w:pStyle w:val="Heading2"/>
        <w:numPr>
          <w:ilvl w:val="1"/>
          <w:numId w:val="25"/>
        </w:numPr>
        <w:spacing w:after="240" w:lineRule="auto"/>
        <w:ind w:left="720"/>
        <w:jc w:val="both"/>
        <w:rPr/>
      </w:pPr>
      <w:bookmarkStart w:name="_heading=h.y0yxq5pqfhvf" w:colFirst="0" w:colLast="0" w:id="290"/>
      <w:bookmarkEnd w:id="290"/>
      <w:r w:rsidRPr="00000000" w:rsidDel="00000000" w:rsidR="00000000">
        <w:rPr>
          <w:rFonts w:ascii="Arial" w:hAnsi="Arial" w:eastAsia="Arial" w:cs="Arial"/>
          <w:smallCaps w:val="0"/>
          <w:sz w:val="24"/>
          <w:szCs w:val="24"/>
          <w:rtl w:val="0"/>
        </w:rPr>
        <w:t xml:space="preserve">Prior Cases, Warnings and ICRs</w:t>
      </w:r>
      <w:r w:rsidRPr="00000000" w:rsidDel="00000000" w:rsidR="00000000">
        <w:rPr>
          <w:rtl w:val="0"/>
        </w:rPr>
      </w:r>
    </w:p>
    <w:p w:rsidRPr="00000000" w:rsidR="00000000" w:rsidDel="00000000" w:rsidP="00000000" w:rsidRDefault="00000000" w14:paraId="000004D8">
      <w:pPr>
        <w:numPr>
          <w:ilvl w:val="2"/>
          <w:numId w:val="25"/>
        </w:numPr>
        <w:spacing w:after="240" w:lineRule="auto"/>
        <w:ind w:left="720" w:hanging="720"/>
        <w:jc w:val="both"/>
        <w:rPr/>
      </w:pPr>
      <w:bookmarkStart w:name="_heading=h.nkpqkmfy15w5" w:colFirst="0" w:colLast="0" w:id="291"/>
      <w:bookmarkEnd w:id="291"/>
      <w:r w:rsidRPr="00000000" w:rsidDel="00000000" w:rsidR="00000000">
        <w:rPr>
          <w:rtl w:val="0"/>
        </w:rPr>
        <w:t xml:space="preserve">The purpose of this review is to gain an understanding of the subject’s transaction activity and/or associated alerts. This then enables the alerted behaviour to be put into context and attain a comprehensive frequency and amount of the account/wallet holder's exposure to high-risk entities. This may include reviews of similar historical activity, or transactions conducted with the same address previously that may have not triggered alerts due to less information being available at the time of screening.</w:t>
      </w:r>
    </w:p>
    <w:p w:rsidRPr="00000000" w:rsidR="00000000" w:rsidDel="00000000" w:rsidP="00000000" w:rsidRDefault="00000000" w14:paraId="000004D9">
      <w:pPr>
        <w:numPr>
          <w:ilvl w:val="2"/>
          <w:numId w:val="25"/>
        </w:numPr>
        <w:spacing w:after="240" w:lineRule="auto"/>
        <w:ind w:left="720" w:hanging="720"/>
        <w:jc w:val="both"/>
        <w:rPr/>
      </w:pPr>
      <w:bookmarkStart w:name="_heading=h.prxlnj1ku9ne" w:colFirst="0" w:colLast="0" w:id="292"/>
      <w:bookmarkEnd w:id="292"/>
      <w:r w:rsidRPr="00000000" w:rsidDel="00000000" w:rsidR="00000000">
        <w:rPr>
          <w:rtl w:val="0"/>
        </w:rPr>
        <w:t xml:space="preserve">If required, Analysts can review additional prior cases if deemed appropriate for the case and utilize the information and analysis available.  Where the Analyst has established they can leverage work already completed and whether the findings of a prior investigation can be used to close the current case, the case reference and findings should be documented clearly within the ACS conclusion section.</w:t>
      </w:r>
    </w:p>
    <w:p w:rsidRPr="00000000" w:rsidR="00000000" w:rsidDel="00000000" w:rsidP="00000000" w:rsidRDefault="00000000" w14:paraId="000004DA">
      <w:pPr>
        <w:numPr>
          <w:ilvl w:val="2"/>
          <w:numId w:val="25"/>
        </w:numPr>
        <w:spacing w:after="240" w:lineRule="auto"/>
        <w:ind w:left="720" w:hanging="720"/>
        <w:jc w:val="both"/>
        <w:rPr/>
      </w:pPr>
      <w:bookmarkStart w:name="_heading=h.7eeq6k9v2qyh" w:colFirst="0" w:colLast="0" w:id="293"/>
      <w:bookmarkEnd w:id="293"/>
      <w:r w:rsidRPr="00000000" w:rsidDel="00000000" w:rsidR="00000000">
        <w:rPr>
          <w:rtl w:val="0"/>
        </w:rPr>
        <w:t xml:space="preserve"> Findings of a prior investigation can only be used as the basis to close a current case when:</w:t>
      </w:r>
    </w:p>
    <w:p w:rsidRPr="00000000" w:rsidR="00000000" w:rsidDel="00000000" w:rsidP="00000000" w:rsidRDefault="00000000" w14:paraId="000004DB">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Case was closed within 3 months of the new alert(s) presentation date and contained the same violation/scenario types involving the same originator(s) and/or beneficiary(ies) and/or transactions that have already been reviewed and evidenced in the prior case, either as transactions or review period;</w:t>
      </w:r>
    </w:p>
    <w:p w:rsidRPr="00000000" w:rsidR="00000000" w:rsidDel="00000000" w:rsidP="00000000" w:rsidRDefault="00000000" w14:paraId="000004DC">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The case was closed by TM Operations (level one) without any potential financial crime risk identified.  If the team has reviewed the alerted transactions as part of their review, then the case can be closed by referencing the prior case.</w:t>
      </w:r>
    </w:p>
    <w:p w:rsidRPr="00000000" w:rsidR="00000000" w:rsidDel="00000000" w:rsidP="00000000" w:rsidRDefault="00000000" w14:paraId="000004DD">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Case contains the details of the case analysis conducted, which explains and evidences the facts that support the mitigation of each risk indicator, including the risk jurisdiction of all originator(s) and beneficiary(ies); and</w:t>
      </w:r>
    </w:p>
    <w:p w:rsidRPr="00000000" w:rsidR="00000000" w:rsidDel="00000000" w:rsidP="00000000" w:rsidRDefault="00000000" w14:paraId="000004DE">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The case has all supporting documentation attached as appropriate.</w:t>
      </w:r>
    </w:p>
    <w:p w:rsidRPr="00000000" w:rsidR="00000000" w:rsidDel="00000000" w:rsidP="00000000" w:rsidRDefault="00000000" w14:paraId="000004DF">
      <w:pPr>
        <w:numPr>
          <w:ilvl w:val="2"/>
          <w:numId w:val="25"/>
        </w:numPr>
        <w:spacing w:after="240" w:lineRule="auto"/>
        <w:ind w:left="720" w:hanging="720"/>
        <w:jc w:val="both"/>
        <w:rPr/>
      </w:pPr>
      <w:bookmarkStart w:name="_heading=h.ire3mbwj5s59" w:colFirst="0" w:colLast="0" w:id="294"/>
      <w:bookmarkEnd w:id="294"/>
      <w:r w:rsidRPr="00000000" w:rsidDel="00000000" w:rsidR="00000000">
        <w:rPr>
          <w:rtl w:val="0"/>
        </w:rPr>
        <w:t xml:space="preserve">If previously closed Internal Case Reports (ICRs) are noted, the analyst can review the decisions and the information used to make those decisions. This allows analysts to understand the reasons for prior escalations and identify any new red flags in the current case. Any prior warnings or previous alert recommendations should be considered during the case investigation. If necessary, relevant information should be added to the ACS/Account Review.</w:t>
      </w:r>
    </w:p>
    <w:p w:rsidRPr="00000000" w:rsidR="00000000" w:rsidDel="00000000" w:rsidP="00000000" w:rsidRDefault="00000000" w14:paraId="000004E0">
      <w:pPr>
        <w:numPr>
          <w:ilvl w:val="2"/>
          <w:numId w:val="25"/>
        </w:numPr>
        <w:spacing w:after="240" w:lineRule="auto"/>
        <w:ind w:left="720" w:hanging="720"/>
        <w:jc w:val="both"/>
        <w:rPr/>
      </w:pPr>
      <w:bookmarkStart w:name="_heading=h.8o282ohgj1ts" w:colFirst="0" w:colLast="0" w:id="295"/>
      <w:bookmarkEnd w:id="295"/>
      <w:r w:rsidRPr="00000000" w:rsidDel="00000000" w:rsidR="00000000">
        <w:rPr>
          <w:rtl w:val="0"/>
        </w:rPr>
        <w:t xml:space="preserve">If analysts utilised information from a prior case or prior ICR for the benefit of current investigation, it is important to capture the following elements from the prior case in your ACS conclusion narrative:</w:t>
      </w:r>
    </w:p>
    <w:p w:rsidRPr="00000000" w:rsidR="00000000" w:rsidDel="00000000" w:rsidP="00000000" w:rsidRDefault="00000000" w14:paraId="000004E1">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Case reference number / ICR reference number;</w:t>
      </w:r>
    </w:p>
    <w:p w:rsidRPr="00000000" w:rsidR="00000000" w:rsidDel="00000000" w:rsidP="00000000" w:rsidRDefault="00000000" w14:paraId="000004E2">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Summary of the information/intelligence utilised; and</w:t>
      </w:r>
    </w:p>
    <w:p w:rsidRPr="00000000" w:rsidR="00000000" w:rsidDel="00000000" w:rsidP="00000000" w:rsidRDefault="00000000" w14:paraId="000004E3">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The outcome of the case.</w:t>
      </w:r>
    </w:p>
    <w:p w:rsidRPr="00000000" w:rsidR="00000000" w:rsidDel="00000000" w:rsidP="00000000" w:rsidRDefault="00000000" w14:paraId="000004E4">
      <w:pPr>
        <w:numPr>
          <w:ilvl w:val="2"/>
          <w:numId w:val="25"/>
        </w:numPr>
        <w:spacing w:after="240" w:lineRule="auto"/>
        <w:ind w:left="720" w:hanging="720"/>
        <w:jc w:val="both"/>
        <w:rPr/>
      </w:pPr>
      <w:bookmarkStart w:name="_heading=h.qa7tzkbjzc40" w:colFirst="0" w:colLast="0" w:id="296"/>
      <w:bookmarkEnd w:id="296"/>
      <w:r w:rsidRPr="00000000" w:rsidDel="00000000" w:rsidR="00000000">
        <w:rPr>
          <w:rtl w:val="0"/>
        </w:rPr>
        <w:t xml:space="preserve">If there is an open law enforcement (LE) ticket or an LE freeze block on the account, the Transaction Monitoring (TM) Analyst should not file an ICR. The case team handling the LE ticket will be responsible for filing the internal ICR after the LE investigation is completed.</w:t>
      </w:r>
    </w:p>
    <w:p w:rsidRPr="00000000" w:rsidR="00000000" w:rsidDel="00000000" w:rsidP="00000000" w:rsidRDefault="00000000" w14:paraId="000004E5">
      <w:pPr>
        <w:pStyle w:val="Heading2"/>
        <w:numPr>
          <w:ilvl w:val="1"/>
          <w:numId w:val="25"/>
        </w:numPr>
        <w:spacing w:after="240" w:lineRule="auto"/>
        <w:ind w:left="720"/>
        <w:jc w:val="both"/>
        <w:rPr/>
      </w:pPr>
      <w:bookmarkStart w:name="_heading=h.wb7h6m81wzjc" w:colFirst="0" w:colLast="0" w:id="297"/>
      <w:bookmarkEnd w:id="297"/>
      <w:r w:rsidRPr="00000000" w:rsidDel="00000000" w:rsidR="00000000">
        <w:rPr>
          <w:rFonts w:ascii="Arial" w:hAnsi="Arial" w:eastAsia="Arial" w:cs="Arial"/>
          <w:smallCaps w:val="0"/>
          <w:sz w:val="24"/>
          <w:szCs w:val="24"/>
          <w:rtl w:val="0"/>
        </w:rPr>
        <w:t xml:space="preserve">Relevant Transaction Activity</w:t>
      </w:r>
      <w:r w:rsidRPr="00000000" w:rsidDel="00000000" w:rsidR="00000000">
        <w:rPr>
          <w:rtl w:val="0"/>
        </w:rPr>
      </w:r>
    </w:p>
    <w:p w:rsidRPr="00000000" w:rsidR="00000000" w:rsidDel="00000000" w:rsidP="00000000" w:rsidRDefault="00000000" w14:paraId="000004E6">
      <w:pPr>
        <w:numPr>
          <w:ilvl w:val="2"/>
          <w:numId w:val="25"/>
        </w:numPr>
        <w:spacing w:after="240" w:lineRule="auto"/>
        <w:ind w:left="720" w:hanging="720"/>
        <w:jc w:val="both"/>
        <w:rPr/>
      </w:pPr>
      <w:bookmarkStart w:name="_heading=h.b4piveocq41x" w:colFirst="0" w:colLast="0" w:id="298"/>
      <w:bookmarkEnd w:id="298"/>
      <w:r w:rsidRPr="00000000" w:rsidDel="00000000" w:rsidR="00000000">
        <w:rPr>
          <w:rtl w:val="0"/>
        </w:rPr>
        <w:t xml:space="preserve">The relevant transaction(s) must be reviewed:</w:t>
      </w:r>
    </w:p>
    <w:p w:rsidRPr="00000000" w:rsidR="00000000" w:rsidDel="00000000" w:rsidP="00000000" w:rsidRDefault="00000000" w14:paraId="000004E7">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To understand the relevant alerted transactions(s) and overall pattern of activity, (the connected or related activity to the current case/scenario), noting that it is not necessary to identify a source of funds for every single transaction;</w:t>
      </w:r>
    </w:p>
    <w:p w:rsidRPr="00000000" w:rsidR="00000000" w:rsidDel="00000000" w:rsidP="00000000" w:rsidRDefault="00000000" w14:paraId="000004E8">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To understand the alert cause of transactions e.g. SAWD – what was or were the transactions meeting the rule logic;</w:t>
      </w:r>
    </w:p>
    <w:p w:rsidRPr="00000000" w:rsidR="00000000" w:rsidDel="00000000" w:rsidP="00000000" w:rsidRDefault="00000000" w14:paraId="000004E9">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To understand the relationship with the counterparties and assess whether it is reasonable;</w:t>
      </w:r>
    </w:p>
    <w:p w:rsidRPr="00000000" w:rsidR="00000000" w:rsidDel="00000000" w:rsidP="00000000" w:rsidRDefault="00000000" w14:paraId="000004EA">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To understand the context of previous transaction activity, and assess if the activity seen in the alert/case is new, e.g. new counterparties, new geographies, increase in value/volume against specific counterparties, new payment products utilised; and</w:t>
      </w:r>
    </w:p>
    <w:p w:rsidRPr="00000000" w:rsidR="00000000" w:rsidDel="00000000" w:rsidP="00000000" w:rsidRDefault="00000000" w14:paraId="000004EB">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To understand the alerted transaction taking into account the client’s risk rating and jurisdictions under review.</w:t>
      </w:r>
    </w:p>
    <w:p w:rsidRPr="00000000" w:rsidR="00000000" w:rsidDel="00000000" w:rsidP="00000000" w:rsidRDefault="00000000" w14:paraId="000004EC">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Do the activities fit the expected customers profile or do not appear unusual?</w:t>
      </w:r>
    </w:p>
    <w:p w:rsidRPr="00000000" w:rsidR="00000000" w:rsidDel="00000000" w:rsidP="00000000" w:rsidRDefault="00000000" w14:paraId="000004ED">
      <w:pPr>
        <w:numPr>
          <w:ilvl w:val="2"/>
          <w:numId w:val="25"/>
        </w:numPr>
        <w:spacing w:after="240" w:lineRule="auto"/>
        <w:ind w:left="720" w:hanging="720"/>
        <w:jc w:val="both"/>
        <w:rPr/>
      </w:pPr>
      <w:bookmarkStart w:name="_heading=h.e0qhsflaw1ax" w:colFirst="0" w:colLast="0" w:id="299"/>
      <w:bookmarkEnd w:id="299"/>
      <w:r w:rsidRPr="00000000" w:rsidDel="00000000" w:rsidR="00000000">
        <w:rPr>
          <w:rtl w:val="0"/>
        </w:rPr>
        <w:t xml:space="preserve">A review of the alerted transactions should be conducted with emphasis on the higher risk transactions. Where feasible, it is recommended that the transactions posing a higher risk are reviewed first and determine if these can be mitigated or pose financial crime risk.  This must be documented within the ACS.</w:t>
      </w:r>
    </w:p>
    <w:p w:rsidRPr="00000000" w:rsidR="00000000" w:rsidDel="00000000" w:rsidP="00000000" w:rsidRDefault="00000000" w14:paraId="000004EE">
      <w:pPr>
        <w:numPr>
          <w:ilvl w:val="2"/>
          <w:numId w:val="25"/>
        </w:numPr>
        <w:spacing w:after="240" w:lineRule="auto"/>
        <w:ind w:left="720" w:hanging="720"/>
        <w:jc w:val="both"/>
        <w:rPr/>
      </w:pPr>
      <w:bookmarkStart w:name="_heading=h.mjnwnd6fdj35" w:colFirst="0" w:colLast="0" w:id="300"/>
      <w:bookmarkEnd w:id="300"/>
      <w:r w:rsidRPr="00000000" w:rsidDel="00000000" w:rsidR="00000000">
        <w:rPr>
          <w:rtl w:val="0"/>
        </w:rPr>
        <w:t xml:space="preserve">It might be necessary to conduct additional review on user’s counterparties. The purpose of the counterparty review is to help the Analyst understand whether the activity under analysis constitutes potential financial crime risk.  Focus should be on relevant counterparties and a critical aspect of the analysis is determining relevant counterparties. </w:t>
      </w:r>
    </w:p>
    <w:p w:rsidRPr="00000000" w:rsidR="00000000" w:rsidDel="00000000" w:rsidP="00000000" w:rsidRDefault="00000000" w14:paraId="000004EF">
      <w:pPr>
        <w:numPr>
          <w:ilvl w:val="2"/>
          <w:numId w:val="25"/>
        </w:numPr>
        <w:spacing w:after="240" w:lineRule="auto"/>
        <w:ind w:left="720" w:hanging="720"/>
        <w:jc w:val="both"/>
        <w:rPr/>
      </w:pPr>
      <w:bookmarkStart w:name="_heading=h.pppc59zdu6eg" w:colFirst="0" w:colLast="0" w:id="301"/>
      <w:bookmarkEnd w:id="301"/>
      <w:r w:rsidRPr="00000000" w:rsidDel="00000000" w:rsidR="00000000">
        <w:rPr>
          <w:rtl w:val="0"/>
        </w:rPr>
        <w:t xml:space="preserve">Relevant counterparties are those involved in the activity under review, and not necessarily the counterparties with the highest number of transactions or the largest monetary value of transactions.  Relevant counterparties should be those involved in the activity, i.e. a beneficiary or originator of transactions under review, which gives rise to concern for potential financial crime risk or activity that provides the basis to determine that there is no financial crime risk.</w:t>
      </w:r>
    </w:p>
    <w:p w:rsidRPr="00000000" w:rsidR="00000000" w:rsidDel="00000000" w:rsidP="00000000" w:rsidRDefault="00000000" w14:paraId="000004F0">
      <w:pPr>
        <w:numPr>
          <w:ilvl w:val="2"/>
          <w:numId w:val="25"/>
        </w:numPr>
        <w:spacing w:after="240" w:lineRule="auto"/>
        <w:ind w:left="720" w:hanging="720"/>
        <w:jc w:val="both"/>
        <w:rPr/>
      </w:pPr>
      <w:bookmarkStart w:name="_heading=h.iprumv9mvsbc" w:colFirst="0" w:colLast="0" w:id="302"/>
      <w:bookmarkEnd w:id="302"/>
      <w:r w:rsidRPr="00000000" w:rsidDel="00000000" w:rsidR="00000000">
        <w:rPr>
          <w:rtl w:val="0"/>
        </w:rPr>
        <w:t xml:space="preserve">The Analyst may need to conduct internal searches to identify previous cases and external searches to assist their understanding of counterparties.  Internal searches will assist in understanding the counterparties’ employment or nature of business, source of wealth and expected account activity and whether a subject or counterparty has a prior or current investigation.  The Analyst must consider whether the observed transactions with the subject make sense within that context.  </w:t>
      </w:r>
    </w:p>
    <w:p w:rsidRPr="00000000" w:rsidR="00000000" w:rsidDel="00000000" w:rsidP="00000000" w:rsidRDefault="00000000" w14:paraId="000004F1">
      <w:pPr>
        <w:pStyle w:val="Heading2"/>
        <w:numPr>
          <w:ilvl w:val="1"/>
          <w:numId w:val="25"/>
        </w:numPr>
        <w:spacing w:after="240" w:lineRule="auto"/>
        <w:ind w:left="720"/>
        <w:jc w:val="both"/>
        <w:rPr/>
      </w:pPr>
      <w:bookmarkStart w:name="_heading=h.s2oovcsyyd61" w:colFirst="0" w:colLast="0" w:id="303"/>
      <w:bookmarkEnd w:id="303"/>
      <w:r w:rsidRPr="00000000" w:rsidDel="00000000" w:rsidR="00000000">
        <w:rPr>
          <w:rFonts w:ascii="Arial" w:hAnsi="Arial" w:eastAsia="Arial" w:cs="Arial"/>
          <w:smallCaps w:val="0"/>
          <w:sz w:val="24"/>
          <w:szCs w:val="24"/>
          <w:rtl w:val="0"/>
        </w:rPr>
        <w:t xml:space="preserve">Prioritization of Alerted Transactions/Counterparties</w:t>
      </w:r>
      <w:r w:rsidRPr="00000000" w:rsidDel="00000000" w:rsidR="00000000">
        <w:rPr>
          <w:rtl w:val="0"/>
        </w:rPr>
      </w:r>
    </w:p>
    <w:p w:rsidRPr="00000000" w:rsidR="00000000" w:rsidDel="00000000" w:rsidP="00000000" w:rsidRDefault="00000000" w14:paraId="000004F2">
      <w:pPr>
        <w:numPr>
          <w:ilvl w:val="2"/>
          <w:numId w:val="25"/>
        </w:numPr>
        <w:spacing w:after="240" w:lineRule="auto"/>
        <w:ind w:left="720" w:hanging="720"/>
        <w:jc w:val="both"/>
        <w:rPr/>
      </w:pPr>
      <w:bookmarkStart w:name="_heading=h.oq6tt98apd6s" w:colFirst="0" w:colLast="0" w:id="304"/>
      <w:bookmarkEnd w:id="304"/>
      <w:r w:rsidRPr="00000000" w:rsidDel="00000000" w:rsidR="00000000">
        <w:rPr>
          <w:rtl w:val="0"/>
        </w:rPr>
        <w:t xml:space="preserve">The prioritization approach should be applied when the alerted transactions are voluminous and it would take a significant time to review all alerted transactions in a case.  Analysts should apply a risk based approach when prioritizing the alerted transactions.</w:t>
      </w:r>
    </w:p>
    <w:p w:rsidRPr="00000000" w:rsidR="00000000" w:rsidDel="00000000" w:rsidP="00000000" w:rsidRDefault="00000000" w14:paraId="000004F3">
      <w:pPr>
        <w:numPr>
          <w:ilvl w:val="2"/>
          <w:numId w:val="25"/>
        </w:numPr>
        <w:spacing w:after="240" w:lineRule="auto"/>
        <w:ind w:left="720" w:hanging="720"/>
        <w:jc w:val="both"/>
        <w:rPr/>
      </w:pPr>
      <w:r w:rsidRPr="00000000" w:rsidDel="00000000" w:rsidR="00000000">
        <w:rPr>
          <w:rtl w:val="0"/>
        </w:rPr>
        <w:t xml:space="preserve">The following list can be considered while prioritizing, noting that this is not an exhaustive list and the Analyst would need to apply his/her judgment on a case-by-case basis.</w:t>
      </w:r>
    </w:p>
    <w:p w:rsidRPr="00000000" w:rsidR="00000000" w:rsidDel="00000000" w:rsidP="00000000" w:rsidRDefault="00000000" w14:paraId="000004F4">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Value</w:t>
      </w:r>
      <w:r w:rsidRPr="00000000" w:rsidDel="00000000" w:rsidR="00000000">
        <w:rPr>
          <w:i w:val="0"/>
          <w:iCs w:val="0"/>
          <w:smallCaps w:val="0"/>
          <w:strike w:val="0"/>
          <w:color w:val="000000"/>
          <w:sz w:val="22"/>
          <w:szCs w:val="22"/>
          <w:u w:val="none"/>
          <w:shd w:val="clear" w:fill="auto"/>
          <w:vertAlign w:val="baseline"/>
          <w:rtl w:val="0"/>
        </w:rPr>
        <w:t xml:space="preserve">: Is the value not in line with the customer's KYC.  Does the value raise any concern, is there a pattern that can be identified?</w:t>
      </w:r>
    </w:p>
    <w:p w:rsidRPr="00000000" w:rsidR="00000000" w:rsidDel="00000000" w:rsidP="00000000" w:rsidRDefault="00000000" w14:paraId="000004F5">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Volume</w:t>
      </w:r>
      <w:r w:rsidRPr="00000000" w:rsidDel="00000000" w:rsidR="00000000">
        <w:rPr>
          <w:i w:val="0"/>
          <w:iCs w:val="0"/>
          <w:smallCaps w:val="0"/>
          <w:strike w:val="0"/>
          <w:color w:val="000000"/>
          <w:sz w:val="22"/>
          <w:szCs w:val="22"/>
          <w:u w:val="none"/>
          <w:shd w:val="clear" w:fill="auto"/>
          <w:vertAlign w:val="baseline"/>
          <w:rtl w:val="0"/>
        </w:rPr>
        <w:t xml:space="preserve">: How many times did the parties interact, parties with highest instances of transactions in a short span, parties with very few transactions etc.</w:t>
      </w:r>
    </w:p>
    <w:p w:rsidRPr="00000000" w:rsidR="00000000" w:rsidDel="00000000" w:rsidP="00000000" w:rsidRDefault="00000000" w14:paraId="000004F6">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Geography</w:t>
      </w:r>
      <w:r w:rsidRPr="00000000" w:rsidDel="00000000" w:rsidR="00000000">
        <w:rPr>
          <w:i w:val="0"/>
          <w:iCs w:val="0"/>
          <w:smallCaps w:val="0"/>
          <w:strike w:val="0"/>
          <w:color w:val="000000"/>
          <w:sz w:val="22"/>
          <w:szCs w:val="22"/>
          <w:u w:val="none"/>
          <w:shd w:val="clear" w:fill="auto"/>
          <w:vertAlign w:val="baseline"/>
          <w:rtl w:val="0"/>
        </w:rPr>
        <w:t xml:space="preserve">: What are the High Risk Geographies involved? How are the funds flowing through the countries? Are they aligned to customers KYC and expected activity?</w:t>
      </w:r>
    </w:p>
    <w:p w:rsidRPr="00000000" w:rsidR="00000000" w:rsidDel="00000000" w:rsidP="00000000" w:rsidRDefault="00000000" w14:paraId="000004F7">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Type of Transaction</w:t>
      </w:r>
      <w:r w:rsidRPr="00000000" w:rsidDel="00000000" w:rsidR="00000000">
        <w:rPr>
          <w:i w:val="0"/>
          <w:iCs w:val="0"/>
          <w:smallCaps w:val="0"/>
          <w:strike w:val="0"/>
          <w:color w:val="000000"/>
          <w:sz w:val="22"/>
          <w:szCs w:val="22"/>
          <w:u w:val="none"/>
          <w:shd w:val="clear" w:fill="auto"/>
          <w:vertAlign w:val="baseline"/>
          <w:rtl w:val="0"/>
        </w:rPr>
        <w:t xml:space="preserve">: What transaction types are used?  What is the expected product usage, is there a change in the product usage?</w:t>
      </w:r>
    </w:p>
    <w:p w:rsidRPr="00000000" w:rsidR="00000000" w:rsidDel="00000000" w:rsidP="00000000" w:rsidRDefault="00000000" w14:paraId="000004F8">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Counterparty</w:t>
      </w:r>
      <w:r w:rsidRPr="00000000" w:rsidDel="00000000" w:rsidR="00000000">
        <w:rPr>
          <w:i w:val="0"/>
          <w:iCs w:val="0"/>
          <w:smallCaps w:val="0"/>
          <w:strike w:val="0"/>
          <w:color w:val="000000"/>
          <w:sz w:val="22"/>
          <w:szCs w:val="22"/>
          <w:u w:val="none"/>
          <w:shd w:val="clear" w:fill="auto"/>
          <w:vertAlign w:val="baseline"/>
          <w:rtl w:val="0"/>
        </w:rPr>
        <w:t xml:space="preserve">: Counterparties which are not common and raise a concern due to unusual amounts or transaction type or high risk geography or prohibited activities.  Counterparties which may have never transacted earlier.</w:t>
      </w:r>
    </w:p>
    <w:p w:rsidRPr="00000000" w:rsidR="00000000" w:rsidDel="00000000" w:rsidP="00000000" w:rsidRDefault="00000000" w14:paraId="000004F9">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Scenarios of alert generation</w:t>
      </w:r>
      <w:r w:rsidRPr="00000000" w:rsidDel="00000000" w:rsidR="00000000">
        <w:rPr>
          <w:i w:val="0"/>
          <w:iCs w:val="0"/>
          <w:smallCaps w:val="0"/>
          <w:strike w:val="0"/>
          <w:color w:val="000000"/>
          <w:sz w:val="22"/>
          <w:szCs w:val="22"/>
          <w:u w:val="none"/>
          <w:shd w:val="clear" w:fill="auto"/>
          <w:vertAlign w:val="baseline"/>
          <w:rtl w:val="0"/>
        </w:rPr>
        <w:t xml:space="preserve">: alerted transactions across all alerted scenarios must be considered for prioritization. This is required for all cases and can be utilized along with other parameters as mentioned in this guidance.</w:t>
      </w:r>
    </w:p>
    <w:p w:rsidRPr="00000000" w:rsidR="00000000" w:rsidDel="00000000" w:rsidP="00000000" w:rsidRDefault="00000000" w14:paraId="000004FA">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Mode of transaction used, is there anything different that raises a concern.</w:t>
      </w:r>
    </w:p>
    <w:p w:rsidRPr="00000000" w:rsidR="00000000" w:rsidDel="00000000" w:rsidP="00000000" w:rsidRDefault="00000000" w14:paraId="000004FB">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Alerted transactions in newly opened account/wallet or inactive account/wallet.</w:t>
      </w:r>
    </w:p>
    <w:p w:rsidRPr="00000000" w:rsidR="00000000" w:rsidDel="00000000" w:rsidP="00000000" w:rsidRDefault="00000000" w14:paraId="000004FC">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Series of transactions to evade the reporting thresholds.</w:t>
      </w:r>
    </w:p>
    <w:p w:rsidRPr="00000000" w:rsidR="00000000" w:rsidDel="00000000" w:rsidP="00000000" w:rsidRDefault="00000000" w14:paraId="000004FD">
      <w:pPr>
        <w:numPr>
          <w:ilvl w:val="2"/>
          <w:numId w:val="25"/>
        </w:numPr>
        <w:spacing w:after="240" w:lineRule="auto"/>
        <w:ind w:left="720" w:hanging="720"/>
        <w:jc w:val="both"/>
        <w:rPr/>
      </w:pPr>
      <w:r w:rsidRPr="00000000" w:rsidDel="00000000" w:rsidR="00000000">
        <w:rPr>
          <w:rtl w:val="0"/>
        </w:rPr>
        <w:t xml:space="preserve">The prioritization approach undertaken by the Analyst should be documented in the ACS.</w:t>
      </w:r>
    </w:p>
    <w:p w:rsidRPr="00000000" w:rsidR="00000000" w:rsidDel="00000000" w:rsidP="00000000" w:rsidRDefault="00000000" w14:paraId="000004FE">
      <w:pPr>
        <w:pStyle w:val="Heading2"/>
        <w:numPr>
          <w:ilvl w:val="1"/>
          <w:numId w:val="25"/>
        </w:numPr>
        <w:spacing w:after="240" w:lineRule="auto"/>
        <w:ind w:left="720"/>
        <w:jc w:val="both"/>
        <w:rPr/>
      </w:pPr>
      <w:bookmarkStart w:name="_heading=h.la9fmg2jeggx" w:colFirst="0" w:colLast="0" w:id="305"/>
      <w:bookmarkEnd w:id="305"/>
      <w:r w:rsidRPr="00000000" w:rsidDel="00000000" w:rsidR="00000000">
        <w:rPr>
          <w:rFonts w:ascii="Arial" w:hAnsi="Arial" w:eastAsia="Arial" w:cs="Arial"/>
          <w:smallCaps w:val="0"/>
          <w:sz w:val="24"/>
          <w:szCs w:val="24"/>
          <w:rtl w:val="0"/>
        </w:rPr>
        <w:t xml:space="preserve">Review Prior Activity</w:t>
      </w:r>
      <w:r w:rsidRPr="00000000" w:rsidDel="00000000" w:rsidR="00000000">
        <w:rPr>
          <w:rtl w:val="0"/>
        </w:rPr>
      </w:r>
    </w:p>
    <w:p w:rsidRPr="00000000" w:rsidR="00000000" w:rsidDel="00000000" w:rsidP="00000000" w:rsidRDefault="00000000" w14:paraId="000004FF">
      <w:pPr>
        <w:numPr>
          <w:ilvl w:val="2"/>
          <w:numId w:val="25"/>
        </w:numPr>
        <w:spacing w:after="240" w:lineRule="auto"/>
        <w:ind w:left="720" w:hanging="720"/>
        <w:jc w:val="both"/>
        <w:rPr/>
      </w:pPr>
      <w:r w:rsidRPr="00000000" w:rsidDel="00000000" w:rsidR="00000000">
        <w:rPr>
          <w:rtl w:val="0"/>
        </w:rPr>
        <w:t xml:space="preserve">For all cases, in addition to the alerted transactions, a minimum of 1 month prior to the first alerted transaction and up to the end day of the last alerted transaction must be reviewed. </w:t>
      </w:r>
    </w:p>
    <w:p w:rsidRPr="00000000" w:rsidR="00000000" w:rsidDel="00000000" w:rsidP="00000000" w:rsidRDefault="00000000" w14:paraId="00000500">
      <w:pPr>
        <w:numPr>
          <w:ilvl w:val="2"/>
          <w:numId w:val="25"/>
        </w:numPr>
        <w:spacing w:after="240" w:lineRule="auto"/>
        <w:ind w:left="720" w:hanging="720"/>
        <w:jc w:val="both"/>
        <w:rPr/>
      </w:pPr>
      <w:r w:rsidRPr="00000000" w:rsidDel="00000000" w:rsidR="00000000">
        <w:rPr>
          <w:rtl w:val="0"/>
        </w:rPr>
        <w:t xml:space="preserve">The purpose of this review is to gain an understanding of the subject’s transaction activity and/associated counterparties.  This then enables the alerted behaviour to be put into context and get a sense of how the account/wallet holder behaved prior to the alerted activity.</w:t>
      </w:r>
    </w:p>
    <w:p w:rsidRPr="00000000" w:rsidR="00000000" w:rsidDel="00000000" w:rsidP="00000000" w:rsidRDefault="00000000" w14:paraId="00000501">
      <w:pPr>
        <w:numPr>
          <w:ilvl w:val="2"/>
          <w:numId w:val="25"/>
        </w:numPr>
        <w:spacing w:after="240" w:lineRule="auto"/>
        <w:ind w:left="720" w:hanging="720"/>
        <w:jc w:val="both"/>
        <w:rPr/>
      </w:pPr>
      <w:r w:rsidRPr="00000000" w:rsidDel="00000000" w:rsidR="00000000">
        <w:rPr>
          <w:rtl w:val="0"/>
        </w:rPr>
        <w:t xml:space="preserve">This is not intended as a detailed analysis of every transaction in the 1 month period.  The purpose is to gain an overview of the customer’s transaction profile so that the alerted behaviour can be compared against it.  The Analyst must apply judgement adopting a risk based approach ensuring it is proportionate to the individual requirements of each case.  </w:t>
      </w:r>
    </w:p>
    <w:p w:rsidRPr="00000000" w:rsidR="00000000" w:rsidDel="00000000" w:rsidP="00000000" w:rsidRDefault="00000000" w14:paraId="00000502">
      <w:pPr>
        <w:numPr>
          <w:ilvl w:val="2"/>
          <w:numId w:val="25"/>
        </w:numPr>
        <w:spacing w:after="240" w:lineRule="auto"/>
        <w:ind w:left="720" w:hanging="720"/>
        <w:jc w:val="both"/>
        <w:rPr/>
      </w:pPr>
      <w:r w:rsidRPr="00000000" w:rsidDel="00000000" w:rsidR="00000000">
        <w:rPr>
          <w:rtl w:val="0"/>
        </w:rPr>
        <w:t xml:space="preserve">However, some transactions may require more detailed analysis, such as external research or review of KYC if there is a counterparty that is a Binance customer in order to understand the relationship between the subject and the counterparty, the source or destination of funds, purpose, etc.  The Analyst must use judgement in determining appropriate focus in the transactional review.</w:t>
      </w:r>
    </w:p>
    <w:p w:rsidRPr="00000000" w:rsidR="00000000" w:rsidDel="00000000" w:rsidP="00000000" w:rsidRDefault="00000000" w14:paraId="00000503">
      <w:pPr>
        <w:numPr>
          <w:ilvl w:val="2"/>
          <w:numId w:val="25"/>
        </w:numPr>
        <w:spacing w:after="240" w:lineRule="auto"/>
        <w:ind w:left="720" w:hanging="720"/>
        <w:jc w:val="both"/>
        <w:rPr/>
      </w:pPr>
      <w:r w:rsidRPr="00000000" w:rsidDel="00000000" w:rsidR="00000000">
        <w:rPr>
          <w:rtl w:val="0"/>
        </w:rPr>
        <w:t xml:space="preserve">An Analyst can review more than 1 month if, in their judgement, it is needed but discretion is required to avoid going further than necessary. If a decision can be made, based upon the review of the alerted transactions and 1 month of activity, to close the case, there is no need to extend the review period.</w:t>
      </w:r>
    </w:p>
    <w:p w:rsidRPr="00000000" w:rsidR="00000000" w:rsidDel="00000000" w:rsidP="00000000" w:rsidRDefault="00000000" w14:paraId="00000504">
      <w:pPr>
        <w:numPr>
          <w:ilvl w:val="2"/>
          <w:numId w:val="25"/>
        </w:numPr>
        <w:spacing w:after="240" w:lineRule="auto"/>
        <w:ind w:left="720" w:hanging="720"/>
        <w:jc w:val="both"/>
        <w:rPr/>
      </w:pPr>
      <w:r w:rsidRPr="00000000" w:rsidDel="00000000" w:rsidR="00000000">
        <w:rPr>
          <w:rtl w:val="0"/>
        </w:rPr>
        <w:t xml:space="preserve">The table below provides general guidance on what to look for when conducting a transaction review (when available). This is not a checklist that needs to be used for every transaction or alerted transaction.  The Analyst must use judgement in determining which details are pertinent to help understand relevant behaviour. In a transaction review, unusual activity might be identified by outliers, e.g. larger volume of transactions and/or higher values than normal, new counterparties or payment types. Source or destination of funds should also be sought and understood, where appropriate.</w:t>
      </w:r>
    </w:p>
    <w:tbl>
      <w:tblPr>
        <w:tblStyle w:val="Table25"/>
        <w:tblW w:w="9015.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265"/>
        <w:gridCol w:w="6750"/>
        <w:tblGridChange w:id="0">
          <w:tblGrid>
            <w:gridCol w:w="2265"/>
            <w:gridCol w:w="6750"/>
          </w:tblGrid>
        </w:tblGridChange>
      </w:tblGrid>
      <w:tr>
        <w:trPr>
          <w:cantSplit w:val="0"/>
          <w:trHeight w:val="358.5546875" w:hRule="atLeast"/>
          <w:tblHeader w:val="0"/>
        </w:trPr>
        <w:tc>
          <w:tcPr>
            <w:shd w:val="clear" w:fill="f7cbac"/>
            <w:vAlign w:val="center"/>
          </w:tcPr>
          <w:p w:rsidRPr="00000000" w:rsidR="00000000" w:rsidDel="00000000" w:rsidP="00000000" w:rsidRDefault="00000000" w14:paraId="00000505">
            <w:pPr>
              <w:jc w:val="both"/>
              <w:rPr/>
            </w:pPr>
            <w:r w:rsidRPr="00000000" w:rsidDel="00000000" w:rsidR="00000000">
              <w:rPr>
                <w:b w:val="1"/>
                <w:bCs w:val="1"/>
                <w:rtl w:val="0"/>
              </w:rPr>
              <w:t xml:space="preserve">Field</w:t>
            </w:r>
            <w:r w:rsidRPr="00000000" w:rsidDel="00000000" w:rsidR="00000000">
              <w:rPr>
                <w:rtl w:val="0"/>
              </w:rPr>
            </w:r>
          </w:p>
        </w:tc>
        <w:tc>
          <w:tcPr>
            <w:shd w:val="clear" w:fill="f7cbac"/>
            <w:vAlign w:val="center"/>
          </w:tcPr>
          <w:p w:rsidRPr="00000000" w:rsidR="00000000" w:rsidDel="00000000" w:rsidP="00000000" w:rsidRDefault="00000000" w14:paraId="00000506">
            <w:pPr>
              <w:jc w:val="both"/>
              <w:rPr/>
            </w:pPr>
            <w:r w:rsidRPr="00000000" w:rsidDel="00000000" w:rsidR="00000000">
              <w:rPr>
                <w:b w:val="1"/>
                <w:bCs w:val="1"/>
                <w:rtl w:val="0"/>
              </w:rPr>
              <w:t xml:space="preserve">Guidance</w:t>
            </w:r>
            <w:r w:rsidRPr="00000000" w:rsidDel="00000000" w:rsidR="00000000">
              <w:rPr>
                <w:rtl w:val="0"/>
              </w:rPr>
            </w:r>
          </w:p>
        </w:tc>
      </w:tr>
      <w:tr>
        <w:trPr>
          <w:cantSplit w:val="0"/>
          <w:tblHeader w:val="0"/>
        </w:trPr>
        <w:tc>
          <w:tcPr/>
          <w:p w:rsidRPr="00000000" w:rsidR="00000000" w:rsidDel="00000000" w:rsidP="00000000" w:rsidRDefault="00000000" w14:paraId="00000507">
            <w:pPr>
              <w:spacing w:line="276" w:lineRule="auto"/>
              <w:rPr/>
            </w:pPr>
            <w:bookmarkStart w:name="_heading=h.bg872zbu7cou" w:colFirst="0" w:colLast="0" w:id="306"/>
            <w:bookmarkEnd w:id="306"/>
            <w:r w:rsidRPr="00000000" w:rsidDel="00000000" w:rsidR="00000000">
              <w:rPr>
                <w:rtl w:val="0"/>
              </w:rPr>
              <w:t xml:space="preserve">Transaction Date &amp; Time</w:t>
            </w:r>
          </w:p>
        </w:tc>
        <w:tc>
          <w:tcPr/>
          <w:p w:rsidRPr="00000000" w:rsidR="00000000" w:rsidDel="00000000" w:rsidP="00000000" w:rsidRDefault="00000000" w14:paraId="00000508">
            <w:pPr>
              <w:keepNext w:val="0"/>
              <w:keepLines w:val="0"/>
              <w:pageBreakBefore w:val="0"/>
              <w:widowControl w:val="1"/>
              <w:numPr>
                <w:ilvl w:val="0"/>
                <w:numId w:val="21"/>
              </w:numPr>
              <w:pBdr>
                <w:top w:val="nil" w:sz="0" w:space="0"/>
                <w:left w:val="nil" w:sz="0" w:space="0"/>
                <w:bottom w:val="nil" w:sz="0" w:space="0"/>
                <w:right w:val="nil" w:sz="0" w:space="0"/>
                <w:between w:val="nil" w:sz="0" w:space="0"/>
              </w:pBdr>
              <w:shd w:val="clear" w:fill="auto"/>
              <w:spacing w:before="0" w:after="0" w:line="276" w:lineRule="auto"/>
              <w:ind w:left="270" w:right="0" w:hanging="270"/>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The transaction date shows on which date the transaction is processed.</w:t>
            </w:r>
          </w:p>
          <w:p w:rsidRPr="00000000" w:rsidR="00000000" w:rsidDel="00000000" w:rsidP="00000000" w:rsidRDefault="00000000" w14:paraId="00000509">
            <w:pPr>
              <w:keepNext w:val="0"/>
              <w:keepLines w:val="0"/>
              <w:pageBreakBefore w:val="0"/>
              <w:widowControl w:val="1"/>
              <w:numPr>
                <w:ilvl w:val="0"/>
                <w:numId w:val="21"/>
              </w:numPr>
              <w:pBdr>
                <w:top w:val="nil" w:sz="0" w:space="0"/>
                <w:left w:val="nil" w:sz="0" w:space="0"/>
                <w:bottom w:val="nil" w:sz="0" w:space="0"/>
                <w:right w:val="nil" w:sz="0" w:space="0"/>
                <w:between w:val="nil" w:sz="0" w:space="0"/>
              </w:pBdr>
              <w:shd w:val="clear" w:fill="auto"/>
              <w:spacing w:before="0" w:after="0" w:line="276" w:lineRule="auto"/>
              <w:ind w:left="270" w:right="0" w:hanging="270"/>
              <w:rPr>
                <w:rFonts w:ascii="Arial" w:hAnsi="Arial" w:eastAsia="Arial" w:cs="Arial"/>
                <w:i w:val="0"/>
                <w:iCs w:val="0"/>
                <w:smallCaps w:val="0"/>
                <w:strike w:val="0"/>
                <w:color w:val="000000"/>
                <w:sz w:val="22"/>
                <w:szCs w:val="22"/>
                <w:shd w:val="clear" w:fill="auto"/>
                <w:vertAlign w:val="baseline"/>
              </w:rPr>
            </w:pPr>
            <w:bookmarkStart w:name="_heading=h.t30w5n89n9zk" w:colFirst="0" w:colLast="0" w:id="307"/>
            <w:bookmarkEnd w:id="307"/>
            <w:r w:rsidRPr="00000000" w:rsidDel="00000000" w:rsidR="00000000">
              <w:rPr>
                <w:i w:val="0"/>
                <w:iCs w:val="0"/>
                <w:smallCaps w:val="0"/>
                <w:strike w:val="0"/>
                <w:color w:val="000000"/>
                <w:sz w:val="22"/>
                <w:szCs w:val="22"/>
                <w:u w:val="none"/>
                <w:shd w:val="clear" w:fill="auto"/>
                <w:vertAlign w:val="baseline"/>
                <w:rtl w:val="0"/>
              </w:rPr>
              <w:t xml:space="preserve">Patterns over periods of time, daily, weekly, monthly, quarterly, seasonally.</w:t>
            </w:r>
          </w:p>
        </w:tc>
      </w:tr>
      <w:tr>
        <w:trPr>
          <w:cantSplit w:val="0"/>
          <w:tblHeader w:val="0"/>
        </w:trPr>
        <w:tc>
          <w:tcPr/>
          <w:p w:rsidRPr="00000000" w:rsidR="00000000" w:rsidDel="00000000" w:rsidP="00000000" w:rsidRDefault="00000000" w14:paraId="0000050A">
            <w:pPr>
              <w:spacing w:line="276" w:lineRule="auto"/>
              <w:rPr/>
            </w:pPr>
            <w:bookmarkStart w:name="_heading=h.lhfy6ruw44ml" w:colFirst="0" w:colLast="0" w:id="308"/>
            <w:bookmarkEnd w:id="308"/>
            <w:r w:rsidRPr="00000000" w:rsidDel="00000000" w:rsidR="00000000">
              <w:rPr>
                <w:rtl w:val="0"/>
              </w:rPr>
              <w:t xml:space="preserve">Transaction/Payment Type (Deposits/Withdrawals)</w:t>
            </w:r>
          </w:p>
        </w:tc>
        <w:tc>
          <w:tcPr/>
          <w:p w:rsidRPr="00000000" w:rsidR="00000000" w:rsidDel="00000000" w:rsidP="00000000" w:rsidRDefault="00000000" w14:paraId="0000050B">
            <w:pPr>
              <w:keepNext w:val="0"/>
              <w:keepLines w:val="0"/>
              <w:pageBreakBefore w:val="0"/>
              <w:widowControl w:val="0"/>
              <w:numPr>
                <w:ilvl w:val="0"/>
                <w:numId w:val="21"/>
              </w:numPr>
              <w:pBdr>
                <w:top w:val="nil" w:sz="0" w:space="0"/>
                <w:left w:val="nil" w:sz="0" w:space="0"/>
                <w:bottom w:val="nil" w:sz="0" w:space="0"/>
                <w:right w:val="nil" w:sz="0" w:space="0"/>
                <w:between w:val="nil" w:sz="0" w:space="0"/>
              </w:pBdr>
              <w:shd w:val="clear" w:fill="auto"/>
              <w:spacing w:before="0" w:after="0" w:line="276" w:lineRule="auto"/>
              <w:ind w:left="270" w:right="0" w:hanging="270"/>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The transaction type helps in establishing the amount that entered or exited the account and the type of transaction that it was.</w:t>
            </w:r>
          </w:p>
          <w:p w:rsidRPr="00000000" w:rsidR="00000000" w:rsidDel="00000000" w:rsidP="00000000" w:rsidRDefault="00000000" w14:paraId="0000050C">
            <w:pPr>
              <w:keepNext w:val="0"/>
              <w:keepLines w:val="0"/>
              <w:pageBreakBefore w:val="0"/>
              <w:widowControl w:val="1"/>
              <w:numPr>
                <w:ilvl w:val="0"/>
                <w:numId w:val="21"/>
              </w:numPr>
              <w:pBdr>
                <w:top w:val="nil" w:sz="0" w:space="0"/>
                <w:left w:val="nil" w:sz="0" w:space="0"/>
                <w:bottom w:val="nil" w:sz="0" w:space="0"/>
                <w:right w:val="nil" w:sz="0" w:space="0"/>
                <w:between w:val="nil" w:sz="0" w:space="0"/>
              </w:pBdr>
              <w:shd w:val="clear" w:fill="auto"/>
              <w:spacing w:before="0" w:after="0" w:line="276" w:lineRule="auto"/>
              <w:ind w:left="270" w:right="0" w:hanging="270"/>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Rapid movement of funds, over account/wallet of users to hide activity.</w:t>
            </w:r>
          </w:p>
          <w:p w:rsidRPr="00000000" w:rsidR="00000000" w:rsidDel="00000000" w:rsidP="00000000" w:rsidRDefault="00000000" w14:paraId="0000050D">
            <w:pPr>
              <w:keepNext w:val="0"/>
              <w:keepLines w:val="0"/>
              <w:pageBreakBefore w:val="0"/>
              <w:widowControl w:val="1"/>
              <w:numPr>
                <w:ilvl w:val="0"/>
                <w:numId w:val="21"/>
              </w:numPr>
              <w:pBdr>
                <w:top w:val="nil" w:sz="0" w:space="0"/>
                <w:left w:val="nil" w:sz="0" w:space="0"/>
                <w:bottom w:val="nil" w:sz="0" w:space="0"/>
                <w:right w:val="nil" w:sz="0" w:space="0"/>
                <w:between w:val="nil" w:sz="0" w:space="0"/>
              </w:pBdr>
              <w:shd w:val="clear" w:fill="auto"/>
              <w:spacing w:before="0" w:after="0" w:line="276" w:lineRule="auto"/>
              <w:ind w:left="270" w:right="0" w:hanging="270"/>
              <w:rPr>
                <w:rFonts w:ascii="Arial" w:hAnsi="Arial" w:eastAsia="Arial" w:cs="Arial"/>
                <w:i w:val="0"/>
                <w:iCs w:val="0"/>
                <w:smallCaps w:val="0"/>
                <w:strike w:val="0"/>
                <w:color w:val="000000"/>
                <w:sz w:val="22"/>
                <w:szCs w:val="22"/>
                <w:shd w:val="clear" w:fill="auto"/>
                <w:vertAlign w:val="baseline"/>
              </w:rPr>
            </w:pPr>
            <w:bookmarkStart w:name="_heading=h.ue5zvz4uv33n" w:colFirst="0" w:colLast="0" w:id="309"/>
            <w:bookmarkEnd w:id="309"/>
            <w:r w:rsidRPr="00000000" w:rsidDel="00000000" w:rsidR="00000000">
              <w:rPr>
                <w:i w:val="0"/>
                <w:iCs w:val="0"/>
                <w:smallCaps w:val="0"/>
                <w:strike w:val="0"/>
                <w:color w:val="000000"/>
                <w:sz w:val="22"/>
                <w:szCs w:val="22"/>
                <w:u w:val="none"/>
                <w:shd w:val="clear" w:fill="auto"/>
                <w:vertAlign w:val="baseline"/>
                <w:rtl w:val="0"/>
              </w:rPr>
              <w:t xml:space="preserve">Lots of credits or debits followed by large payments.  Debit or credit is a high risk indicator that may be indicative of unusual behaviour.  Others could be obscure sources of funds and/or value of funds is another.</w:t>
            </w:r>
          </w:p>
        </w:tc>
      </w:tr>
      <w:tr>
        <w:trPr>
          <w:cantSplit w:val="0"/>
          <w:tblHeader w:val="0"/>
        </w:trPr>
        <w:tc>
          <w:tcPr/>
          <w:p w:rsidRPr="00000000" w:rsidR="00000000" w:rsidDel="00000000" w:rsidP="00000000" w:rsidRDefault="00000000" w14:paraId="0000050E">
            <w:pPr>
              <w:spacing w:line="276" w:lineRule="auto"/>
              <w:rPr/>
            </w:pPr>
            <w:bookmarkStart w:name="_heading=h.dm2iplbnk2q" w:colFirst="0" w:colLast="0" w:id="310"/>
            <w:bookmarkEnd w:id="310"/>
            <w:r w:rsidRPr="00000000" w:rsidDel="00000000" w:rsidR="00000000">
              <w:rPr>
                <w:rtl w:val="0"/>
              </w:rPr>
              <w:t xml:space="preserve">Transaction Amount</w:t>
            </w:r>
          </w:p>
        </w:tc>
        <w:tc>
          <w:tcPr/>
          <w:p w:rsidRPr="00000000" w:rsidR="00000000" w:rsidDel="00000000" w:rsidP="00000000" w:rsidRDefault="00000000" w14:paraId="0000050F">
            <w:pPr>
              <w:keepNext w:val="0"/>
              <w:keepLines w:val="0"/>
              <w:pageBreakBefore w:val="0"/>
              <w:widowControl w:val="1"/>
              <w:numPr>
                <w:ilvl w:val="0"/>
                <w:numId w:val="21"/>
              </w:numPr>
              <w:pBdr>
                <w:top w:val="nil" w:sz="0" w:space="0"/>
                <w:left w:val="nil" w:sz="0" w:space="0"/>
                <w:bottom w:val="nil" w:sz="0" w:space="0"/>
                <w:right w:val="nil" w:sz="0" w:space="0"/>
                <w:between w:val="nil" w:sz="0" w:space="0"/>
              </w:pBdr>
              <w:shd w:val="clear" w:fill="auto"/>
              <w:spacing w:before="0" w:after="0" w:line="276" w:lineRule="auto"/>
              <w:ind w:left="270" w:right="0" w:hanging="270"/>
              <w:rPr>
                <w:rFonts w:ascii="Arial" w:hAnsi="Arial" w:eastAsia="Arial" w:cs="Arial"/>
                <w:i w:val="0"/>
                <w:iCs w:val="0"/>
                <w:smallCaps w:val="0"/>
                <w:strike w:val="0"/>
                <w:color w:val="000000"/>
                <w:sz w:val="22"/>
                <w:szCs w:val="22"/>
                <w:shd w:val="clear" w:fill="auto"/>
                <w:vertAlign w:val="baseline"/>
              </w:rPr>
            </w:pPr>
            <w:bookmarkStart w:name="_heading=h.82nie6h8i6va" w:colFirst="0" w:colLast="0" w:id="311"/>
            <w:bookmarkEnd w:id="311"/>
            <w:r w:rsidRPr="00000000" w:rsidDel="00000000" w:rsidR="00000000">
              <w:rPr>
                <w:i w:val="0"/>
                <w:iCs w:val="0"/>
                <w:smallCaps w:val="0"/>
                <w:strike w:val="0"/>
                <w:color w:val="000000"/>
                <w:sz w:val="22"/>
                <w:szCs w:val="22"/>
                <w:u w:val="none"/>
                <w:shd w:val="clear" w:fill="auto"/>
                <w:vertAlign w:val="baseline"/>
                <w:rtl w:val="0"/>
              </w:rPr>
              <w:t xml:space="preserve">The amount shows the amount credited or debited. The alert may have been generated because a threshold has been exceeded. This helps to identify if it is a normal pattern of behaviour and therefore whether it is usual or not.</w:t>
            </w:r>
          </w:p>
        </w:tc>
      </w:tr>
      <w:tr>
        <w:trPr>
          <w:cantSplit w:val="0"/>
          <w:tblHeader w:val="0"/>
        </w:trPr>
        <w:tc>
          <w:tcPr/>
          <w:p w:rsidRPr="00000000" w:rsidR="00000000" w:rsidDel="00000000" w:rsidP="00000000" w:rsidRDefault="00000000" w14:paraId="00000510">
            <w:pPr>
              <w:spacing w:line="276" w:lineRule="auto"/>
              <w:rPr/>
            </w:pPr>
            <w:r w:rsidRPr="00000000" w:rsidDel="00000000" w:rsidR="00000000">
              <w:rPr>
                <w:rtl w:val="0"/>
              </w:rPr>
              <w:t xml:space="preserve">Source of funds/Originator and  </w:t>
            </w:r>
          </w:p>
          <w:p w:rsidRPr="00000000" w:rsidR="00000000" w:rsidDel="00000000" w:rsidP="00000000" w:rsidRDefault="00000000" w14:paraId="00000511">
            <w:pPr>
              <w:spacing w:line="276" w:lineRule="auto"/>
              <w:rPr/>
            </w:pPr>
            <w:bookmarkStart w:name="_heading=h.i54b35guejxa" w:colFirst="0" w:colLast="0" w:id="312"/>
            <w:bookmarkEnd w:id="312"/>
            <w:r w:rsidRPr="00000000" w:rsidDel="00000000" w:rsidR="00000000">
              <w:rPr>
                <w:rtl w:val="0"/>
              </w:rPr>
              <w:t xml:space="preserve">Destination of Funds / Beneficiary</w:t>
            </w:r>
          </w:p>
        </w:tc>
        <w:tc>
          <w:tcPr/>
          <w:p w:rsidRPr="00000000" w:rsidR="00000000" w:rsidDel="00000000" w:rsidP="00000000" w:rsidRDefault="00000000" w14:paraId="00000512">
            <w:pPr>
              <w:keepNext w:val="0"/>
              <w:keepLines w:val="0"/>
              <w:pageBreakBefore w:val="0"/>
              <w:widowControl w:val="1"/>
              <w:numPr>
                <w:ilvl w:val="0"/>
                <w:numId w:val="21"/>
              </w:numPr>
              <w:pBdr>
                <w:top w:val="nil" w:sz="0" w:space="0"/>
                <w:left w:val="nil" w:sz="0" w:space="0"/>
                <w:bottom w:val="nil" w:sz="0" w:space="0"/>
                <w:right w:val="nil" w:sz="0" w:space="0"/>
                <w:between w:val="nil" w:sz="0" w:space="0"/>
              </w:pBdr>
              <w:shd w:val="clear" w:fill="auto"/>
              <w:spacing w:before="0" w:after="0" w:line="276" w:lineRule="auto"/>
              <w:ind w:left="270" w:right="0" w:hanging="270"/>
              <w:rPr>
                <w:rFonts w:ascii="Arial" w:hAnsi="Arial" w:eastAsia="Arial" w:cs="Arial"/>
                <w:i w:val="0"/>
                <w:iCs w:val="0"/>
                <w:smallCaps w:val="0"/>
                <w:strike w:val="0"/>
                <w:color w:val="000000"/>
                <w:sz w:val="22"/>
                <w:szCs w:val="22"/>
                <w:shd w:val="clear" w:fill="auto"/>
                <w:vertAlign w:val="baseline"/>
              </w:rPr>
            </w:pPr>
            <w:bookmarkStart w:name="_heading=h.emhdm6n5qbjm" w:colFirst="0" w:colLast="0" w:id="313"/>
            <w:bookmarkEnd w:id="313"/>
            <w:r w:rsidRPr="00000000" w:rsidDel="00000000" w:rsidR="00000000">
              <w:rPr>
                <w:i w:val="0"/>
                <w:iCs w:val="0"/>
                <w:smallCaps w:val="0"/>
                <w:strike w:val="0"/>
                <w:color w:val="000000"/>
                <w:sz w:val="22"/>
                <w:szCs w:val="22"/>
                <w:u w:val="none"/>
                <w:shd w:val="clear" w:fill="auto"/>
                <w:vertAlign w:val="baseline"/>
                <w:rtl w:val="0"/>
              </w:rPr>
              <w:t xml:space="preserve">The source / destination of funds are one of the major criteria for transaction monitoring.  It gives the appropriate knowledge to the investigation to assist in determining whether the transactions are unusual. </w:t>
            </w:r>
          </w:p>
        </w:tc>
      </w:tr>
      <w:tr>
        <w:trPr>
          <w:cantSplit w:val="0"/>
          <w:tblHeader w:val="0"/>
        </w:trPr>
        <w:tc>
          <w:tcPr/>
          <w:p w:rsidRPr="00000000" w:rsidR="00000000" w:rsidDel="00000000" w:rsidP="00000000" w:rsidRDefault="00000000" w14:paraId="00000513">
            <w:pPr>
              <w:spacing w:line="276" w:lineRule="auto"/>
              <w:rPr/>
            </w:pPr>
            <w:r w:rsidRPr="00000000" w:rsidDel="00000000" w:rsidR="00000000">
              <w:rPr>
                <w:rtl w:val="0"/>
              </w:rPr>
              <w:t xml:space="preserve">Other transactions undertaken.</w:t>
            </w:r>
          </w:p>
          <w:p w:rsidRPr="00000000" w:rsidR="00000000" w:rsidDel="00000000" w:rsidP="00000000" w:rsidRDefault="00000000" w14:paraId="00000514">
            <w:pPr>
              <w:spacing w:line="276" w:lineRule="auto"/>
              <w:rPr/>
            </w:pPr>
            <w:r w:rsidRPr="00000000" w:rsidDel="00000000" w:rsidR="00000000">
              <w:rPr>
                <w:rtl w:val="0"/>
              </w:rPr>
              <w:t xml:space="preserve"> </w:t>
            </w:r>
          </w:p>
        </w:tc>
        <w:tc>
          <w:tcPr/>
          <w:p w:rsidRPr="00000000" w:rsidR="00000000" w:rsidDel="00000000" w:rsidP="00000000" w:rsidRDefault="00000000" w14:paraId="00000515">
            <w:pPr>
              <w:keepNext w:val="0"/>
              <w:keepLines w:val="0"/>
              <w:pageBreakBefore w:val="0"/>
              <w:widowControl w:val="1"/>
              <w:numPr>
                <w:ilvl w:val="0"/>
                <w:numId w:val="21"/>
              </w:numPr>
              <w:pBdr>
                <w:top w:val="nil" w:sz="0" w:space="0"/>
                <w:left w:val="nil" w:sz="0" w:space="0"/>
                <w:bottom w:val="nil" w:sz="0" w:space="0"/>
                <w:right w:val="nil" w:sz="0" w:space="0"/>
                <w:between w:val="nil" w:sz="0" w:space="0"/>
              </w:pBdr>
              <w:shd w:val="clear" w:fill="auto"/>
              <w:spacing w:before="0" w:after="0" w:line="276" w:lineRule="auto"/>
              <w:ind w:left="270" w:right="0" w:hanging="270"/>
              <w:rPr>
                <w:rFonts w:ascii="Arial" w:hAnsi="Arial" w:eastAsia="Arial" w:cs="Arial"/>
                <w:i w:val="0"/>
                <w:iCs w:val="0"/>
                <w:smallCaps w:val="0"/>
                <w:strike w:val="0"/>
                <w:color w:val="000000"/>
                <w:sz w:val="22"/>
                <w:szCs w:val="22"/>
                <w:shd w:val="clear" w:fill="auto"/>
                <w:vertAlign w:val="baseline"/>
              </w:rPr>
            </w:pPr>
            <w:bookmarkStart w:name="_heading=h.als2ivn2xea8" w:colFirst="0" w:colLast="0" w:id="314"/>
            <w:bookmarkEnd w:id="314"/>
            <w:r w:rsidRPr="00000000" w:rsidDel="00000000" w:rsidR="00000000">
              <w:rPr>
                <w:i w:val="0"/>
                <w:iCs w:val="0"/>
                <w:smallCaps w:val="0"/>
                <w:strike w:val="0"/>
                <w:color w:val="000000"/>
                <w:sz w:val="22"/>
                <w:szCs w:val="22"/>
                <w:u w:val="none"/>
                <w:shd w:val="clear" w:fill="auto"/>
                <w:vertAlign w:val="baseline"/>
                <w:rtl w:val="0"/>
              </w:rPr>
              <w:t xml:space="preserve">Reviewing other transactions provides a clear picture of the customer's regular transaction pattern and should be used with CDD information to assess whether this is typical or potentially unusual behaviour.</w:t>
            </w:r>
          </w:p>
        </w:tc>
      </w:tr>
      <w:tr>
        <w:trPr>
          <w:cantSplit w:val="0"/>
          <w:tblHeader w:val="0"/>
        </w:trPr>
        <w:tc>
          <w:tcPr/>
          <w:p w:rsidRPr="00000000" w:rsidR="00000000" w:rsidDel="00000000" w:rsidP="00000000" w:rsidRDefault="00000000" w14:paraId="00000516">
            <w:pPr>
              <w:spacing w:line="276" w:lineRule="auto"/>
              <w:rPr/>
            </w:pPr>
            <w:r w:rsidRPr="00000000" w:rsidDel="00000000" w:rsidR="00000000">
              <w:rPr>
                <w:rtl w:val="0"/>
              </w:rPr>
              <w:t xml:space="preserve">Average Monthly Turn-over of the Account/Wallet.</w:t>
            </w:r>
          </w:p>
          <w:p w:rsidRPr="00000000" w:rsidR="00000000" w:rsidDel="00000000" w:rsidP="00000000" w:rsidRDefault="00000000" w14:paraId="00000517">
            <w:pPr>
              <w:spacing w:line="276" w:lineRule="auto"/>
              <w:ind w:left="120" w:firstLine="0"/>
              <w:rPr/>
            </w:pPr>
            <w:r w:rsidRPr="00000000" w:rsidDel="00000000" w:rsidR="00000000">
              <w:rPr>
                <w:rtl w:val="0"/>
              </w:rPr>
              <w:t xml:space="preserve"> </w:t>
            </w:r>
          </w:p>
          <w:p w:rsidRPr="00000000" w:rsidR="00000000" w:rsidDel="00000000" w:rsidP="00000000" w:rsidRDefault="00000000" w14:paraId="00000518">
            <w:pPr>
              <w:spacing w:line="276" w:lineRule="auto"/>
              <w:rPr/>
            </w:pPr>
            <w:r w:rsidRPr="00000000" w:rsidDel="00000000" w:rsidR="00000000">
              <w:rPr>
                <w:rtl w:val="0"/>
              </w:rPr>
              <w:t xml:space="preserve"> </w:t>
            </w:r>
          </w:p>
        </w:tc>
        <w:tc>
          <w:tcPr/>
          <w:p w:rsidRPr="00000000" w:rsidR="00000000" w:rsidDel="00000000" w:rsidP="00000000" w:rsidRDefault="00000000" w14:paraId="00000519">
            <w:pPr>
              <w:keepNext w:val="0"/>
              <w:keepLines w:val="0"/>
              <w:pageBreakBefore w:val="0"/>
              <w:widowControl w:val="1"/>
              <w:numPr>
                <w:ilvl w:val="0"/>
                <w:numId w:val="21"/>
              </w:numPr>
              <w:pBdr>
                <w:top w:val="nil" w:sz="0" w:space="0"/>
                <w:left w:val="nil" w:sz="0" w:space="0"/>
                <w:bottom w:val="nil" w:sz="0" w:space="0"/>
                <w:right w:val="nil" w:sz="0" w:space="0"/>
                <w:between w:val="nil" w:sz="0" w:space="0"/>
              </w:pBdr>
              <w:shd w:val="clear" w:fill="auto"/>
              <w:spacing w:before="0" w:after="0" w:line="276" w:lineRule="auto"/>
              <w:ind w:left="270" w:right="0" w:hanging="270"/>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The average monthly turn-over of the account/wallet helps to establish if the customer's monthly transactions are maintaining the same average or if there are any differences compared to its historical activity.</w:t>
            </w:r>
          </w:p>
          <w:p w:rsidRPr="00000000" w:rsidR="00000000" w:rsidDel="00000000" w:rsidP="00000000" w:rsidRDefault="00000000" w14:paraId="0000051A">
            <w:pPr>
              <w:keepNext w:val="0"/>
              <w:keepLines w:val="0"/>
              <w:pageBreakBefore w:val="0"/>
              <w:widowControl w:val="1"/>
              <w:numPr>
                <w:ilvl w:val="0"/>
                <w:numId w:val="21"/>
              </w:numPr>
              <w:pBdr>
                <w:top w:val="nil" w:sz="0" w:space="0"/>
                <w:left w:val="nil" w:sz="0" w:space="0"/>
                <w:bottom w:val="nil" w:sz="0" w:space="0"/>
                <w:right w:val="nil" w:sz="0" w:space="0"/>
                <w:between w:val="nil" w:sz="0" w:space="0"/>
              </w:pBdr>
              <w:shd w:val="clear" w:fill="auto"/>
              <w:spacing w:before="0" w:after="0" w:line="276" w:lineRule="auto"/>
              <w:ind w:left="270" w:right="0" w:hanging="270"/>
              <w:rPr>
                <w:rFonts w:ascii="Arial" w:hAnsi="Arial" w:eastAsia="Arial" w:cs="Arial"/>
                <w:i w:val="0"/>
                <w:iCs w:val="0"/>
                <w:smallCaps w:val="0"/>
                <w:strike w:val="0"/>
                <w:color w:val="000000"/>
                <w:sz w:val="22"/>
                <w:szCs w:val="22"/>
                <w:shd w:val="clear" w:fill="auto"/>
                <w:vertAlign w:val="baseline"/>
              </w:rPr>
            </w:pPr>
            <w:bookmarkStart w:name="_heading=h.9znjunzgicbs" w:colFirst="0" w:colLast="0" w:id="315"/>
            <w:bookmarkEnd w:id="315"/>
            <w:r w:rsidRPr="00000000" w:rsidDel="00000000" w:rsidR="00000000">
              <w:rPr>
                <w:i w:val="0"/>
                <w:iCs w:val="0"/>
                <w:smallCaps w:val="0"/>
                <w:strike w:val="0"/>
                <w:color w:val="000000"/>
                <w:sz w:val="22"/>
                <w:szCs w:val="22"/>
                <w:u w:val="none"/>
                <w:shd w:val="clear" w:fill="auto"/>
                <w:vertAlign w:val="baseline"/>
                <w:rtl w:val="0"/>
              </w:rPr>
              <w:t xml:space="preserve">A dramatic increase in activity is considered a high risk indicator.  If available, review the average monthly turnover of alerted account/wallet via the TM system, core banking system or customer profile/information.</w:t>
            </w:r>
          </w:p>
        </w:tc>
      </w:tr>
      <w:tr>
        <w:trPr>
          <w:cantSplit w:val="0"/>
          <w:tblHeader w:val="0"/>
        </w:trPr>
        <w:tc>
          <w:tcPr/>
          <w:p w:rsidRPr="00000000" w:rsidR="00000000" w:rsidDel="00000000" w:rsidP="00000000" w:rsidRDefault="00000000" w14:paraId="0000051B">
            <w:pPr>
              <w:spacing w:line="276" w:lineRule="auto"/>
              <w:rPr/>
            </w:pPr>
            <w:bookmarkStart w:name="_heading=h.gxn0bf1wgoum" w:colFirst="0" w:colLast="0" w:id="316"/>
            <w:bookmarkEnd w:id="316"/>
            <w:r w:rsidRPr="00000000" w:rsidDel="00000000" w:rsidR="00000000">
              <w:rPr>
                <w:rtl w:val="0"/>
              </w:rPr>
              <w:t xml:space="preserve">Review Period for Frequency of similar transaction</w:t>
            </w:r>
          </w:p>
        </w:tc>
        <w:tc>
          <w:tcPr/>
          <w:p w:rsidRPr="00000000" w:rsidR="00000000" w:rsidDel="00000000" w:rsidP="00000000" w:rsidRDefault="00000000" w14:paraId="0000051C">
            <w:pPr>
              <w:keepNext w:val="0"/>
              <w:keepLines w:val="0"/>
              <w:pageBreakBefore w:val="0"/>
              <w:widowControl w:val="1"/>
              <w:numPr>
                <w:ilvl w:val="0"/>
                <w:numId w:val="21"/>
              </w:numPr>
              <w:pBdr>
                <w:top w:val="nil" w:sz="0" w:space="0"/>
                <w:left w:val="nil" w:sz="0" w:space="0"/>
                <w:bottom w:val="nil" w:sz="0" w:space="0"/>
                <w:right w:val="nil" w:sz="0" w:space="0"/>
                <w:between w:val="nil" w:sz="0" w:space="0"/>
              </w:pBdr>
              <w:shd w:val="clear" w:fill="auto"/>
              <w:spacing w:before="0" w:after="0" w:line="276" w:lineRule="auto"/>
              <w:ind w:left="270" w:right="0" w:hanging="270"/>
              <w:rPr>
                <w:rFonts w:ascii="Arial" w:hAnsi="Arial" w:eastAsia="Arial" w:cs="Arial"/>
                <w:i w:val="0"/>
                <w:iCs w:val="0"/>
                <w:smallCaps w:val="0"/>
                <w:strike w:val="0"/>
                <w:color w:val="000000"/>
                <w:sz w:val="22"/>
                <w:szCs w:val="22"/>
                <w:shd w:val="clear" w:fill="auto"/>
                <w:vertAlign w:val="baseline"/>
              </w:rPr>
            </w:pPr>
            <w:bookmarkStart w:name="_heading=h.wks2kz7ezg15" w:colFirst="0" w:colLast="0" w:id="317"/>
            <w:bookmarkEnd w:id="317"/>
            <w:r w:rsidRPr="00000000" w:rsidDel="00000000" w:rsidR="00000000">
              <w:rPr>
                <w:i w:val="0"/>
                <w:iCs w:val="0"/>
                <w:smallCaps w:val="0"/>
                <w:strike w:val="0"/>
                <w:color w:val="000000"/>
                <w:sz w:val="22"/>
                <w:szCs w:val="22"/>
                <w:u w:val="none"/>
                <w:shd w:val="clear" w:fill="auto"/>
                <w:vertAlign w:val="baseline"/>
                <w:rtl w:val="0"/>
              </w:rPr>
              <w:t xml:space="preserve">The verification of similar transactions helps in establishing whether the customer made any kind of similar activities other than the alerted one? If yes, then this helps the Analyst understand the transactional pattern of the customer.</w:t>
            </w:r>
          </w:p>
        </w:tc>
      </w:tr>
      <w:tr>
        <w:trPr>
          <w:cantSplit w:val="0"/>
          <w:tblHeader w:val="0"/>
        </w:trPr>
        <w:tc>
          <w:tcPr/>
          <w:p w:rsidRPr="00000000" w:rsidR="00000000" w:rsidDel="00000000" w:rsidP="00000000" w:rsidRDefault="00000000" w14:paraId="0000051D">
            <w:pPr>
              <w:spacing w:line="276" w:lineRule="auto"/>
              <w:rPr/>
            </w:pPr>
            <w:bookmarkStart w:name="_heading=h.lv9iiyp7ij60" w:colFirst="0" w:colLast="0" w:id="318"/>
            <w:bookmarkEnd w:id="318"/>
            <w:r w:rsidRPr="00000000" w:rsidDel="00000000" w:rsidR="00000000">
              <w:rPr>
                <w:rtl w:val="0"/>
              </w:rPr>
              <w:t xml:space="preserve">Account/Wallet Transaction Review Period (Historical Statements)</w:t>
            </w:r>
          </w:p>
        </w:tc>
        <w:tc>
          <w:tcPr/>
          <w:p w:rsidRPr="00000000" w:rsidR="00000000" w:rsidDel="00000000" w:rsidP="00000000" w:rsidRDefault="00000000" w14:paraId="0000051E">
            <w:pPr>
              <w:keepNext w:val="0"/>
              <w:keepLines w:val="0"/>
              <w:pageBreakBefore w:val="0"/>
              <w:widowControl w:val="1"/>
              <w:numPr>
                <w:ilvl w:val="0"/>
                <w:numId w:val="21"/>
              </w:numPr>
              <w:pBdr>
                <w:top w:val="nil" w:sz="0" w:space="0"/>
                <w:left w:val="nil" w:sz="0" w:space="0"/>
                <w:bottom w:val="nil" w:sz="0" w:space="0"/>
                <w:right w:val="nil" w:sz="0" w:space="0"/>
                <w:between w:val="nil" w:sz="0" w:space="0"/>
              </w:pBdr>
              <w:shd w:val="clear" w:fill="auto"/>
              <w:spacing w:before="0" w:after="0" w:line="276" w:lineRule="auto"/>
              <w:ind w:left="270" w:right="0" w:hanging="270"/>
              <w:rPr>
                <w:rFonts w:ascii="Arial" w:hAnsi="Arial" w:eastAsia="Arial" w:cs="Arial"/>
                <w:i w:val="0"/>
                <w:iCs w:val="0"/>
                <w:smallCaps w:val="0"/>
                <w:strike w:val="0"/>
                <w:color w:val="000000"/>
                <w:sz w:val="22"/>
                <w:szCs w:val="22"/>
                <w:shd w:val="clear" w:fill="auto"/>
                <w:vertAlign w:val="baseline"/>
              </w:rPr>
            </w:pPr>
            <w:bookmarkStart w:name="_heading=h.412ddqfhwhzc" w:colFirst="0" w:colLast="0" w:id="319"/>
            <w:bookmarkEnd w:id="319"/>
            <w:r w:rsidRPr="00000000" w:rsidDel="00000000" w:rsidR="00000000">
              <w:rPr>
                <w:i w:val="0"/>
                <w:iCs w:val="0"/>
                <w:smallCaps w:val="0"/>
                <w:strike w:val="0"/>
                <w:color w:val="000000"/>
                <w:sz w:val="22"/>
                <w:szCs w:val="22"/>
                <w:u w:val="none"/>
                <w:shd w:val="clear" w:fill="auto"/>
                <w:vertAlign w:val="baseline"/>
                <w:rtl w:val="0"/>
              </w:rPr>
              <w:t xml:space="preserve">The verification of similar transactions is the last 1 month minimum. This helps to establish whether the customer made any kind of similar activities previously, if yes, then this is an indication that can help the Analyst to establish the transactions pattern of the customer.</w:t>
            </w:r>
          </w:p>
        </w:tc>
      </w:tr>
    </w:tbl>
    <w:p w:rsidRPr="00000000" w:rsidR="00000000" w:rsidDel="00000000" w:rsidP="00000000" w:rsidRDefault="00000000" w14:paraId="0000051F">
      <w:pPr>
        <w:spacing w:after="0" w:lineRule="auto"/>
        <w:jc w:val="both"/>
        <w:rPr>
          <w:sz w:val="2"/>
          <w:szCs w:val="2"/>
          <w:highlight w:val="white"/>
        </w:rPr>
      </w:pPr>
      <w:r w:rsidRPr="00000000" w:rsidDel="00000000" w:rsidR="00000000">
        <w:rPr>
          <w:rtl w:val="0"/>
        </w:rPr>
      </w:r>
    </w:p>
    <w:p w:rsidRPr="00000000" w:rsidR="00000000" w:rsidDel="00000000" w:rsidP="00000000" w:rsidRDefault="00000000" w14:paraId="00000520">
      <w:pPr>
        <w:spacing w:after="0" w:lineRule="auto"/>
        <w:jc w:val="both"/>
        <w:rPr>
          <w:highlight w:val="white"/>
        </w:rPr>
      </w:pPr>
      <w:r w:rsidRPr="00000000" w:rsidDel="00000000" w:rsidR="00000000">
        <w:rPr>
          <w:rtl w:val="0"/>
        </w:rPr>
      </w:r>
    </w:p>
    <w:p w:rsidRPr="00000000" w:rsidR="00000000" w:rsidDel="00000000" w:rsidP="00000000" w:rsidRDefault="00000000" w14:paraId="00000521">
      <w:pPr>
        <w:spacing w:after="0" w:lineRule="auto"/>
        <w:ind w:left="720" w:firstLine="0"/>
        <w:jc w:val="both"/>
        <w:rPr>
          <w:sz w:val="2"/>
          <w:szCs w:val="2"/>
          <w:highlight w:val="white"/>
        </w:rPr>
      </w:pPr>
      <w:r w:rsidRPr="00000000" w:rsidDel="00000000" w:rsidR="00000000">
        <w:rPr>
          <w:rtl w:val="0"/>
        </w:rPr>
      </w:r>
    </w:p>
    <w:p w:rsidRPr="00000000" w:rsidR="00000000" w:rsidDel="00000000" w:rsidP="00000000" w:rsidRDefault="00000000" w14:paraId="00000522">
      <w:pPr>
        <w:pStyle w:val="Heading2"/>
        <w:numPr>
          <w:ilvl w:val="1"/>
          <w:numId w:val="25"/>
        </w:numPr>
        <w:spacing w:after="240" w:lineRule="auto"/>
        <w:ind w:left="720"/>
        <w:jc w:val="both"/>
        <w:rPr/>
      </w:pPr>
      <w:bookmarkStart w:name="_heading=h.2e2hwq8c3z1u" w:colFirst="0" w:colLast="0" w:id="320"/>
      <w:bookmarkEnd w:id="320"/>
      <w:r w:rsidRPr="00000000" w:rsidDel="00000000" w:rsidR="00000000">
        <w:rPr>
          <w:rFonts w:ascii="Arial" w:hAnsi="Arial" w:eastAsia="Arial" w:cs="Arial"/>
          <w:smallCaps w:val="0"/>
          <w:sz w:val="24"/>
          <w:szCs w:val="24"/>
          <w:rtl w:val="0"/>
        </w:rPr>
        <w:t xml:space="preserve">Case Decision</w:t>
      </w:r>
      <w:r w:rsidRPr="00000000" w:rsidDel="00000000" w:rsidR="00000000">
        <w:rPr>
          <w:rtl w:val="0"/>
        </w:rPr>
      </w:r>
    </w:p>
    <w:p w:rsidRPr="00000000" w:rsidR="00000000" w:rsidDel="00000000" w:rsidP="00000000" w:rsidRDefault="00000000" w14:paraId="00000523">
      <w:pPr>
        <w:numPr>
          <w:ilvl w:val="2"/>
          <w:numId w:val="25"/>
        </w:numPr>
        <w:spacing w:after="240" w:lineRule="auto"/>
        <w:ind w:left="720" w:hanging="720"/>
        <w:jc w:val="both"/>
        <w:rPr/>
      </w:pPr>
      <w:bookmarkStart w:name="_heading=h.uvwoddkrotcc" w:colFirst="0" w:colLast="0" w:id="321"/>
      <w:bookmarkEnd w:id="321"/>
      <w:r w:rsidRPr="00000000" w:rsidDel="00000000" w:rsidR="00000000">
        <w:rPr>
          <w:rtl w:val="0"/>
        </w:rPr>
        <w:t xml:space="preserve">Once the steps above have been completed, the Analyst should collate, evaluate and understand/ explain the information gathered from reviewing the alerts and details, subject details, transaction details and any external searches undertaken in order to close the case or escalate to Investigations.</w:t>
      </w:r>
    </w:p>
    <w:p w:rsidRPr="00000000" w:rsidR="00000000" w:rsidDel="00000000" w:rsidP="00000000" w:rsidRDefault="00000000" w14:paraId="00000524">
      <w:pPr>
        <w:numPr>
          <w:ilvl w:val="2"/>
          <w:numId w:val="25"/>
        </w:numPr>
        <w:spacing w:after="240" w:lineRule="auto"/>
        <w:ind w:left="720" w:hanging="720"/>
        <w:jc w:val="both"/>
        <w:rPr/>
      </w:pPr>
      <w:bookmarkStart w:name="_heading=h.mzfotbajye6g" w:colFirst="0" w:colLast="0" w:id="322"/>
      <w:bookmarkEnd w:id="322"/>
      <w:r w:rsidRPr="00000000" w:rsidDel="00000000" w:rsidR="00000000">
        <w:rPr>
          <w:rtl w:val="0"/>
        </w:rPr>
        <w:t xml:space="preserve">The threshold assessment is whether there is sufficient evidence available to make a decision to close the case.</w:t>
      </w:r>
    </w:p>
    <w:p w:rsidRPr="00000000" w:rsidR="00000000" w:rsidDel="00000000" w:rsidP="00000000" w:rsidRDefault="00000000" w14:paraId="00000525">
      <w:pPr>
        <w:numPr>
          <w:ilvl w:val="2"/>
          <w:numId w:val="25"/>
        </w:numPr>
        <w:spacing w:after="240" w:lineRule="auto"/>
        <w:ind w:left="720" w:hanging="720"/>
        <w:jc w:val="both"/>
        <w:rPr/>
      </w:pPr>
      <w:bookmarkStart w:name="_heading=h.93pxa8jlm3ms" w:colFirst="0" w:colLast="0" w:id="323"/>
      <w:bookmarkEnd w:id="323"/>
      <w:r w:rsidRPr="00000000" w:rsidDel="00000000" w:rsidR="00000000">
        <w:rPr>
          <w:rtl w:val="0"/>
        </w:rPr>
        <w:t xml:space="preserve">Where the Analyst has determined that the case can be closed after completing the Case Analysis as no potential financial crime risk or unusual activity was identified, it is critical that the appropriate sections of the ACS are populated.  Completion of the ACS documents information and findings that can be used for future investigations as well as provides a clear statement of the basis as to the determination that the alerted activity and subject pose no risk.   The relevant facts that explain why the alerted transactions are consistent with the subject’s expected activity and pose no financial crime risk must be clearly summarized.</w:t>
      </w:r>
    </w:p>
    <w:p w:rsidRPr="00000000" w:rsidR="00000000" w:rsidDel="00000000" w:rsidP="00000000" w:rsidRDefault="00000000" w14:paraId="00000526">
      <w:pPr>
        <w:numPr>
          <w:ilvl w:val="2"/>
          <w:numId w:val="25"/>
        </w:numPr>
        <w:spacing w:after="240" w:lineRule="auto"/>
        <w:ind w:left="720" w:hanging="720"/>
        <w:jc w:val="both"/>
        <w:rPr/>
      </w:pPr>
      <w:bookmarkStart w:name="_heading=h.p08368qjzh02" w:colFirst="0" w:colLast="0" w:id="324"/>
      <w:bookmarkEnd w:id="324"/>
      <w:r w:rsidRPr="00000000" w:rsidDel="00000000" w:rsidR="00000000">
        <w:rPr>
          <w:rtl w:val="0"/>
        </w:rPr>
        <w:t xml:space="preserve">Only information relevant to decisions obtained from external sources must be captured in screenshots, uploaded to the case file and briefly outlined within the ACS.</w:t>
      </w:r>
    </w:p>
    <w:p w:rsidRPr="00000000" w:rsidR="00000000" w:rsidDel="00000000" w:rsidP="00000000" w:rsidRDefault="00000000" w14:paraId="00000527">
      <w:pPr>
        <w:numPr>
          <w:ilvl w:val="2"/>
          <w:numId w:val="25"/>
        </w:numPr>
        <w:spacing w:after="240" w:lineRule="auto"/>
        <w:ind w:left="720" w:hanging="720"/>
        <w:jc w:val="both"/>
        <w:rPr/>
      </w:pPr>
      <w:bookmarkStart w:name="_heading=h.n2mw4tu0zd0k" w:colFirst="0" w:colLast="0" w:id="325"/>
      <w:bookmarkEnd w:id="325"/>
      <w:r w:rsidRPr="00000000" w:rsidDel="00000000" w:rsidR="00000000">
        <w:rPr>
          <w:rtl w:val="0"/>
        </w:rPr>
        <w:t xml:space="preserve">Once the relevant sections of the ACS have been completed and checked for spelling and grammar, the case must be closed.</w:t>
      </w:r>
    </w:p>
    <w:p w:rsidRPr="00000000" w:rsidR="00000000" w:rsidDel="00000000" w:rsidP="00000000" w:rsidRDefault="00000000" w14:paraId="00000528">
      <w:pPr>
        <w:numPr>
          <w:ilvl w:val="2"/>
          <w:numId w:val="25"/>
        </w:numPr>
        <w:spacing w:after="240" w:lineRule="auto"/>
        <w:ind w:left="720" w:hanging="720"/>
        <w:jc w:val="both"/>
        <w:rPr/>
      </w:pPr>
      <w:bookmarkStart w:name="_heading=h.o52u33p99phj" w:colFirst="0" w:colLast="0" w:id="326"/>
      <w:bookmarkEnd w:id="326"/>
      <w:r w:rsidRPr="00000000" w:rsidDel="00000000" w:rsidR="00000000">
        <w:rPr>
          <w:rtl w:val="0"/>
        </w:rPr>
        <w:t xml:space="preserve">Evidence of all relevant research and findings must be recorded in the relevant ACS sections.</w:t>
      </w:r>
    </w:p>
    <w:p w:rsidRPr="00000000" w:rsidR="00000000" w:rsidDel="00000000" w:rsidP="00000000" w:rsidRDefault="00000000" w14:paraId="00000529">
      <w:pPr>
        <w:pStyle w:val="Heading2"/>
        <w:numPr>
          <w:ilvl w:val="1"/>
          <w:numId w:val="25"/>
        </w:numPr>
        <w:spacing w:after="240" w:lineRule="auto"/>
        <w:ind w:left="720"/>
        <w:jc w:val="both"/>
        <w:rPr/>
      </w:pPr>
      <w:bookmarkStart w:name="_heading=h.hdiysx3vyb2" w:colFirst="0" w:colLast="0" w:id="327"/>
      <w:bookmarkEnd w:id="327"/>
      <w:r w:rsidRPr="00000000" w:rsidDel="00000000" w:rsidR="00000000">
        <w:rPr>
          <w:rFonts w:ascii="Arial" w:hAnsi="Arial" w:eastAsia="Arial" w:cs="Arial"/>
          <w:smallCaps w:val="0"/>
          <w:sz w:val="24"/>
          <w:szCs w:val="24"/>
          <w:rtl w:val="0"/>
        </w:rPr>
        <w:t xml:space="preserve">Case Decision Following Additional Case Analysis</w:t>
      </w:r>
      <w:r w:rsidRPr="00000000" w:rsidDel="00000000" w:rsidR="00000000">
        <w:rPr>
          <w:rtl w:val="0"/>
        </w:rPr>
      </w:r>
    </w:p>
    <w:p w:rsidRPr="00000000" w:rsidR="00000000" w:rsidDel="00000000" w:rsidP="00000000" w:rsidRDefault="00000000" w14:paraId="0000052A">
      <w:pPr>
        <w:numPr>
          <w:ilvl w:val="2"/>
          <w:numId w:val="25"/>
        </w:numPr>
        <w:spacing w:after="240" w:lineRule="auto"/>
        <w:ind w:left="720" w:hanging="720"/>
        <w:jc w:val="both"/>
        <w:rPr/>
      </w:pPr>
      <w:bookmarkStart w:name="_heading=h.uvoftso9k41z" w:colFirst="0" w:colLast="0" w:id="328"/>
      <w:bookmarkEnd w:id="328"/>
      <w:r w:rsidRPr="00000000" w:rsidDel="00000000" w:rsidR="00000000">
        <w:rPr>
          <w:rtl w:val="0"/>
        </w:rPr>
        <w:t xml:space="preserve">Based on decisions made during additional Case Analysis steps, the Analyst will either:</w:t>
      </w:r>
    </w:p>
    <w:p w:rsidRPr="00000000" w:rsidR="00000000" w:rsidDel="00000000" w:rsidP="00000000" w:rsidRDefault="00000000" w14:paraId="0000052B">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Close the case with no escalation;</w:t>
      </w:r>
    </w:p>
    <w:p w:rsidRPr="00000000" w:rsidR="00000000" w:rsidDel="00000000" w:rsidP="00000000" w:rsidRDefault="00000000" w14:paraId="0000052C">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Close the case with no unusual activity identified, however escalate to the risk team due to prevalent KYC triggers; or</w:t>
      </w:r>
    </w:p>
    <w:p w:rsidRPr="00000000" w:rsidR="00000000" w:rsidDel="00000000" w:rsidP="00000000" w:rsidRDefault="00000000" w14:paraId="0000052D">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Escalate the case to FCI.</w:t>
      </w:r>
    </w:p>
    <w:p w:rsidRPr="00000000" w:rsidR="00000000" w:rsidDel="00000000" w:rsidP="00000000" w:rsidRDefault="00000000" w14:paraId="0000052E">
      <w:pPr>
        <w:numPr>
          <w:ilvl w:val="2"/>
          <w:numId w:val="25"/>
        </w:numPr>
        <w:spacing w:after="240" w:lineRule="auto"/>
        <w:ind w:left="720" w:hanging="720"/>
        <w:jc w:val="both"/>
        <w:rPr/>
      </w:pPr>
      <w:bookmarkStart w:name="_heading=h.xo14s0k34l6f" w:colFirst="0" w:colLast="0" w:id="329"/>
      <w:bookmarkEnd w:id="329"/>
      <w:r w:rsidRPr="00000000" w:rsidDel="00000000" w:rsidR="00000000">
        <w:rPr>
          <w:rtl w:val="0"/>
        </w:rPr>
        <w:t xml:space="preserve">For either outcome, an assessment paragraph must be completed, providing the reason(s) for closure or escalation, and when escalated to include any key risks identified e.g. money laundering, etc.  The summary for cases closed or escalated must be completed in ACS conclusion section.</w:t>
      </w:r>
    </w:p>
    <w:p w:rsidRPr="00000000" w:rsidR="00000000" w:rsidDel="00000000" w:rsidP="00000000" w:rsidRDefault="00000000" w14:paraId="0000052F">
      <w:pPr>
        <w:pStyle w:val="Heading2"/>
        <w:numPr>
          <w:ilvl w:val="1"/>
          <w:numId w:val="25"/>
        </w:numPr>
        <w:spacing w:after="240" w:lineRule="auto"/>
        <w:ind w:left="720"/>
        <w:jc w:val="both"/>
        <w:rPr/>
      </w:pPr>
      <w:bookmarkStart w:name="_heading=h.a3dcf04zfhmt" w:colFirst="0" w:colLast="0" w:id="330"/>
      <w:bookmarkEnd w:id="330"/>
      <w:r w:rsidRPr="00000000" w:rsidDel="00000000" w:rsidR="00000000">
        <w:rPr>
          <w:rFonts w:ascii="Arial" w:hAnsi="Arial" w:eastAsia="Arial" w:cs="Arial"/>
          <w:smallCaps w:val="0"/>
          <w:sz w:val="24"/>
          <w:szCs w:val="24"/>
          <w:rtl w:val="0"/>
        </w:rPr>
        <w:t xml:space="preserve">Closure of Case    </w:t>
      </w:r>
      <w:r w:rsidRPr="00000000" w:rsidDel="00000000" w:rsidR="00000000">
        <w:rPr>
          <w:rFonts w:ascii="Arial" w:hAnsi="Arial" w:eastAsia="Arial" w:cs="Arial"/>
          <w:sz w:val="24"/>
          <w:szCs w:val="24"/>
          <w:rtl w:val="0"/>
        </w:rPr>
        <w:t xml:space="preserve">     </w:t>
      </w:r>
    </w:p>
    <w:p w:rsidRPr="00000000" w:rsidR="00000000" w:rsidDel="00000000" w:rsidP="00000000" w:rsidRDefault="00000000" w14:paraId="00000530">
      <w:pPr>
        <w:numPr>
          <w:ilvl w:val="2"/>
          <w:numId w:val="25"/>
        </w:numPr>
        <w:spacing w:after="240" w:lineRule="auto"/>
        <w:ind w:left="720" w:hanging="720"/>
        <w:jc w:val="both"/>
        <w:rPr/>
      </w:pPr>
      <w:bookmarkStart w:name="_heading=h.eom4t1xwd10" w:colFirst="0" w:colLast="0" w:id="331"/>
      <w:bookmarkEnd w:id="331"/>
      <w:r w:rsidRPr="00000000" w:rsidDel="00000000" w:rsidR="00000000">
        <w:rPr>
          <w:rtl w:val="0"/>
        </w:rPr>
        <w:t xml:space="preserve">Where the risk has been mitigated by the assessment of evidence, the case can be closed provided that the Analyst:</w:t>
      </w:r>
    </w:p>
    <w:p w:rsidRPr="00000000" w:rsidR="00000000" w:rsidDel="00000000" w:rsidP="00000000" w:rsidRDefault="00000000" w14:paraId="00000531">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Ensures the pertinent facts which explain the alerted behaviour and the risks associated with each of the alerted scenarios are appropriately summarized.  The reasoning provided to support the mitigation of these risks and closure of the case should be clearly summarised.</w:t>
      </w:r>
    </w:p>
    <w:p w:rsidRPr="00000000" w:rsidR="00000000" w:rsidDel="00000000" w:rsidP="00000000" w:rsidRDefault="00000000" w14:paraId="00000532">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Ensures all relevant supporting documentation is appropriately attached to the case.</w:t>
      </w:r>
    </w:p>
    <w:p w:rsidRPr="00000000" w:rsidR="00000000" w:rsidDel="00000000" w:rsidP="00000000" w:rsidRDefault="00000000" w14:paraId="00000533">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If KYC triggers are prevalent, advise no unusual activity identified however escalating to the relevant team due to triggers.</w:t>
      </w:r>
    </w:p>
    <w:p w:rsidRPr="00000000" w:rsidR="00000000" w:rsidDel="00000000" w:rsidP="00000000" w:rsidRDefault="00000000" w14:paraId="00000534">
      <w:pPr>
        <w:pStyle w:val="Heading2"/>
        <w:numPr>
          <w:ilvl w:val="1"/>
          <w:numId w:val="25"/>
        </w:numPr>
        <w:spacing w:after="240" w:lineRule="auto"/>
        <w:ind w:left="720"/>
        <w:jc w:val="both"/>
        <w:rPr/>
      </w:pPr>
      <w:bookmarkStart w:name="_heading=h.9uc41dpd668e" w:colFirst="0" w:colLast="0" w:id="332"/>
      <w:bookmarkEnd w:id="332"/>
      <w:r w:rsidRPr="00000000" w:rsidDel="00000000" w:rsidR="00000000">
        <w:rPr>
          <w:rFonts w:ascii="Arial" w:hAnsi="Arial" w:eastAsia="Arial" w:cs="Arial"/>
          <w:smallCaps w:val="0"/>
          <w:sz w:val="24"/>
          <w:szCs w:val="24"/>
          <w:rtl w:val="0"/>
        </w:rPr>
        <w:t xml:space="preserve">Escalation to Financial Crime Investigations Team (FCI)</w:t>
      </w:r>
      <w:r w:rsidRPr="00000000" w:rsidDel="00000000" w:rsidR="00000000">
        <w:rPr>
          <w:rtl w:val="0"/>
        </w:rPr>
      </w:r>
    </w:p>
    <w:p w:rsidRPr="00000000" w:rsidR="00000000" w:rsidDel="00000000" w:rsidP="00000000" w:rsidRDefault="00000000" w14:paraId="00000535">
      <w:pPr>
        <w:numPr>
          <w:ilvl w:val="2"/>
          <w:numId w:val="25"/>
        </w:numPr>
        <w:spacing w:after="240" w:lineRule="auto"/>
        <w:ind w:left="720" w:hanging="720"/>
        <w:jc w:val="both"/>
        <w:rPr/>
      </w:pPr>
      <w:bookmarkStart w:name="_heading=h.33lcy25c1zob" w:colFirst="0" w:colLast="0" w:id="333"/>
      <w:bookmarkEnd w:id="333"/>
      <w:r w:rsidRPr="00000000" w:rsidDel="00000000" w:rsidR="00000000">
        <w:rPr>
          <w:rtl w:val="0"/>
        </w:rPr>
        <w:t xml:space="preserve">Where risk has not been mitigated by the assessment of evidence, then the case must be escalated to Financial Crime Investigations together with all case research, analysis and a completed ACS.</w:t>
      </w:r>
    </w:p>
    <w:p w:rsidRPr="00000000" w:rsidR="00000000" w:rsidDel="00000000" w:rsidP="00000000" w:rsidRDefault="00000000" w14:paraId="00000536">
      <w:pPr>
        <w:numPr>
          <w:ilvl w:val="2"/>
          <w:numId w:val="25"/>
        </w:numPr>
        <w:spacing w:after="240" w:lineRule="auto"/>
        <w:ind w:left="720" w:hanging="720"/>
        <w:jc w:val="both"/>
        <w:rPr/>
      </w:pPr>
      <w:bookmarkStart w:name="_heading=h.dkeflttqrc7t" w:colFirst="0" w:colLast="0" w:id="334"/>
      <w:bookmarkEnd w:id="334"/>
      <w:r w:rsidRPr="00000000" w:rsidDel="00000000" w:rsidR="00000000">
        <w:rPr>
          <w:rtl w:val="0"/>
        </w:rPr>
        <w:t xml:space="preserve">Information relevant to the case obtained from external sources must be captured, attached to the alert review and outlined.  Information relevant to the case would be any information that is used to make a determination that unusual activity was identified.</w:t>
      </w:r>
    </w:p>
    <w:p w:rsidRPr="00000000" w:rsidR="00000000" w:rsidDel="00000000" w:rsidP="00000000" w:rsidRDefault="00000000" w14:paraId="00000537">
      <w:pPr>
        <w:pStyle w:val="Heading2"/>
        <w:numPr>
          <w:ilvl w:val="1"/>
          <w:numId w:val="25"/>
        </w:numPr>
        <w:rPr/>
      </w:pPr>
      <w:bookmarkStart w:name="_heading=h.thr3iy3gpdc7" w:colFirst="0" w:colLast="0" w:id="335"/>
      <w:bookmarkEnd w:id="335"/>
      <w:r w:rsidRPr="00000000" w:rsidDel="00000000" w:rsidR="00000000">
        <w:rPr>
          <w:rFonts w:ascii="Arial" w:hAnsi="Arial" w:eastAsia="Arial" w:cs="Arial"/>
          <w:sz w:val="24"/>
          <w:szCs w:val="24"/>
          <w:rtl w:val="0"/>
        </w:rPr>
        <w:t xml:space="preserve">Off-Chain Supervisory Review and Quality Check</w:t>
      </w:r>
      <w:r w:rsidRPr="00000000" w:rsidDel="00000000" w:rsidR="00000000">
        <w:rPr>
          <w:rtl w:val="0"/>
        </w:rPr>
      </w:r>
    </w:p>
    <w:p w:rsidRPr="00000000" w:rsidR="00000000" w:rsidDel="00000000" w:rsidP="00000000" w:rsidRDefault="00000000" w14:paraId="00000538">
      <w:pPr>
        <w:numPr>
          <w:ilvl w:val="2"/>
          <w:numId w:val="25"/>
        </w:numPr>
        <w:ind w:left="720"/>
        <w:rPr>
          <w:b w:val="1"/>
          <w:bCs w:val="1"/>
        </w:rPr>
      </w:pPr>
      <w:r w:rsidRPr="00000000" w:rsidDel="00000000" w:rsidR="00000000">
        <w:rPr>
          <w:b w:val="1"/>
          <w:bCs w:val="1"/>
          <w:rtl w:val="0"/>
        </w:rPr>
        <w:t xml:space="preserve">Supervisory Review Methodology</w:t>
      </w:r>
      <w:r w:rsidRPr="00000000" w:rsidDel="00000000" w:rsidR="00000000">
        <w:rPr>
          <w:rtl w:val="0"/>
        </w:rPr>
      </w:r>
    </w:p>
    <w:p w:rsidRPr="00000000" w:rsidR="00000000" w:rsidDel="00000000" w:rsidP="00000000" w:rsidRDefault="00000000" w14:paraId="00000539">
      <w:pPr>
        <w:spacing w:after="240" w:lineRule="auto"/>
        <w:ind w:left="0" w:firstLine="0"/>
        <w:jc w:val="both"/>
        <w:rPr/>
      </w:pPr>
      <w:bookmarkStart w:name="_heading=h.u0qsjppbr0fx" w:colFirst="0" w:colLast="0" w:id="336"/>
      <w:bookmarkEnd w:id="336"/>
      <w:r w:rsidRPr="00000000" w:rsidDel="00000000" w:rsidR="00000000">
        <w:rPr>
          <w:rtl w:val="0"/>
        </w:rPr>
        <w:t xml:space="preserve">The Supervisory Review Criteria sets out the prerequisites for analysts to escalate cases to the Checkers/Team Leads (TLs) for review with the purpose of upskilling and quality control. Sampling is performed centrally for Global Off-chain TM team, that includes following case sources: </w:t>
      </w:r>
    </w:p>
    <w:p w:rsidRPr="00000000" w:rsidR="00000000" w:rsidDel="00000000" w:rsidP="00000000" w:rsidRDefault="00000000" w14:paraId="0000053A">
      <w:pPr>
        <w:numPr>
          <w:ilvl w:val="0"/>
          <w:numId w:val="28"/>
        </w:numPr>
        <w:spacing w:after="0" w:lineRule="auto"/>
        <w:ind w:left="1080" w:hanging="360"/>
        <w:jc w:val="both"/>
        <w:rPr>
          <w:rFonts w:ascii="Arial" w:hAnsi="Arial" w:eastAsia="Arial" w:cs="Arial"/>
        </w:rPr>
      </w:pPr>
      <w:r w:rsidRPr="00000000" w:rsidDel="00000000" w:rsidR="00000000">
        <w:rPr>
          <w:rtl w:val="0"/>
        </w:rPr>
        <w:t xml:space="preserve">Binance.com</w:t>
      </w:r>
    </w:p>
    <w:p w:rsidRPr="00000000" w:rsidR="00000000" w:rsidDel="00000000" w:rsidP="00000000" w:rsidRDefault="00000000" w14:paraId="0000053B">
      <w:pPr>
        <w:numPr>
          <w:ilvl w:val="0"/>
          <w:numId w:val="28"/>
        </w:numPr>
        <w:spacing w:after="0" w:lineRule="auto"/>
        <w:ind w:left="1080" w:hanging="360"/>
        <w:jc w:val="both"/>
        <w:rPr>
          <w:rFonts w:ascii="Arial" w:hAnsi="Arial" w:eastAsia="Arial" w:cs="Arial"/>
        </w:rPr>
      </w:pPr>
      <w:r w:rsidRPr="00000000" w:rsidDel="00000000" w:rsidR="00000000">
        <w:rPr>
          <w:rtl w:val="0"/>
        </w:rPr>
        <w:t xml:space="preserve">Binance Pay</w:t>
      </w:r>
    </w:p>
    <w:p w:rsidRPr="00000000" w:rsidR="00000000" w:rsidDel="00000000" w:rsidP="00000000" w:rsidRDefault="00000000" w14:paraId="0000053C">
      <w:pPr>
        <w:numPr>
          <w:ilvl w:val="0"/>
          <w:numId w:val="28"/>
        </w:numPr>
        <w:spacing w:after="240" w:lineRule="auto"/>
        <w:ind w:left="1080" w:hanging="360"/>
        <w:jc w:val="both"/>
        <w:rPr>
          <w:rFonts w:ascii="Arial" w:hAnsi="Arial" w:eastAsia="Arial" w:cs="Arial"/>
        </w:rPr>
      </w:pPr>
      <w:r w:rsidRPr="00000000" w:rsidDel="00000000" w:rsidR="00000000">
        <w:rPr>
          <w:rtl w:val="0"/>
        </w:rPr>
        <w:t xml:space="preserve">Binance UAB Fiat (Bifinity)</w:t>
      </w:r>
    </w:p>
    <w:p w:rsidRPr="00000000" w:rsidR="00000000" w:rsidDel="00000000" w:rsidP="00000000" w:rsidRDefault="00000000" w14:paraId="0000053D">
      <w:pPr>
        <w:spacing w:after="240" w:lineRule="auto"/>
        <w:ind w:left="0" w:firstLine="0"/>
        <w:jc w:val="both"/>
        <w:rPr/>
      </w:pPr>
      <w:bookmarkStart w:name="_heading=h.o6ku3zvt70c" w:colFirst="0" w:colLast="0" w:id="337"/>
      <w:bookmarkEnd w:id="337"/>
      <w:r w:rsidRPr="00000000" w:rsidDel="00000000" w:rsidR="00000000">
        <w:rPr>
          <w:rtl w:val="0"/>
        </w:rPr>
        <w:t xml:space="preserve">The following cases are excluded from default sampling process: </w:t>
      </w:r>
    </w:p>
    <w:p w:rsidRPr="00000000" w:rsidR="00000000" w:rsidDel="00000000" w:rsidP="00000000" w:rsidRDefault="00000000" w14:paraId="0000053E">
      <w:pPr>
        <w:numPr>
          <w:ilvl w:val="0"/>
          <w:numId w:val="28"/>
        </w:numPr>
        <w:spacing w:after="0" w:lineRule="auto"/>
        <w:ind w:left="1080" w:hanging="360"/>
        <w:jc w:val="both"/>
        <w:rPr>
          <w:rFonts w:ascii="Arial" w:hAnsi="Arial" w:eastAsia="Arial" w:cs="Arial"/>
        </w:rPr>
      </w:pPr>
      <w:r w:rsidRPr="00000000" w:rsidDel="00000000" w:rsidR="00000000">
        <w:rPr>
          <w:rtl w:val="0"/>
        </w:rPr>
        <w:t xml:space="preserve">Cases belonging to accounts with French residency/ French territories (covered independently by French Team) </w:t>
      </w:r>
    </w:p>
    <w:p w:rsidRPr="00000000" w:rsidR="00000000" w:rsidDel="00000000" w:rsidP="00000000" w:rsidRDefault="00000000" w14:paraId="0000053F">
      <w:pPr>
        <w:numPr>
          <w:ilvl w:val="0"/>
          <w:numId w:val="28"/>
        </w:numPr>
        <w:spacing w:after="0" w:lineRule="auto"/>
        <w:ind w:left="1080" w:hanging="360"/>
        <w:jc w:val="both"/>
        <w:rPr>
          <w:rFonts w:ascii="Arial" w:hAnsi="Arial" w:eastAsia="Arial" w:cs="Arial"/>
        </w:rPr>
      </w:pPr>
      <w:r w:rsidRPr="00000000" w:rsidDel="00000000" w:rsidR="00000000">
        <w:rPr>
          <w:rtl w:val="0"/>
        </w:rPr>
        <w:t xml:space="preserve">Cases completed by BPOs (sampling is done separately)</w:t>
      </w:r>
    </w:p>
    <w:p w:rsidRPr="00000000" w:rsidR="00000000" w:rsidDel="00000000" w:rsidP="00000000" w:rsidRDefault="00000000" w14:paraId="00000540">
      <w:pPr>
        <w:numPr>
          <w:ilvl w:val="0"/>
          <w:numId w:val="28"/>
        </w:numPr>
        <w:spacing w:after="240" w:lineRule="auto"/>
        <w:ind w:left="1080" w:hanging="360"/>
        <w:jc w:val="both"/>
        <w:rPr>
          <w:rFonts w:ascii="Arial" w:hAnsi="Arial" w:eastAsia="Arial" w:cs="Arial"/>
        </w:rPr>
      </w:pPr>
      <w:r w:rsidRPr="00000000" w:rsidDel="00000000" w:rsidR="00000000">
        <w:rPr>
          <w:rtl w:val="0"/>
        </w:rPr>
        <w:t xml:space="preserve">Any other occurrences where global sampling standard cannot be applied. </w:t>
      </w:r>
    </w:p>
    <w:p w:rsidRPr="00000000" w:rsidR="00000000" w:rsidDel="00000000" w:rsidP="00000000" w:rsidRDefault="00000000" w14:paraId="00000541">
      <w:pPr>
        <w:spacing w:after="240" w:lineRule="auto"/>
        <w:ind w:left="0" w:firstLine="0"/>
        <w:jc w:val="both"/>
        <w:rPr/>
      </w:pPr>
      <w:bookmarkStart w:name="_heading=h.w6ztetzeryk5" w:colFirst="0" w:colLast="0" w:id="338"/>
      <w:bookmarkEnd w:id="338"/>
      <w:r w:rsidRPr="00000000" w:rsidDel="00000000" w:rsidR="00000000">
        <w:rPr>
          <w:rtl w:val="0"/>
        </w:rPr>
        <w:t xml:space="preserve">A 10%</w:t>
      </w:r>
      <w:r w:rsidRPr="00000000" w:rsidDel="00000000" w:rsidR="00000000">
        <w:rPr>
          <w:vertAlign w:val="superscript"/>
        </w:rPr>
        <w:footnoteReference w:customMarkFollows="0" w:id="8"/>
      </w:r>
      <w:r w:rsidRPr="00000000" w:rsidDel="00000000" w:rsidR="00000000">
        <w:rPr>
          <w:vertAlign w:val="superscript"/>
          <w:rtl w:val="0"/>
        </w:rPr>
        <w:t xml:space="preserve"> </w:t>
      </w:r>
      <w:r w:rsidRPr="00000000" w:rsidDel="00000000" w:rsidR="00000000">
        <w:rPr>
          <w:rtl w:val="0"/>
        </w:rPr>
        <w:t xml:space="preserve">sample of cases done by each analyst who does not fall under the “mandatory check” category, marked as "recommended to close" and "recommended to escalate" are reviewed as per Supervisory Review sampling.</w:t>
      </w:r>
    </w:p>
    <w:p w:rsidRPr="00000000" w:rsidR="00000000" w:rsidDel="00000000" w:rsidP="00000000" w:rsidRDefault="00000000" w14:paraId="00000542">
      <w:pPr>
        <w:spacing w:after="0" w:lineRule="auto"/>
        <w:ind w:left="0" w:firstLine="0"/>
        <w:jc w:val="both"/>
        <w:rPr/>
      </w:pPr>
      <w:bookmarkStart w:name="_heading=h.5ga7fztv91ar" w:colFirst="0" w:colLast="0" w:id="339"/>
      <w:bookmarkEnd w:id="339"/>
      <w:r w:rsidRPr="00000000" w:rsidDel="00000000" w:rsidR="00000000">
        <w:rPr>
          <w:rtl w:val="0"/>
        </w:rPr>
        <w:t xml:space="preserve">Further details regarding the Centralised Supervisory Review Sampling method and process can be found in Off-chain Transaction Monitoring Step-by-step Guide. The below flowchart illustrates the supervisory review workflow for Regular FTM Analysts:</w:t>
      </w:r>
    </w:p>
    <w:p w:rsidRPr="00000000" w:rsidR="00000000" w:rsidDel="00000000" w:rsidP="00000000" w:rsidRDefault="00000000" w14:paraId="00000543">
      <w:pPr>
        <w:spacing w:after="0" w:lineRule="auto"/>
        <w:jc w:val="both"/>
        <w:rPr>
          <w:sz w:val="14"/>
          <w:szCs w:val="14"/>
        </w:rPr>
      </w:pPr>
      <w:r w:rsidRPr="00000000" w:rsidDel="00000000" w:rsidR="00000000">
        <w:rPr>
          <w:rtl w:val="0"/>
        </w:rPr>
      </w:r>
    </w:p>
    <w:p w:rsidRPr="00000000" w:rsidR="00000000" w:rsidDel="00000000" w:rsidP="00000000" w:rsidRDefault="00000000" w14:paraId="00000544">
      <w:pPr>
        <w:spacing w:after="0" w:lineRule="auto"/>
        <w:jc w:val="center"/>
        <w:rPr>
          <w:sz w:val="20"/>
          <w:szCs w:val="20"/>
        </w:rPr>
      </w:pPr>
      <w:r w:rsidRPr="00000000" w:rsidDel="00000000" w:rsidR="00000000">
        <w:rPr>
          <w:sz w:val="20"/>
          <w:szCs w:val="20"/>
        </w:rPr>
        <w:drawing>
          <wp:inline distT="114300" distB="114300" distL="114300" distR="114300">
            <wp:extent cx="5731200" cy="2006600"/>
            <wp:effectExtent l="12700" t="12700" r="12700" b="12700"/>
            <wp:docPr id="18" name="image2.png"/>
            <a:graphic>
              <a:graphicData uri="http://schemas.openxmlformats.org/drawingml/2006/picture">
                <pic:pic>
                  <pic:nvPicPr>
                    <pic:cNvPr id="0" name="image2.png"/>
                    <pic:cNvPicPr preferRelativeResize="0"/>
                  </pic:nvPicPr>
                  <pic:blipFill>
                    <a:blip r:embed="rId55"/>
                    <a:srcRect l="0" t="0" r="0" b="0"/>
                    <a:stretch>
                      <a:fillRect/>
                    </a:stretch>
                  </pic:blipFill>
                  <pic:spPr>
                    <a:xfrm>
                      <a:off x="0" y="0"/>
                      <a:ext cx="5731200" cy="2006600"/>
                    </a:xfrm>
                    <a:prstGeom prst="rect"/>
                    <a:ln w="12700">
                      <a:solidFill>
                        <a:srgbClr val="999999"/>
                      </a:solidFill>
                      <a:prstDash val="solid"/>
                    </a:ln>
                  </pic:spPr>
                </pic:pic>
              </a:graphicData>
            </a:graphic>
          </wp:inline>
        </w:drawing>
      </w:r>
      <w:r w:rsidRPr="00000000" w:rsidDel="00000000" w:rsidR="00000000">
        <w:rPr>
          <w:rtl w:val="0"/>
        </w:rPr>
      </w:r>
    </w:p>
    <w:p w:rsidRPr="00000000" w:rsidR="00000000" w:rsidDel="00000000" w:rsidP="00000000" w:rsidRDefault="00000000" w14:paraId="00000545">
      <w:pPr>
        <w:spacing w:after="0" w:lineRule="auto"/>
        <w:rPr>
          <w:sz w:val="20"/>
          <w:szCs w:val="20"/>
        </w:rPr>
      </w:pPr>
      <w:r w:rsidRPr="00000000" w:rsidDel="00000000" w:rsidR="00000000">
        <w:rPr>
          <w:rtl w:val="0"/>
        </w:rPr>
      </w:r>
    </w:p>
    <w:p w:rsidRPr="00000000" w:rsidR="00000000" w:rsidDel="00000000" w:rsidP="00000000" w:rsidRDefault="00000000" w14:paraId="00000546">
      <w:pPr>
        <w:numPr>
          <w:ilvl w:val="2"/>
          <w:numId w:val="25"/>
        </w:numPr>
        <w:ind w:left="720"/>
        <w:rPr>
          <w:b w:val="1"/>
          <w:bCs w:val="1"/>
        </w:rPr>
      </w:pPr>
      <w:r w:rsidRPr="00000000" w:rsidDel="00000000" w:rsidR="00000000">
        <w:rPr>
          <w:b w:val="1"/>
          <w:bCs w:val="1"/>
          <w:rtl w:val="0"/>
        </w:rPr>
        <w:t xml:space="preserve">Supervis</w:t>
      </w:r>
      <w:r w:rsidRPr="00000000" w:rsidDel="00000000" w:rsidR="00000000">
        <w:rPr>
          <w:b w:val="1"/>
          <w:bCs w:val="1"/>
          <w:rtl w:val="0"/>
        </w:rPr>
        <w:t xml:space="preserve">ory Review Quality Checks</w:t>
      </w:r>
      <w:r w:rsidRPr="00000000" w:rsidDel="00000000" w:rsidR="00000000">
        <w:rPr>
          <w:rtl w:val="0"/>
        </w:rPr>
      </w:r>
    </w:p>
    <w:p w:rsidRPr="00000000" w:rsidR="00000000" w:rsidDel="00000000" w:rsidP="00000000" w:rsidRDefault="00000000" w14:paraId="00000547">
      <w:pPr>
        <w:spacing w:after="240" w:lineRule="auto"/>
        <w:ind w:left="0" w:firstLine="0"/>
        <w:jc w:val="both"/>
        <w:rPr/>
      </w:pPr>
      <w:bookmarkStart w:name="_heading=h.x7ketehkc1o6" w:colFirst="0" w:colLast="0" w:id="340"/>
      <w:bookmarkEnd w:id="340"/>
      <w:r w:rsidRPr="00000000" w:rsidDel="00000000" w:rsidR="00000000">
        <w:rPr>
          <w:rtl w:val="0"/>
        </w:rPr>
        <w:t xml:space="preserve">The new Standardized Quality Check Process for the Offchain Transaction Monitoring Team aims to provide clear quality metrics for the TM Analysts and Team Leads (TLs) to ensure that review quality meets the required standards. This process applies to all analysts working within the Offchain TM Team, as well as external staff handling Fiat TM Cases (if appropriate).</w:t>
      </w:r>
    </w:p>
    <w:p w:rsidRPr="00000000" w:rsidR="00000000" w:rsidDel="00000000" w:rsidP="00000000" w:rsidRDefault="00000000" w14:paraId="00000548">
      <w:pPr>
        <w:spacing w:after="240" w:lineRule="auto"/>
        <w:ind w:left="0" w:firstLine="0"/>
        <w:jc w:val="both"/>
        <w:rPr/>
      </w:pPr>
      <w:bookmarkStart w:name="_heading=h.r14bmpjg20vl" w:colFirst="0" w:colLast="0" w:id="341"/>
      <w:bookmarkEnd w:id="341"/>
      <w:r w:rsidRPr="00000000" w:rsidDel="00000000" w:rsidR="00000000">
        <w:rPr>
          <w:rtl w:val="0"/>
        </w:rPr>
        <w:t xml:space="preserve">Sampled cases are gathered in the </w:t>
      </w:r>
      <w:hyperlink r:id="rId56">
        <w:r w:rsidRPr="00000000" w:rsidDel="00000000" w:rsidR="00000000">
          <w:rPr>
            <w:color w:val="0000ee"/>
            <w:u w:val="single"/>
            <w:rtl w:val="0"/>
          </w:rPr>
          <w:t xml:space="preserve">Global SR/QC tracker</w:t>
        </w:r>
      </w:hyperlink>
      <w:r w:rsidRPr="00000000" w:rsidDel="00000000" w:rsidR="00000000">
        <w:rPr>
          <w:rtl w:val="0"/>
        </w:rPr>
        <w:t xml:space="preserve"> , where they are distributed by Regional POCs (TLs) to respective L2 analysts and where Quality Check assessment of the cases will be done. </w:t>
      </w:r>
    </w:p>
    <w:p w:rsidRPr="00000000" w:rsidR="00000000" w:rsidDel="00000000" w:rsidP="00000000" w:rsidRDefault="00000000" w14:paraId="00000549">
      <w:pPr>
        <w:spacing w:after="240" w:lineRule="auto"/>
        <w:ind w:left="0" w:firstLine="0"/>
        <w:jc w:val="both"/>
        <w:rPr/>
      </w:pPr>
      <w:bookmarkStart w:name="_heading=h.t0alrxuuubzw" w:colFirst="0" w:colLast="0" w:id="342"/>
      <w:bookmarkEnd w:id="342"/>
      <w:r w:rsidRPr="00000000" w:rsidDel="00000000" w:rsidR="00000000">
        <w:rPr>
          <w:rtl w:val="0"/>
        </w:rPr>
        <w:t xml:space="preserve">QC process is integrated into regular Supervisory Review Sampling within a rolling basis tracker </w:t>
      </w:r>
      <w:hyperlink r:id="rId57">
        <w:r w:rsidRPr="00000000" w:rsidDel="00000000" w:rsidR="00000000">
          <w:rPr>
            <w:color w:val="0000ee"/>
            <w:u w:val="single"/>
            <w:rtl w:val="0"/>
          </w:rPr>
          <w:t xml:space="preserve">Global SR/QC tracker</w:t>
        </w:r>
      </w:hyperlink>
      <w:r w:rsidRPr="00000000" w:rsidDel="00000000" w:rsidR="00000000">
        <w:rPr>
          <w:rtl w:val="0"/>
        </w:rPr>
        <w:t xml:space="preserve"> and uploading into Datawind QC Tracker for analysis and quality tracking purposes on a regular basis. </w:t>
      </w:r>
    </w:p>
    <w:p w:rsidRPr="00000000" w:rsidR="00000000" w:rsidDel="00000000" w:rsidP="00000000" w:rsidRDefault="00000000" w14:paraId="0000054A">
      <w:pPr>
        <w:spacing w:after="240" w:lineRule="auto"/>
        <w:ind w:left="0" w:firstLine="0"/>
        <w:jc w:val="both"/>
        <w:rPr/>
      </w:pPr>
      <w:bookmarkStart w:name="_heading=h.ccq2cyve2d03" w:colFirst="0" w:colLast="0" w:id="343"/>
      <w:bookmarkEnd w:id="343"/>
      <w:r w:rsidRPr="00000000" w:rsidDel="00000000" w:rsidR="00000000">
        <w:rPr>
          <w:rtl w:val="0"/>
        </w:rPr>
        <w:t xml:space="preserve">Different scores that analyst can achieve based on the case quality include</w:t>
      </w:r>
    </w:p>
    <w:p w:rsidRPr="00000000" w:rsidR="00000000" w:rsidDel="00000000" w:rsidP="00000000" w:rsidRDefault="00000000" w14:paraId="0000054B">
      <w:pPr>
        <w:numPr>
          <w:ilvl w:val="0"/>
          <w:numId w:val="28"/>
        </w:numPr>
        <w:spacing w:after="0" w:lineRule="auto"/>
        <w:ind w:left="1080" w:hanging="360"/>
        <w:jc w:val="both"/>
        <w:rPr>
          <w:rFonts w:ascii="Arial" w:hAnsi="Arial" w:eastAsia="Arial" w:cs="Arial"/>
        </w:rPr>
      </w:pPr>
      <w:r w:rsidRPr="00000000" w:rsidDel="00000000" w:rsidR="00000000">
        <w:rPr>
          <w:rtl w:val="0"/>
        </w:rPr>
        <w:t xml:space="preserve">Great - 95-100% </w:t>
      </w:r>
    </w:p>
    <w:p w:rsidRPr="00000000" w:rsidR="00000000" w:rsidDel="00000000" w:rsidP="00000000" w:rsidRDefault="00000000" w14:paraId="0000054C">
      <w:pPr>
        <w:numPr>
          <w:ilvl w:val="0"/>
          <w:numId w:val="28"/>
        </w:numPr>
        <w:spacing w:after="0" w:lineRule="auto"/>
        <w:ind w:left="1080" w:hanging="360"/>
        <w:jc w:val="both"/>
        <w:rPr>
          <w:rFonts w:ascii="Arial" w:hAnsi="Arial" w:eastAsia="Arial" w:cs="Arial"/>
        </w:rPr>
      </w:pPr>
      <w:r w:rsidRPr="00000000" w:rsidDel="00000000" w:rsidR="00000000">
        <w:rPr>
          <w:rtl w:val="0"/>
        </w:rPr>
        <w:t xml:space="preserve">Good - 70-95% </w:t>
      </w:r>
    </w:p>
    <w:p w:rsidRPr="00000000" w:rsidR="00000000" w:rsidDel="00000000" w:rsidP="00000000" w:rsidRDefault="00000000" w14:paraId="0000054D">
      <w:pPr>
        <w:numPr>
          <w:ilvl w:val="0"/>
          <w:numId w:val="28"/>
        </w:numPr>
        <w:spacing w:after="240" w:lineRule="auto"/>
        <w:ind w:left="1080" w:hanging="360"/>
        <w:jc w:val="both"/>
        <w:rPr>
          <w:rFonts w:ascii="Arial" w:hAnsi="Arial" w:eastAsia="Arial" w:cs="Arial"/>
        </w:rPr>
      </w:pPr>
      <w:r w:rsidRPr="00000000" w:rsidDel="00000000" w:rsidR="00000000">
        <w:rPr>
          <w:rtl w:val="0"/>
        </w:rPr>
        <w:t xml:space="preserve">Need Improvement - 0-70%</w:t>
      </w:r>
    </w:p>
    <w:p w:rsidRPr="00000000" w:rsidR="00000000" w:rsidDel="00000000" w:rsidP="00000000" w:rsidRDefault="00000000" w14:paraId="0000054E">
      <w:pPr>
        <w:spacing w:after="240" w:lineRule="auto"/>
        <w:ind w:left="0" w:firstLine="0"/>
        <w:jc w:val="both"/>
        <w:rPr/>
      </w:pPr>
      <w:bookmarkStart w:name="_heading=h.4i52aaoo21hi" w:colFirst="0" w:colLast="0" w:id="344"/>
      <w:bookmarkEnd w:id="344"/>
      <w:r w:rsidRPr="00000000" w:rsidDel="00000000" w:rsidR="00000000">
        <w:rPr>
          <w:rtl w:val="0"/>
        </w:rPr>
        <w:t xml:space="preserve">Detailed Supervisory Review Quality Check process is described in the Off-chain Transaction Monitoring Step-by-step Guide, which covers Quality Check Score Matrix details and description of each category.</w:t>
      </w:r>
    </w:p>
    <w:p w:rsidRPr="00000000" w:rsidR="00000000" w:rsidDel="00000000" w:rsidP="00000000" w:rsidRDefault="00000000" w14:paraId="0000054F">
      <w:pPr>
        <w:numPr>
          <w:ilvl w:val="2"/>
          <w:numId w:val="25"/>
        </w:numPr>
        <w:ind w:left="720"/>
        <w:rPr>
          <w:b w:val="1"/>
          <w:bCs w:val="1"/>
        </w:rPr>
      </w:pPr>
      <w:r w:rsidRPr="00000000" w:rsidDel="00000000" w:rsidR="00000000">
        <w:rPr>
          <w:b w:val="1"/>
          <w:bCs w:val="1"/>
          <w:rtl w:val="0"/>
        </w:rPr>
        <w:t xml:space="preserve">D</w:t>
      </w:r>
      <w:r w:rsidRPr="00000000" w:rsidDel="00000000" w:rsidR="00000000">
        <w:rPr>
          <w:b w:val="1"/>
          <w:bCs w:val="1"/>
          <w:rtl w:val="0"/>
        </w:rPr>
        <w:t xml:space="preserve">ynamic QC checks</w:t>
      </w:r>
      <w:r w:rsidRPr="00000000" w:rsidDel="00000000" w:rsidR="00000000">
        <w:rPr>
          <w:rtl w:val="0"/>
        </w:rPr>
      </w:r>
    </w:p>
    <w:p w:rsidRPr="00000000" w:rsidR="00000000" w:rsidDel="00000000" w:rsidP="00000000" w:rsidRDefault="00000000" w14:paraId="00000550">
      <w:pPr>
        <w:spacing w:after="240" w:lineRule="auto"/>
        <w:ind w:left="0" w:firstLine="0"/>
        <w:jc w:val="both"/>
        <w:rPr/>
      </w:pPr>
      <w:bookmarkStart w:name="_heading=h.be9q0gplhseg" w:colFirst="0" w:colLast="0" w:id="345"/>
      <w:bookmarkEnd w:id="345"/>
      <w:r w:rsidRPr="00000000" w:rsidDel="00000000" w:rsidR="00000000">
        <w:rPr>
          <w:rtl w:val="0"/>
        </w:rPr>
        <w:t xml:space="preserve">Dynamic QC is implemented in addition to the current QC process, representing a unique sample of cases based upon Analyst performance to ensure impartiality. From July 2024 onwards, 1% of each L1&amp;L2 Analyst's closed cases are subject to QC by Team Leads, and the 5 lowest scored Analysts will have their case sampling increased by 5% for the subsequent month. The process overview is described in the Off-chain Transaction Monitoring Step-by-step Guide in detail.</w:t>
      </w:r>
      <w:r w:rsidRPr="00000000" w:rsidDel="00000000" w:rsidR="00000000">
        <w:rPr>
          <w:rtl w:val="0"/>
        </w:rPr>
      </w:r>
    </w:p>
    <w:p w:rsidRPr="00000000" w:rsidR="00000000" w:rsidDel="00000000" w:rsidP="00000000" w:rsidRDefault="00000000" w14:paraId="00000551">
      <w:pPr>
        <w:pStyle w:val="Heading2"/>
        <w:numPr>
          <w:ilvl w:val="1"/>
          <w:numId w:val="25"/>
        </w:numPr>
        <w:spacing w:after="240" w:lineRule="auto"/>
        <w:ind w:left="720"/>
        <w:jc w:val="both"/>
        <w:rPr/>
      </w:pPr>
      <w:bookmarkStart w:name="_heading=h.wk4z7ujypnjh" w:colFirst="0" w:colLast="0" w:id="346"/>
      <w:bookmarkEnd w:id="346"/>
      <w:r w:rsidRPr="00000000" w:rsidDel="00000000" w:rsidR="00000000">
        <w:rPr>
          <w:rFonts w:ascii="Arial" w:hAnsi="Arial" w:eastAsia="Arial" w:cs="Arial"/>
          <w:smallCaps w:val="0"/>
          <w:sz w:val="24"/>
          <w:szCs w:val="24"/>
          <w:rtl w:val="0"/>
        </w:rPr>
        <w:t xml:space="preserve">Offboarding Appeals Governance</w:t>
      </w:r>
      <w:r w:rsidRPr="00000000" w:rsidDel="00000000" w:rsidR="00000000">
        <w:rPr>
          <w:rtl w:val="0"/>
        </w:rPr>
      </w:r>
    </w:p>
    <w:p w:rsidRPr="00000000" w:rsidR="00000000" w:rsidDel="00000000" w:rsidP="00000000" w:rsidRDefault="00000000" w14:paraId="00000552">
      <w:pPr>
        <w:numPr>
          <w:ilvl w:val="2"/>
          <w:numId w:val="25"/>
        </w:numPr>
        <w:spacing w:after="240" w:lineRule="auto"/>
        <w:ind w:left="720" w:hanging="720"/>
        <w:jc w:val="both"/>
        <w:rPr/>
      </w:pPr>
      <w:bookmarkStart w:name="_heading=h.h8nk6pxdr46t" w:colFirst="0" w:colLast="0" w:id="347"/>
      <w:bookmarkEnd w:id="347"/>
      <w:r w:rsidRPr="00000000" w:rsidDel="00000000" w:rsidR="00000000">
        <w:rPr>
          <w:rtl w:val="0"/>
        </w:rPr>
        <w:t xml:space="preserve">As part of the Transaction Monitoring Process, an offboarding appeal mechanism is available, allowing users to initiate the appeal process after their account has been restricted. </w:t>
      </w:r>
    </w:p>
    <w:p w:rsidRPr="00000000" w:rsidR="00000000" w:rsidDel="00000000" w:rsidP="00000000" w:rsidRDefault="00000000" w14:paraId="00000553">
      <w:pPr>
        <w:numPr>
          <w:ilvl w:val="2"/>
          <w:numId w:val="25"/>
        </w:numPr>
        <w:spacing w:after="240" w:lineRule="auto"/>
        <w:ind w:left="720" w:hanging="720"/>
        <w:jc w:val="both"/>
        <w:rPr/>
      </w:pPr>
      <w:bookmarkStart w:name="_heading=h.a7vnevfva29s" w:colFirst="0" w:colLast="0" w:id="348"/>
      <w:bookmarkEnd w:id="348"/>
      <w:r w:rsidRPr="00000000" w:rsidDel="00000000" w:rsidR="00000000">
        <w:rPr>
          <w:rtl w:val="0"/>
        </w:rPr>
        <w:t xml:space="preserve">The process begins with the user filing an appeal, which is then forwarded to the CS Team and subsequently distributed to the relevant team responsible for initiating the user's offboarding.</w:t>
      </w:r>
    </w:p>
    <w:p w:rsidRPr="00000000" w:rsidR="00000000" w:rsidDel="00000000" w:rsidP="00000000" w:rsidRDefault="00000000" w14:paraId="00000554">
      <w:pPr>
        <w:numPr>
          <w:ilvl w:val="2"/>
          <w:numId w:val="25"/>
        </w:numPr>
        <w:spacing w:after="240" w:lineRule="auto"/>
        <w:ind w:left="720" w:hanging="720"/>
        <w:jc w:val="both"/>
        <w:rPr/>
      </w:pPr>
      <w:bookmarkStart w:name="_heading=h.7aq2cvs60pph" w:colFirst="0" w:colLast="0" w:id="349"/>
      <w:bookmarkEnd w:id="349"/>
      <w:r w:rsidRPr="00000000" w:rsidDel="00000000" w:rsidR="00000000">
        <w:rPr>
          <w:rtl w:val="0"/>
        </w:rPr>
        <w:t xml:space="preserve">After re-reviewing the case, a decision will be made regarding whether the user is permitted to use the platform or if additional documents are required. </w:t>
      </w:r>
    </w:p>
    <w:p w:rsidRPr="00000000" w:rsidR="00000000" w:rsidDel="00000000" w:rsidP="00000000" w:rsidRDefault="00000000" w14:paraId="00000555">
      <w:pPr>
        <w:pStyle w:val="Heading1"/>
        <w:keepNext w:val="1"/>
        <w:keepLines w:val="1"/>
        <w:pageBreakBefore w:val="0"/>
        <w:widowControl w:val="1"/>
        <w:numPr>
          <w:ilvl w:val="0"/>
          <w:numId w:val="25"/>
        </w:numPr>
        <w:pBdr>
          <w:top w:val="nil" w:sz="0" w:space="0"/>
          <w:left w:val="nil" w:sz="0" w:space="0"/>
          <w:bottom w:val="nil" w:sz="0" w:space="0"/>
          <w:right w:val="nil" w:sz="0" w:space="0"/>
          <w:between w:val="nil" w:sz="0" w:space="0"/>
        </w:pBdr>
        <w:shd w:val="clear" w:fill="auto"/>
        <w:spacing w:before="480" w:after="240" w:line="276" w:lineRule="auto"/>
        <w:ind w:left="720" w:right="0" w:hanging="720"/>
        <w:jc w:val="both"/>
        <w:rPr/>
      </w:pPr>
      <w:bookmarkStart w:name="_heading=h.q1hktc2bt74w" w:colFirst="0" w:colLast="0" w:id="350"/>
      <w:bookmarkEnd w:id="350"/>
      <w:r w:rsidRPr="00000000" w:rsidDel="00000000" w:rsidR="00000000">
        <w:rPr>
          <w:rFonts w:ascii="Arial" w:hAnsi="Arial" w:eastAsia="Arial" w:cs="Arial"/>
          <w:smallCaps w:val="1"/>
          <w:sz w:val="28"/>
          <w:szCs w:val="28"/>
          <w:rtl w:val="0"/>
        </w:rPr>
        <w:t xml:space="preserve">360 MACHINE LEARNING MODEL</w:t>
      </w:r>
    </w:p>
    <w:p w:rsidRPr="00000000" w:rsidR="00000000" w:rsidDel="00000000" w:rsidP="00000000" w:rsidRDefault="00000000" w14:paraId="00000556">
      <w:pPr>
        <w:spacing w:after="240" w:lineRule="auto"/>
        <w:ind w:left="720" w:firstLine="0"/>
        <w:jc w:val="both"/>
        <w:rPr/>
      </w:pPr>
      <w:bookmarkStart w:name="_heading=h.rvrj0pxfg2m7" w:colFirst="0" w:colLast="0" w:id="351"/>
      <w:bookmarkEnd w:id="351"/>
      <w:r w:rsidRPr="00000000" w:rsidDel="00000000" w:rsidR="00000000">
        <w:rPr>
          <w:rtl w:val="0"/>
        </w:rPr>
        <w:t xml:space="preserve">The 360 Machine Learning Model was built to decrease false positive rate by considering historical alerts resolution as a probability of alert being positive or negative.</w:t>
      </w:r>
    </w:p>
    <w:p w:rsidRPr="00000000" w:rsidR="00000000" w:rsidDel="00000000" w:rsidP="00000000" w:rsidRDefault="00000000" w14:paraId="00000557">
      <w:pPr>
        <w:spacing w:after="240" w:lineRule="auto"/>
        <w:ind w:left="720" w:firstLine="0"/>
        <w:jc w:val="both"/>
        <w:rPr/>
      </w:pPr>
      <w:bookmarkStart w:name="_heading=h.18b1uqbzjv5y" w:colFirst="0" w:colLast="0" w:id="352"/>
      <w:bookmarkEnd w:id="352"/>
      <w:r w:rsidRPr="00000000" w:rsidDel="00000000" w:rsidR="00000000">
        <w:rPr>
          <w:rtl w:val="0"/>
        </w:rPr>
        <w:t xml:space="preserve">The TM process integrates Machine Learning Model into TM Alerts handling process to detect and prioritize alerts which have higher risk of potential suspicious activities and increase efficiency. To identify the risk, the model analyses different parameters related to the user's profile and transactions, most of them are common for both On-Chain and Off-Chain TM:</w:t>
      </w:r>
    </w:p>
    <w:p w:rsidRPr="00000000" w:rsidR="00000000" w:rsidDel="00000000" w:rsidP="00000000" w:rsidRDefault="00000000" w14:paraId="00000558">
      <w:pPr>
        <w:numPr>
          <w:ilvl w:val="0"/>
          <w:numId w:val="33"/>
        </w:numPr>
        <w:spacing w:after="0" w:afterAutospacing="0" w:lineRule="auto"/>
        <w:ind w:left="1440" w:hanging="360"/>
        <w:jc w:val="both"/>
        <w:rPr>
          <w:u w:val="none"/>
        </w:rPr>
      </w:pPr>
      <w:bookmarkStart w:name="_heading=h.c2577aj3si9y" w:colFirst="0" w:colLast="0" w:id="353"/>
      <w:bookmarkEnd w:id="353"/>
      <w:r w:rsidRPr="00000000" w:rsidDel="00000000" w:rsidR="00000000">
        <w:rPr>
          <w:rtl w:val="0"/>
        </w:rPr>
        <w:t xml:space="preserve">Account Profiling [Multiple risk indicators are used to detect unusual behavior, such as law enforcement requests, different device recorded time zones used by the account, transaction ratios (transaction inbound to outbound or outbound to inbound ratio), ratio of fund movement frequency to all trading activity, on-chain escalated case count, and tron network usage. Higher values in these metrics indicate increased risk.]</w:t>
      </w:r>
    </w:p>
    <w:p w:rsidRPr="00000000" w:rsidR="00000000" w:rsidDel="00000000" w:rsidP="00000000" w:rsidRDefault="00000000" w14:paraId="00000559">
      <w:pPr>
        <w:numPr>
          <w:ilvl w:val="0"/>
          <w:numId w:val="33"/>
        </w:numPr>
        <w:spacing w:after="0" w:afterAutospacing="0" w:lineRule="auto"/>
        <w:ind w:left="1440" w:hanging="360"/>
        <w:jc w:val="both"/>
        <w:rPr>
          <w:u w:val="none"/>
        </w:rPr>
      </w:pPr>
      <w:bookmarkStart w:name="_heading=h.jnvttryasqcj" w:colFirst="0" w:colLast="0" w:id="354"/>
      <w:bookmarkEnd w:id="354"/>
      <w:r w:rsidRPr="00000000" w:rsidDel="00000000" w:rsidR="00000000">
        <w:rPr>
          <w:rtl w:val="0"/>
        </w:rPr>
        <w:t xml:space="preserve">Internal Counterparty Risk [Multiple risk indicators are used to risk-rate interactions with high-risk counterparties. These metrics include the count of critical law enforcement requests associated with counterparties, the total monetary interactions with these counterparties, and the proportion of transactions with high-risk counterparties relative to total transactions. Higher values in these metrics indicate increased risk.]</w:t>
      </w:r>
    </w:p>
    <w:p w:rsidRPr="00000000" w:rsidR="00000000" w:rsidDel="00000000" w:rsidP="00000000" w:rsidRDefault="00000000" w14:paraId="0000055A">
      <w:pPr>
        <w:numPr>
          <w:ilvl w:val="0"/>
          <w:numId w:val="33"/>
        </w:numPr>
        <w:spacing w:after="0" w:afterAutospacing="0" w:lineRule="auto"/>
        <w:ind w:left="1440" w:hanging="360"/>
        <w:jc w:val="both"/>
        <w:rPr>
          <w:u w:val="none"/>
        </w:rPr>
      </w:pPr>
      <w:bookmarkStart w:name="_heading=h.q5ju3vflgrl6" w:colFirst="0" w:colLast="0" w:id="355"/>
      <w:bookmarkEnd w:id="355"/>
      <w:r w:rsidRPr="00000000" w:rsidDel="00000000" w:rsidR="00000000">
        <w:rPr>
          <w:rtl w:val="0"/>
        </w:rPr>
        <w:t xml:space="preserve">Binance Pay Parameters [Multiple risk indicators focusing on transactions via the product Binance Pay (“BPAY”), including total BPAY transaction amount, the proportion of BPAY transactions with counterparties that are defined as high risk. Higher values in these metrics generally indicate increased risk.]</w:t>
      </w:r>
    </w:p>
    <w:p w:rsidRPr="00000000" w:rsidR="00000000" w:rsidDel="00000000" w:rsidP="00000000" w:rsidRDefault="00000000" w14:paraId="0000055B">
      <w:pPr>
        <w:numPr>
          <w:ilvl w:val="0"/>
          <w:numId w:val="33"/>
        </w:numPr>
        <w:spacing w:after="0" w:afterAutospacing="0" w:lineRule="auto"/>
        <w:ind w:left="1440" w:hanging="360"/>
        <w:jc w:val="both"/>
        <w:rPr>
          <w:u w:val="none"/>
        </w:rPr>
      </w:pPr>
      <w:bookmarkStart w:name="_heading=h.kkdeph59axjm" w:colFirst="0" w:colLast="0" w:id="356"/>
      <w:bookmarkEnd w:id="356"/>
      <w:r w:rsidRPr="00000000" w:rsidDel="00000000" w:rsidR="00000000">
        <w:rPr>
          <w:rtl w:val="0"/>
        </w:rPr>
        <w:t xml:space="preserve">Peer-to-Peer(P2P) Trading Parameters [Multiple risk indicators  focusing on transactions via P2P, including  total P2P transaction amount, number of P2P counterparties, number of counterparties with law enforcement requests, the proportion of transactions with critical case counterparties, and the proportion of transactions with high risk counterparties. Higher values in these metrics generally indicate increased risk.]</w:t>
      </w:r>
    </w:p>
    <w:p w:rsidRPr="00000000" w:rsidR="00000000" w:rsidDel="00000000" w:rsidP="00000000" w:rsidRDefault="00000000" w14:paraId="0000055C">
      <w:pPr>
        <w:numPr>
          <w:ilvl w:val="0"/>
          <w:numId w:val="33"/>
        </w:numPr>
        <w:spacing w:after="0" w:afterAutospacing="0" w:lineRule="auto"/>
        <w:ind w:left="1440" w:hanging="360"/>
        <w:jc w:val="both"/>
        <w:rPr>
          <w:u w:val="none"/>
        </w:rPr>
      </w:pPr>
      <w:bookmarkStart w:name="_heading=h.m9aha4v4h7n5" w:colFirst="0" w:colLast="0" w:id="357"/>
      <w:bookmarkEnd w:id="357"/>
      <w:r w:rsidRPr="00000000" w:rsidDel="00000000" w:rsidR="00000000">
        <w:rPr>
          <w:rtl w:val="0"/>
        </w:rPr>
        <w:t xml:space="preserve">Device Risk Parameters [Multiple risk indicators to detect unusual device activities, including   number of devices linked to the account,  total value of transaction  with multiple devices, number of devices linked to law enforcement requests, and the proportion of transactions with devices linked to High-Risk users. Higher values in these metrics generally indicate increased risk.]</w:t>
      </w:r>
    </w:p>
    <w:p w:rsidRPr="00000000" w:rsidR="00000000" w:rsidDel="00000000" w:rsidP="00000000" w:rsidRDefault="00000000" w14:paraId="0000055D">
      <w:pPr>
        <w:numPr>
          <w:ilvl w:val="0"/>
          <w:numId w:val="33"/>
        </w:numPr>
        <w:spacing w:after="0" w:afterAutospacing="0" w:lineRule="auto"/>
        <w:ind w:left="1440" w:hanging="360"/>
        <w:jc w:val="both"/>
        <w:rPr>
          <w:u w:val="none"/>
        </w:rPr>
      </w:pPr>
      <w:bookmarkStart w:name="_heading=h.7qsfx6y9tewl" w:colFirst="0" w:colLast="0" w:id="358"/>
      <w:bookmarkEnd w:id="358"/>
      <w:r w:rsidRPr="00000000" w:rsidDel="00000000" w:rsidR="00000000">
        <w:rPr>
          <w:rtl w:val="0"/>
        </w:rPr>
        <w:t xml:space="preserve">On-chain Risk Parameters (for Onchain only)</w:t>
      </w:r>
    </w:p>
    <w:p w:rsidRPr="00000000" w:rsidR="00000000" w:rsidDel="00000000" w:rsidP="00000000" w:rsidRDefault="00000000" w14:paraId="0000055E">
      <w:pPr>
        <w:pStyle w:val="Heading2"/>
        <w:widowControl w:val="0"/>
        <w:numPr>
          <w:ilvl w:val="1"/>
          <w:numId w:val="25"/>
        </w:numPr>
        <w:spacing w:before="200" w:after="200" w:line="276" w:lineRule="auto"/>
        <w:ind w:left="720"/>
        <w:rPr/>
      </w:pPr>
      <w:bookmarkStart w:name="_heading=h.1i6271fphzmi" w:colFirst="0" w:colLast="0" w:id="359"/>
      <w:bookmarkEnd w:id="359"/>
      <w:r w:rsidRPr="00000000" w:rsidDel="00000000" w:rsidR="00000000">
        <w:rPr>
          <w:rFonts w:ascii="Arial" w:hAnsi="Arial" w:eastAsia="Arial" w:cs="Arial"/>
          <w:sz w:val="24"/>
          <w:szCs w:val="24"/>
          <w:rtl w:val="0"/>
        </w:rPr>
        <w:t xml:space="preserve">Overview of the Fiat Transaction Monitoring (FTM) Machine Learning Process</w:t>
      </w:r>
    </w:p>
    <w:p w:rsidRPr="00000000" w:rsidR="00000000" w:rsidDel="00000000" w:rsidP="00000000" w:rsidRDefault="00000000" w14:paraId="0000055F">
      <w:pPr>
        <w:widowControl w:val="0"/>
        <w:spacing w:after="0" w:line="276" w:lineRule="auto"/>
        <w:ind w:left="720" w:firstLine="0"/>
        <w:jc w:val="both"/>
        <w:rPr/>
      </w:pPr>
      <w:r w:rsidRPr="00000000" w:rsidDel="00000000" w:rsidR="00000000">
        <w:rPr>
          <w:rtl w:val="0"/>
        </w:rPr>
        <w:t xml:space="preserve">When a user initiates a transaction, alerts are generated based on detection rules and grouped by unique identifiers before being sent to the monitoring system. Alerts are then created in the Haodesk FTM Monitoring Pool and enriched with detailed risk scores through Compliance 360.</w:t>
      </w:r>
    </w:p>
    <w:p w:rsidRPr="00000000" w:rsidR="00000000" w:rsidDel="00000000" w:rsidP="00000000" w:rsidRDefault="00000000" w14:paraId="00000560">
      <w:pPr>
        <w:widowControl w:val="0"/>
        <w:spacing w:after="0" w:line="276" w:lineRule="auto"/>
        <w:ind w:left="720" w:firstLine="0"/>
        <w:jc w:val="both"/>
        <w:rPr/>
      </w:pPr>
      <w:r w:rsidRPr="00000000" w:rsidDel="00000000" w:rsidR="00000000">
        <w:rPr>
          <w:rtl w:val="0"/>
        </w:rPr>
        <w:t xml:space="preserve">Based on the assessed risk level (model parameters are mostly common for both On-Chain and Off-Chain TM and provided below), the system routes alerts through defined workflows: </w:t>
      </w:r>
    </w:p>
    <w:p w:rsidRPr="00000000" w:rsidR="00000000" w:rsidDel="00000000" w:rsidP="00000000" w:rsidRDefault="00000000" w14:paraId="00000561">
      <w:pPr>
        <w:widowControl w:val="0"/>
        <w:numPr>
          <w:ilvl w:val="0"/>
          <w:numId w:val="32"/>
        </w:numPr>
        <w:spacing w:after="0" w:line="276" w:lineRule="auto"/>
        <w:ind w:left="1440" w:hanging="360"/>
        <w:jc w:val="both"/>
        <w:rPr>
          <w:u w:val="none"/>
        </w:rPr>
      </w:pPr>
      <w:r w:rsidRPr="00000000" w:rsidDel="00000000" w:rsidR="00000000">
        <w:rPr>
          <w:rtl w:val="0"/>
        </w:rPr>
        <w:t xml:space="preserve">low-risk alerts remain open for continuous monitoring; </w:t>
      </w:r>
    </w:p>
    <w:p w:rsidRPr="00000000" w:rsidR="00000000" w:rsidDel="00000000" w:rsidP="00000000" w:rsidRDefault="00000000" w14:paraId="00000562">
      <w:pPr>
        <w:widowControl w:val="0"/>
        <w:numPr>
          <w:ilvl w:val="0"/>
          <w:numId w:val="32"/>
        </w:numPr>
        <w:spacing w:after="0" w:line="276" w:lineRule="auto"/>
        <w:ind w:left="1440" w:hanging="360"/>
        <w:jc w:val="both"/>
        <w:rPr>
          <w:u w:val="none"/>
        </w:rPr>
      </w:pPr>
      <w:r w:rsidRPr="00000000" w:rsidDel="00000000" w:rsidR="00000000">
        <w:rPr>
          <w:rtl w:val="0"/>
        </w:rPr>
        <w:t xml:space="preserve">medium-risk alerts trigger the creation of FTM cases for manual analyst review; </w:t>
      </w:r>
    </w:p>
    <w:p w:rsidRPr="00000000" w:rsidR="00000000" w:rsidDel="00000000" w:rsidP="00000000" w:rsidRDefault="00000000" w14:paraId="00000563">
      <w:pPr>
        <w:widowControl w:val="0"/>
        <w:numPr>
          <w:ilvl w:val="0"/>
          <w:numId w:val="32"/>
        </w:numPr>
        <w:spacing w:after="0" w:line="276" w:lineRule="auto"/>
        <w:ind w:left="1440" w:hanging="360"/>
        <w:jc w:val="both"/>
        <w:rPr>
          <w:u w:val="none"/>
        </w:rPr>
      </w:pPr>
      <w:r w:rsidRPr="00000000" w:rsidDel="00000000" w:rsidR="00000000">
        <w:rPr>
          <w:rtl w:val="0"/>
        </w:rPr>
        <w:t xml:space="preserve">and high-risk alerts result in automatic escalation to the Financial Crime Investigation (FCI) team. </w:t>
      </w:r>
    </w:p>
    <w:p w:rsidRPr="00000000" w:rsidR="00000000" w:rsidDel="00000000" w:rsidP="00000000" w:rsidRDefault="00000000" w14:paraId="00000564">
      <w:pPr>
        <w:widowControl w:val="0"/>
        <w:spacing w:after="0" w:line="276" w:lineRule="auto"/>
        <w:ind w:left="720" w:firstLine="0"/>
        <w:jc w:val="both"/>
        <w:rPr/>
      </w:pPr>
      <w:r w:rsidRPr="00000000" w:rsidDel="00000000" w:rsidR="00000000">
        <w:rPr>
          <w:rtl w:val="0"/>
        </w:rPr>
      </w:r>
    </w:p>
    <w:p w:rsidRPr="00000000" w:rsidR="00000000" w:rsidDel="00000000" w:rsidP="00000000" w:rsidRDefault="00000000" w14:paraId="00000565">
      <w:pPr>
        <w:widowControl w:val="0"/>
        <w:spacing w:after="0" w:line="276" w:lineRule="auto"/>
        <w:ind w:left="720" w:firstLine="0"/>
        <w:jc w:val="both"/>
        <w:rPr/>
      </w:pPr>
      <w:r w:rsidRPr="00000000" w:rsidDel="00000000" w:rsidR="00000000">
        <w:rPr>
          <w:rtl w:val="0"/>
        </w:rPr>
        <w:t xml:space="preserve">This structured end-to-end workflow ensures that User’s accounts with higher risk scores are promptly identified, prioritized and effectively managed, thereby supporting compliance efforts and regulatory obligations.</w:t>
      </w:r>
    </w:p>
    <w:p w:rsidRPr="00000000" w:rsidR="00000000" w:rsidDel="00000000" w:rsidP="00000000" w:rsidRDefault="00000000" w14:paraId="00000566">
      <w:pPr>
        <w:widowControl w:val="0"/>
        <w:spacing w:after="0" w:line="276" w:lineRule="auto"/>
        <w:ind w:left="720" w:firstLine="0"/>
        <w:jc w:val="both"/>
        <w:rPr/>
      </w:pPr>
      <w:r w:rsidRPr="00000000" w:rsidDel="00000000" w:rsidR="00000000">
        <w:rPr>
          <w:rtl w:val="0"/>
        </w:rPr>
      </w:r>
    </w:p>
    <w:p w:rsidRPr="00000000" w:rsidR="00000000" w:rsidDel="00000000" w:rsidP="00000000" w:rsidRDefault="00000000" w14:paraId="00000567">
      <w:pPr>
        <w:widowControl w:val="0"/>
        <w:spacing w:after="0" w:line="276" w:lineRule="auto"/>
        <w:ind w:left="720" w:firstLine="0"/>
        <w:jc w:val="both"/>
        <w:rPr/>
      </w:pPr>
      <w:r w:rsidRPr="00000000" w:rsidDel="00000000" w:rsidR="00000000">
        <w:rPr>
          <w:rtl w:val="0"/>
        </w:rPr>
        <w:t xml:space="preserve">The detailed model description and complete set of parameters are provided in the document </w:t>
      </w:r>
      <w:hyperlink r:id="rId58">
        <w:r w:rsidRPr="00000000" w:rsidDel="00000000" w:rsidR="00000000">
          <w:rPr>
            <w:color w:val="0000ee"/>
            <w:u w:val="single"/>
            <w:rtl w:val="0"/>
          </w:rPr>
          <w:t xml:space="preserve">T079-202504 - New 360 ML Model (FINAL)</w:t>
        </w:r>
      </w:hyperlink>
      <w:r w:rsidRPr="00000000" w:rsidDel="00000000" w:rsidR="00000000">
        <w:rPr>
          <w:rtl w:val="0"/>
        </w:rPr>
      </w:r>
    </w:p>
    <w:p w:rsidRPr="00000000" w:rsidR="00000000" w:rsidDel="00000000" w:rsidP="00000000" w:rsidRDefault="00000000" w14:paraId="00000568">
      <w:pPr>
        <w:widowControl w:val="0"/>
        <w:spacing w:after="0" w:line="276" w:lineRule="auto"/>
        <w:ind w:left="720" w:firstLine="0"/>
        <w:rPr>
          <w:b w:val="1"/>
          <w:bCs w:val="1"/>
          <w:color w:val="4e4e4e"/>
          <w:sz w:val="20"/>
          <w:szCs w:val="20"/>
        </w:rPr>
      </w:pPr>
      <w:r w:rsidRPr="00000000" w:rsidDel="00000000" w:rsidR="00000000">
        <w:rPr>
          <w:rtl w:val="0"/>
        </w:rPr>
      </w:r>
    </w:p>
    <w:p w:rsidRPr="00000000" w:rsidR="00000000" w:rsidDel="00000000" w:rsidP="00000000" w:rsidRDefault="00000000" w14:paraId="00000569">
      <w:pPr>
        <w:pStyle w:val="Heading2"/>
        <w:widowControl w:val="0"/>
        <w:numPr>
          <w:ilvl w:val="1"/>
          <w:numId w:val="25"/>
        </w:numPr>
        <w:spacing w:after="200" w:line="276" w:lineRule="auto"/>
        <w:ind w:left="720"/>
        <w:rPr/>
      </w:pPr>
      <w:bookmarkStart w:name="_heading=h.8mettvajy91m" w:colFirst="0" w:colLast="0" w:id="360"/>
      <w:bookmarkEnd w:id="360"/>
      <w:r w:rsidRPr="00000000" w:rsidDel="00000000" w:rsidR="00000000">
        <w:rPr>
          <w:rFonts w:ascii="Arial" w:hAnsi="Arial" w:eastAsia="Arial" w:cs="Arial"/>
          <w:sz w:val="24"/>
          <w:szCs w:val="24"/>
          <w:rtl w:val="0"/>
        </w:rPr>
        <w:t xml:space="preserve">Overview of the Crypto Transaction Monitoring (CTM) Machine Learning Process</w:t>
      </w:r>
    </w:p>
    <w:p w:rsidRPr="00000000" w:rsidR="00000000" w:rsidDel="00000000" w:rsidP="00000000" w:rsidRDefault="00000000" w14:paraId="0000056A">
      <w:pPr>
        <w:widowControl w:val="0"/>
        <w:spacing w:after="0" w:line="276" w:lineRule="auto"/>
        <w:ind w:left="720" w:firstLine="0"/>
        <w:jc w:val="both"/>
        <w:rPr/>
      </w:pPr>
      <w:r w:rsidRPr="00000000" w:rsidDel="00000000" w:rsidR="00000000">
        <w:rPr>
          <w:rtl w:val="0"/>
        </w:rPr>
        <w:t xml:space="preserve">When a user conducts a transaction identified as high risk within specified typologies (including Fraud, Illicit Activities, Gambling, US Platform, ATM, EU-Russia, Obfuscation, Miscellaneous, etc), the Machine Learning Model evaluates the associated risk level. </w:t>
      </w:r>
    </w:p>
    <w:p w:rsidRPr="00000000" w:rsidR="00000000" w:rsidDel="00000000" w:rsidP="00000000" w:rsidRDefault="00000000" w14:paraId="0000056B">
      <w:pPr>
        <w:widowControl w:val="0"/>
        <w:spacing w:after="0" w:line="276" w:lineRule="auto"/>
        <w:ind w:left="720" w:firstLine="0"/>
        <w:jc w:val="both"/>
        <w:rPr/>
      </w:pPr>
      <w:r w:rsidRPr="00000000" w:rsidDel="00000000" w:rsidR="00000000">
        <w:rPr>
          <w:rtl w:val="0"/>
        </w:rPr>
        <w:t xml:space="preserve">Cases with a user risk score below the defined threshold are classified as low risk; their status is updated to “Pending Close” and they are subsequently closed. These low-risk cases are also placed into the continuous monitoring pool, accompanied by system-generated remarks for audit and record-keeping purposes.</w:t>
      </w:r>
    </w:p>
    <w:p w:rsidRPr="00000000" w:rsidR="00000000" w:rsidDel="00000000" w:rsidP="00000000" w:rsidRDefault="00000000" w14:paraId="0000056C">
      <w:pPr>
        <w:widowControl w:val="0"/>
        <w:spacing w:after="0" w:line="276" w:lineRule="auto"/>
        <w:ind w:left="720" w:firstLine="0"/>
        <w:jc w:val="both"/>
        <w:rPr/>
      </w:pPr>
      <w:r w:rsidRPr="00000000" w:rsidDel="00000000" w:rsidR="00000000">
        <w:rPr>
          <w:rtl w:val="0"/>
        </w:rPr>
      </w:r>
    </w:p>
    <w:p w:rsidRPr="00000000" w:rsidR="00000000" w:rsidDel="00000000" w:rsidP="00000000" w:rsidRDefault="00000000" w14:paraId="0000056D">
      <w:pPr>
        <w:widowControl w:val="0"/>
        <w:spacing w:after="0" w:line="276" w:lineRule="auto"/>
        <w:ind w:left="720" w:firstLine="0"/>
        <w:jc w:val="both"/>
        <w:rPr/>
      </w:pPr>
      <w:r w:rsidRPr="00000000" w:rsidDel="00000000" w:rsidR="00000000">
        <w:rPr>
          <w:rtl w:val="0"/>
        </w:rPr>
        <w:t xml:space="preserve">The cases exceeding the risk threshold are escalated to the case management task pool for manual review. </w:t>
      </w:r>
    </w:p>
    <w:p w:rsidRPr="00000000" w:rsidR="00000000" w:rsidDel="00000000" w:rsidP="00000000" w:rsidRDefault="00000000" w14:paraId="0000056E">
      <w:pPr>
        <w:widowControl w:val="0"/>
        <w:spacing w:after="0" w:line="276" w:lineRule="auto"/>
        <w:ind w:left="720" w:firstLine="0"/>
        <w:jc w:val="both"/>
        <w:rPr/>
      </w:pPr>
      <w:r w:rsidRPr="00000000" w:rsidDel="00000000" w:rsidR="00000000">
        <w:rPr>
          <w:rtl w:val="0"/>
        </w:rPr>
        <w:t xml:space="preserve">The detailed model description and complete set of parameters are provided in the documents below:</w:t>
      </w:r>
    </w:p>
    <w:p w:rsidRPr="00000000" w:rsidR="00000000" w:rsidDel="00000000" w:rsidP="00000000" w:rsidRDefault="00000000" w14:paraId="0000056F">
      <w:pPr>
        <w:widowControl w:val="0"/>
        <w:numPr>
          <w:ilvl w:val="0"/>
          <w:numId w:val="36"/>
        </w:numPr>
        <w:spacing w:after="0" w:line="276" w:lineRule="auto"/>
        <w:ind w:left="1440" w:hanging="360"/>
        <w:jc w:val="both"/>
        <w:rPr>
          <w:u w:val="none"/>
        </w:rPr>
      </w:pPr>
      <w:r w:rsidRPr="00000000" w:rsidDel="00000000" w:rsidR="00000000">
        <w:rPr>
          <w:rtl w:val="0"/>
        </w:rPr>
        <w:t xml:space="preserve">Fraud: </w:t>
      </w:r>
      <w:hyperlink r:id="rId59">
        <w:r w:rsidRPr="00000000" w:rsidDel="00000000" w:rsidR="00000000">
          <w:rPr>
            <w:color w:val="0000ee"/>
            <w:u w:val="single"/>
            <w:rtl w:val="0"/>
          </w:rPr>
          <w:t xml:space="preserve">Model Validation Report Machine Learning-Based On-chain Transaction Monitoring.docx</w:t>
        </w:r>
      </w:hyperlink>
      <w:r w:rsidRPr="00000000" w:rsidDel="00000000" w:rsidR="00000000">
        <w:rPr>
          <w:rtl w:val="0"/>
        </w:rPr>
      </w:r>
    </w:p>
    <w:p w:rsidRPr="00000000" w:rsidR="00000000" w:rsidDel="00000000" w:rsidP="00000000" w:rsidRDefault="00000000" w14:paraId="00000570">
      <w:pPr>
        <w:widowControl w:val="0"/>
        <w:numPr>
          <w:ilvl w:val="0"/>
          <w:numId w:val="36"/>
        </w:numPr>
        <w:spacing w:after="0" w:line="276" w:lineRule="auto"/>
        <w:ind w:left="1440" w:hanging="360"/>
        <w:rPr>
          <w:u w:val="none"/>
        </w:rPr>
      </w:pPr>
      <w:r w:rsidRPr="00000000" w:rsidDel="00000000" w:rsidR="00000000">
        <w:rPr>
          <w:rtl w:val="0"/>
        </w:rPr>
        <w:t xml:space="preserve">Other Typologies: </w:t>
      </w:r>
      <w:hyperlink r:id="rId60">
        <w:r w:rsidRPr="00000000" w:rsidDel="00000000" w:rsidR="00000000">
          <w:rPr>
            <w:color w:val="0000ee"/>
            <w:u w:val="single"/>
            <w:rtl w:val="0"/>
          </w:rPr>
          <w:t xml:space="preserve">Model Validation Report Machine Learning-Based On-chain Transaction Monitoring (Other Typologies).docx</w:t>
        </w:r>
      </w:hyperlink>
      <w:r w:rsidRPr="00000000" w:rsidDel="00000000" w:rsidR="00000000">
        <w:rPr>
          <w:rtl w:val="0"/>
        </w:rPr>
      </w:r>
    </w:p>
    <w:p w:rsidRPr="00000000" w:rsidR="00000000" w:rsidDel="00000000" w:rsidP="00000000" w:rsidRDefault="00000000" w14:paraId="00000571">
      <w:pPr>
        <w:widowControl w:val="0"/>
        <w:spacing w:after="0" w:line="276" w:lineRule="auto"/>
        <w:ind w:left="720" w:firstLine="0"/>
        <w:jc w:val="both"/>
        <w:rPr/>
      </w:pPr>
      <w:r w:rsidRPr="00000000" w:rsidDel="00000000" w:rsidR="00000000">
        <w:rPr>
          <w:rtl w:val="0"/>
        </w:rPr>
      </w:r>
    </w:p>
    <w:p w:rsidRPr="00000000" w:rsidR="00000000" w:rsidDel="00000000" w:rsidP="00000000" w:rsidRDefault="00000000" w14:paraId="00000572">
      <w:pPr>
        <w:widowControl w:val="0"/>
        <w:spacing w:after="0" w:line="276" w:lineRule="auto"/>
        <w:ind w:left="720" w:firstLine="0"/>
        <w:jc w:val="both"/>
        <w:rPr/>
      </w:pPr>
      <w:r w:rsidRPr="00000000" w:rsidDel="00000000" w:rsidR="00000000">
        <w:rPr>
          <w:rtl w:val="0"/>
        </w:rPr>
      </w:r>
    </w:p>
    <w:p w:rsidRPr="00000000" w:rsidR="00000000" w:rsidDel="00000000" w:rsidP="00000000" w:rsidRDefault="00000000" w14:paraId="00000573">
      <w:pPr>
        <w:widowControl w:val="0"/>
        <w:spacing w:after="0" w:line="276" w:lineRule="auto"/>
        <w:ind w:left="720" w:firstLine="0"/>
        <w:jc w:val="both"/>
        <w:rPr/>
      </w:pPr>
      <w:r w:rsidRPr="00000000" w:rsidDel="00000000" w:rsidR="00000000">
        <w:rPr>
          <w:rtl w:val="0"/>
        </w:rPr>
        <w:t xml:space="preserve">Additionally, predefined auto-high-risk rules are applied to ensure that potentially high-risk users are not prematurely closed by the machine learning model, thereby reinforcing risk mitigation controls.</w:t>
      </w:r>
      <w:r w:rsidRPr="00000000" w:rsidDel="00000000" w:rsidR="00000000">
        <w:rPr>
          <w:rtl w:val="0"/>
        </w:rPr>
      </w:r>
    </w:p>
    <w:p w:rsidRPr="00000000" w:rsidR="00000000" w:rsidDel="00000000" w:rsidP="00000000" w:rsidRDefault="00000000" w14:paraId="00000574">
      <w:pPr>
        <w:pStyle w:val="Heading1"/>
        <w:keepNext w:val="1"/>
        <w:keepLines w:val="1"/>
        <w:pageBreakBefore w:val="0"/>
        <w:widowControl w:val="1"/>
        <w:numPr>
          <w:ilvl w:val="0"/>
          <w:numId w:val="25"/>
        </w:numPr>
        <w:pBdr>
          <w:top w:val="nil" w:sz="0" w:space="0"/>
          <w:left w:val="nil" w:sz="0" w:space="0"/>
          <w:bottom w:val="nil" w:sz="0" w:space="0"/>
          <w:right w:val="nil" w:sz="0" w:space="0"/>
          <w:between w:val="nil" w:sz="0" w:space="0"/>
        </w:pBdr>
        <w:shd w:val="clear" w:fill="auto"/>
        <w:spacing w:before="480" w:after="240" w:line="276" w:lineRule="auto"/>
        <w:ind w:left="720" w:right="0" w:hanging="720"/>
        <w:jc w:val="both"/>
        <w:rPr/>
      </w:pPr>
      <w:bookmarkStart w:name="_heading=h.rlhruxgdvhav" w:colFirst="0" w:colLast="0" w:id="361"/>
      <w:bookmarkEnd w:id="361"/>
      <w:r w:rsidRPr="00000000" w:rsidDel="00000000" w:rsidR="00000000">
        <w:rPr>
          <w:rFonts w:ascii="Arial" w:hAnsi="Arial" w:eastAsia="Arial" w:cs="Arial"/>
          <w:smallCaps w:val="1"/>
          <w:sz w:val="28"/>
          <w:szCs w:val="28"/>
          <w:rtl w:val="0"/>
        </w:rPr>
        <w:t xml:space="preserve">ALERT DATA MANAGEMENT</w:t>
      </w:r>
    </w:p>
    <w:p w:rsidRPr="00000000" w:rsidR="00000000" w:rsidDel="00000000" w:rsidP="00000000" w:rsidRDefault="00000000" w14:paraId="00000575">
      <w:pPr>
        <w:numPr>
          <w:ilvl w:val="2"/>
          <w:numId w:val="25"/>
        </w:numPr>
        <w:spacing w:after="240" w:lineRule="auto"/>
        <w:ind w:left="720" w:hanging="720"/>
        <w:jc w:val="both"/>
        <w:rPr/>
      </w:pPr>
      <w:bookmarkStart w:name="_heading=h.ze87odge65u2" w:colFirst="0" w:colLast="0" w:id="362"/>
      <w:bookmarkEnd w:id="362"/>
      <w:r w:rsidRPr="00000000" w:rsidDel="00000000" w:rsidR="00000000">
        <w:rPr>
          <w:rtl w:val="0"/>
        </w:rPr>
        <w:t xml:space="preserve">Robust</w:t>
      </w:r>
      <w:r w:rsidRPr="00000000" w:rsidDel="00000000" w:rsidR="00000000">
        <w:rPr>
          <w:rtl w:val="0"/>
        </w:rPr>
        <w:t xml:space="preserve"> internal data system safeguards engagement and access to this crucial information. Only personnel with the necessary permission, backed by sound justification, are allowed to examine and interact with this internal data. Such a procedure is in place to uphold a high level of security and discretion.</w:t>
      </w:r>
    </w:p>
    <w:p w:rsidRPr="00000000" w:rsidR="00000000" w:rsidDel="00000000" w:rsidP="00000000" w:rsidRDefault="00000000" w14:paraId="00000576">
      <w:pPr>
        <w:numPr>
          <w:ilvl w:val="2"/>
          <w:numId w:val="25"/>
        </w:numPr>
        <w:spacing w:after="240" w:lineRule="auto"/>
        <w:ind w:left="720" w:hanging="720"/>
        <w:jc w:val="both"/>
        <w:rPr/>
      </w:pPr>
      <w:bookmarkStart w:name="_heading=h.ta0zzlje3k3m" w:colFirst="0" w:colLast="0" w:id="363"/>
      <w:bookmarkEnd w:id="363"/>
      <w:r w:rsidRPr="00000000" w:rsidDel="00000000" w:rsidR="00000000">
        <w:rPr>
          <w:rtl w:val="0"/>
        </w:rPr>
        <w:t xml:space="preserve">The storage of alert data occurs in two principal databases:</w:t>
      </w:r>
    </w:p>
    <w:p w:rsidRPr="00000000" w:rsidR="00000000" w:rsidDel="00000000" w:rsidP="00000000" w:rsidRDefault="00000000" w14:paraId="00000577">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The Risk Engine database, which is solely accessible via datawind, thus limiting the accessibility to only specific and authorized personnel.</w:t>
      </w:r>
    </w:p>
    <w:p w:rsidRPr="00000000" w:rsidR="00000000" w:rsidDel="00000000" w:rsidP="00000000" w:rsidRDefault="00000000" w14:paraId="00000578">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The Compliance database, which can be accessed through HAODesk, essentially serving as another control point to ensure only authorized access.</w:t>
      </w:r>
    </w:p>
    <w:p w:rsidRPr="00000000" w:rsidR="00000000" w:rsidDel="00000000" w:rsidP="00000000" w:rsidRDefault="00000000" w14:paraId="00000579">
      <w:pPr>
        <w:numPr>
          <w:ilvl w:val="2"/>
          <w:numId w:val="25"/>
        </w:numPr>
        <w:spacing w:after="240" w:lineRule="auto"/>
        <w:ind w:left="720" w:hanging="720"/>
        <w:jc w:val="both"/>
        <w:rPr/>
      </w:pPr>
      <w:bookmarkStart w:name="_heading=h.kzni0b2hq5nz" w:colFirst="0" w:colLast="0" w:id="364"/>
      <w:bookmarkEnd w:id="364"/>
      <w:r w:rsidRPr="00000000" w:rsidDel="00000000" w:rsidR="00000000">
        <w:rPr>
          <w:rtl w:val="0"/>
        </w:rPr>
        <w:t xml:space="preserve">Onchain Alerted information is stored indefinitely within Binance Global’s Amazon Web Service (AWS) cloud servers on the IHRE.</w:t>
      </w:r>
    </w:p>
    <w:p w:rsidRPr="00000000" w:rsidR="00000000" w:rsidDel="00000000" w:rsidP="00000000" w:rsidRDefault="00000000" w14:paraId="0000057A">
      <w:pPr>
        <w:numPr>
          <w:ilvl w:val="2"/>
          <w:numId w:val="25"/>
        </w:numPr>
        <w:spacing w:after="240" w:lineRule="auto"/>
        <w:ind w:left="720" w:hanging="720"/>
        <w:jc w:val="both"/>
        <w:rPr/>
      </w:pPr>
      <w:bookmarkStart w:name="_heading=h.zc4yr960fi05" w:colFirst="0" w:colLast="0" w:id="365"/>
      <w:bookmarkEnd w:id="365"/>
      <w:r w:rsidRPr="00000000" w:rsidDel="00000000" w:rsidR="00000000">
        <w:rPr>
          <w:rtl w:val="0"/>
        </w:rPr>
        <w:t xml:space="preserve">With regard to governance, the responsibility for administrating access to datawind and HAODesk remains with an appointed administrator from the Business Unit (BU). It is incumbent upon them to ascertain who within their teams are legitimate for specific access levels to respective databases. The access to Risk Engine is strictly managed by the Risk Team and requires clear rationale for access to be provided to the Head of Risk.</w:t>
      </w:r>
    </w:p>
    <w:p w:rsidRPr="00000000" w:rsidR="00000000" w:rsidDel="00000000" w:rsidP="00000000" w:rsidRDefault="00000000" w14:paraId="0000057B">
      <w:pPr>
        <w:numPr>
          <w:ilvl w:val="2"/>
          <w:numId w:val="25"/>
        </w:numPr>
        <w:spacing w:after="240" w:lineRule="auto"/>
        <w:ind w:left="720" w:hanging="720"/>
        <w:jc w:val="both"/>
        <w:rPr/>
      </w:pPr>
      <w:bookmarkStart w:name="_heading=h.lqcknu2pczrj" w:colFirst="0" w:colLast="0" w:id="366"/>
      <w:bookmarkEnd w:id="366"/>
      <w:r w:rsidRPr="00000000" w:rsidDel="00000000" w:rsidR="00000000">
        <w:rPr>
          <w:rtl w:val="0"/>
        </w:rPr>
        <w:t xml:space="preserve">As for customer data protected information, the access to user’s data is managed by specific roles created for Offchain TM Team via IAM User Portal, where the function and data permission for internal platforms are managed by respective BU Leads.</w:t>
      </w:r>
    </w:p>
    <w:p w:rsidRPr="00000000" w:rsidR="00000000" w:rsidDel="00000000" w:rsidP="00000000" w:rsidRDefault="00000000" w14:paraId="0000057C">
      <w:pPr>
        <w:numPr>
          <w:ilvl w:val="2"/>
          <w:numId w:val="25"/>
        </w:numPr>
        <w:spacing w:after="240" w:lineRule="auto"/>
        <w:ind w:left="720" w:hanging="720"/>
        <w:jc w:val="both"/>
        <w:rPr/>
      </w:pPr>
      <w:bookmarkStart w:name="_heading=h.zei77drz8a07" w:colFirst="0" w:colLast="0" w:id="367"/>
      <w:bookmarkEnd w:id="367"/>
      <w:r w:rsidRPr="00000000" w:rsidDel="00000000" w:rsidR="00000000">
        <w:rPr>
          <w:rtl w:val="0"/>
        </w:rPr>
        <w:t xml:space="preserve">Further details can be found in Binance Group’s Data Protection Policy (</w:t>
      </w:r>
      <w:hyperlink r:id="rId61">
        <w:r w:rsidRPr="00000000" w:rsidDel="00000000" w:rsidR="00000000">
          <w:rPr>
            <w:color w:val="1155cc"/>
            <w:u w:val="single"/>
            <w:rtl w:val="0"/>
          </w:rPr>
          <w:t xml:space="preserve"> Link</w:t>
        </w:r>
      </w:hyperlink>
      <w:r w:rsidRPr="00000000" w:rsidDel="00000000" w:rsidR="00000000">
        <w:rPr>
          <w:rtl w:val="0"/>
        </w:rPr>
        <w:t xml:space="preserve">).</w:t>
      </w:r>
    </w:p>
    <w:p w:rsidRPr="00000000" w:rsidR="00000000" w:rsidDel="00000000" w:rsidP="00000000" w:rsidRDefault="00000000" w14:paraId="0000057D">
      <w:pPr>
        <w:pStyle w:val="Heading1"/>
        <w:keepNext w:val="1"/>
        <w:keepLines w:val="1"/>
        <w:pageBreakBefore w:val="0"/>
        <w:widowControl w:val="1"/>
        <w:numPr>
          <w:ilvl w:val="0"/>
          <w:numId w:val="25"/>
        </w:numPr>
        <w:pBdr>
          <w:top w:val="nil" w:sz="0" w:space="0"/>
          <w:left w:val="nil" w:sz="0" w:space="0"/>
          <w:bottom w:val="nil" w:sz="0" w:space="0"/>
          <w:right w:val="nil" w:sz="0" w:space="0"/>
          <w:between w:val="nil" w:sz="0" w:space="0"/>
        </w:pBdr>
        <w:shd w:val="clear" w:fill="auto"/>
        <w:spacing w:before="480" w:after="240" w:line="276" w:lineRule="auto"/>
        <w:ind w:left="720" w:right="0" w:hanging="720"/>
        <w:jc w:val="both"/>
        <w:rPr/>
      </w:pPr>
      <w:bookmarkStart w:name="_heading=h.plqlec1fltsw" w:colFirst="0" w:colLast="0" w:id="368"/>
      <w:bookmarkEnd w:id="368"/>
      <w:r w:rsidRPr="00000000" w:rsidDel="00000000" w:rsidR="00000000">
        <w:rPr>
          <w:rFonts w:ascii="Arial" w:hAnsi="Arial" w:eastAsia="Arial" w:cs="Arial"/>
          <w:smallCaps w:val="1"/>
          <w:sz w:val="28"/>
          <w:szCs w:val="28"/>
          <w:rtl w:val="0"/>
        </w:rPr>
        <w:t xml:space="preserve">APPROVALS &amp; GOVERNANCE</w:t>
      </w:r>
    </w:p>
    <w:p w:rsidRPr="00000000" w:rsidR="00000000" w:rsidDel="00000000" w:rsidP="00000000" w:rsidRDefault="00000000" w14:paraId="0000057E">
      <w:pPr>
        <w:numPr>
          <w:ilvl w:val="2"/>
          <w:numId w:val="25"/>
        </w:numPr>
        <w:spacing w:after="240" w:lineRule="auto"/>
        <w:ind w:left="720" w:hanging="720"/>
        <w:jc w:val="both"/>
        <w:rPr/>
      </w:pPr>
      <w:bookmarkStart w:name="_heading=h.dye8nhk63zxy" w:colFirst="0" w:colLast="0" w:id="369"/>
      <w:bookmarkEnd w:id="369"/>
      <w:r w:rsidRPr="00000000" w:rsidDel="00000000" w:rsidR="00000000">
        <w:rPr>
          <w:rtl w:val="0"/>
        </w:rPr>
        <w:t xml:space="preserve">As outlined within the Global Transaction Steering Committee ToR, all changes, amendments, tunings, and all other material adjustments must be approved by the Global Transaction Monitoring Steering Committee. </w:t>
      </w:r>
    </w:p>
    <w:p w:rsidRPr="00000000" w:rsidR="00000000" w:rsidDel="00000000" w:rsidP="00000000" w:rsidRDefault="00000000" w14:paraId="0000057F">
      <w:pPr>
        <w:numPr>
          <w:ilvl w:val="2"/>
          <w:numId w:val="25"/>
        </w:numPr>
        <w:spacing w:after="240" w:lineRule="auto"/>
        <w:ind w:left="720" w:hanging="720"/>
        <w:jc w:val="both"/>
        <w:rPr/>
      </w:pPr>
      <w:bookmarkStart w:name="_heading=h.3bc8ggdruis7" w:colFirst="0" w:colLast="0" w:id="370"/>
      <w:bookmarkEnd w:id="370"/>
      <w:r w:rsidRPr="00000000" w:rsidDel="00000000" w:rsidR="00000000">
        <w:rPr>
          <w:rtl w:val="0"/>
        </w:rPr>
        <w:t xml:space="preserve">After completing rule calibration and documenting it in the Rule Performance Assessment (RPA) document, an RFC (Request for Change) document is drafted.</w:t>
      </w:r>
    </w:p>
    <w:p w:rsidRPr="00000000" w:rsidR="00000000" w:rsidDel="00000000" w:rsidP="00000000" w:rsidRDefault="00000000" w14:paraId="00000580">
      <w:pPr>
        <w:numPr>
          <w:ilvl w:val="2"/>
          <w:numId w:val="25"/>
        </w:numPr>
        <w:spacing w:after="240" w:lineRule="auto"/>
        <w:ind w:left="720" w:hanging="720"/>
        <w:jc w:val="both"/>
        <w:rPr/>
      </w:pPr>
      <w:bookmarkStart w:name="_heading=h.xif8z421q426" w:colFirst="0" w:colLast="0" w:id="371"/>
      <w:bookmarkEnd w:id="371"/>
      <w:r w:rsidRPr="00000000" w:rsidDel="00000000" w:rsidR="00000000">
        <w:rPr>
          <w:rtl w:val="0"/>
        </w:rPr>
        <w:t xml:space="preserve">Testing, Calibration, and documentation of the rationale behind the parameters / thresholds that are adopted for Onchain Transaction Screening are to be conducted annually, and reviewed by the Global Transaction Monitoring Steering Committee for feedback and insight.</w:t>
      </w:r>
    </w:p>
    <w:p w:rsidRPr="00000000" w:rsidR="00000000" w:rsidDel="00000000" w:rsidP="00000000" w:rsidRDefault="00000000" w14:paraId="00000581">
      <w:pPr>
        <w:numPr>
          <w:ilvl w:val="2"/>
          <w:numId w:val="25"/>
        </w:numPr>
        <w:spacing w:after="240" w:lineRule="auto"/>
        <w:ind w:left="720" w:hanging="720"/>
        <w:jc w:val="both"/>
        <w:rPr/>
      </w:pPr>
      <w:bookmarkStart w:name="_heading=h.y0efzx20510v" w:colFirst="0" w:colLast="0" w:id="372"/>
      <w:bookmarkEnd w:id="372"/>
      <w:r w:rsidRPr="00000000" w:rsidDel="00000000" w:rsidR="00000000">
        <w:rPr>
          <w:rtl w:val="0"/>
        </w:rPr>
        <w:t xml:space="preserve">A global review will be conducted, analyzing true positive and false positive rates across all alerting rules, benchmarking these rulesets, and subsequently escalating for an effectiveness review, wherein feedback will be provided on a target true positive and false positive rate in accordance with Binance Global’s Risk Tolerance as per the Enterprise Wide Risk Assessment.</w:t>
      </w:r>
    </w:p>
    <w:p w:rsidRPr="00000000" w:rsidR="00000000" w:rsidDel="00000000" w:rsidP="00000000" w:rsidRDefault="00000000" w14:paraId="00000582">
      <w:pPr>
        <w:numPr>
          <w:ilvl w:val="2"/>
          <w:numId w:val="25"/>
        </w:numPr>
        <w:spacing w:after="240" w:lineRule="auto"/>
        <w:ind w:left="720" w:hanging="720"/>
        <w:jc w:val="both"/>
        <w:rPr/>
      </w:pPr>
      <w:bookmarkStart w:name="_heading=h.d6sy8lsp494i" w:colFirst="0" w:colLast="0" w:id="373"/>
      <w:bookmarkEnd w:id="373"/>
      <w:r w:rsidRPr="00000000" w:rsidDel="00000000" w:rsidR="00000000">
        <w:rPr>
          <w:rtl w:val="0"/>
        </w:rPr>
        <w:t xml:space="preserve">The RFC outlines the proposed changes to risk rules and is a critical step in the compliance change management process. It serves as a formal request for modifications to the risk rules and is presented to the GTSC (Global Transaction Steering Committee) for approval. The RFC should include:</w:t>
      </w:r>
    </w:p>
    <w:p w:rsidRPr="00000000" w:rsidR="00000000" w:rsidDel="00000000" w:rsidP="00000000" w:rsidRDefault="00000000" w14:paraId="00000583">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A brief explanation of the change being requested, including the rationale behind it.</w:t>
      </w:r>
    </w:p>
    <w:p w:rsidRPr="00000000" w:rsidR="00000000" w:rsidDel="00000000" w:rsidP="00000000" w:rsidRDefault="00000000" w14:paraId="00000584">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Details on the expected impact of the change, such as:</w:t>
      </w:r>
    </w:p>
    <w:p w:rsidRPr="00000000" w:rsidR="00000000" w:rsidDel="00000000" w:rsidP="00000000" w:rsidRDefault="00000000" w14:paraId="00000585">
      <w:pPr>
        <w:keepNext w:val="0"/>
        <w:keepLines w:val="0"/>
        <w:pageBreakBefore w:val="0"/>
        <w:widowControl w:val="1"/>
        <w:numPr>
          <w:ilvl w:val="1"/>
          <w:numId w:val="28"/>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Operational impact and Impact on headcount (FTE savings or increase).</w:t>
      </w:r>
    </w:p>
    <w:p w:rsidRPr="00000000" w:rsidR="00000000" w:rsidDel="00000000" w:rsidP="00000000" w:rsidRDefault="00000000" w14:paraId="00000586">
      <w:pPr>
        <w:keepNext w:val="0"/>
        <w:keepLines w:val="0"/>
        <w:pageBreakBefore w:val="0"/>
        <w:widowControl w:val="1"/>
        <w:numPr>
          <w:ilvl w:val="1"/>
          <w:numId w:val="28"/>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Cost implications (cost savings or additional expenses).</w:t>
      </w:r>
    </w:p>
    <w:p w:rsidRPr="00000000" w:rsidR="00000000" w:rsidDel="00000000" w:rsidP="00000000" w:rsidRDefault="00000000" w14:paraId="00000587">
      <w:pPr>
        <w:keepNext w:val="0"/>
        <w:keepLines w:val="0"/>
        <w:pageBreakBefore w:val="0"/>
        <w:widowControl w:val="1"/>
        <w:numPr>
          <w:ilvl w:val="1"/>
          <w:numId w:val="28"/>
        </w:numPr>
        <w:pBdr>
          <w:top w:val="nil" w:sz="0" w:space="0"/>
          <w:left w:val="nil" w:sz="0" w:space="0"/>
          <w:bottom w:val="nil" w:sz="0" w:space="0"/>
          <w:right w:val="nil" w:sz="0" w:space="0"/>
          <w:between w:val="nil" w:sz="0" w:space="0"/>
        </w:pBdr>
        <w:shd w:val="clear" w:fill="auto"/>
        <w:spacing w:before="0" w:after="240" w:line="276" w:lineRule="auto"/>
        <w:ind w:left="180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Any other relevant operational effects.</w:t>
      </w:r>
    </w:p>
    <w:p w:rsidRPr="00000000" w:rsidR="00000000" w:rsidDel="00000000" w:rsidP="00000000" w:rsidRDefault="00000000" w14:paraId="00000588">
      <w:pPr>
        <w:numPr>
          <w:ilvl w:val="2"/>
          <w:numId w:val="25"/>
        </w:numPr>
        <w:spacing w:after="240" w:lineRule="auto"/>
        <w:ind w:left="720" w:hanging="720"/>
        <w:jc w:val="both"/>
        <w:rPr/>
      </w:pPr>
      <w:bookmarkStart w:name="_heading=h.dpmqbsw1peqj" w:colFirst="0" w:colLast="0" w:id="374"/>
      <w:bookmarkEnd w:id="374"/>
      <w:r w:rsidRPr="00000000" w:rsidDel="00000000" w:rsidR="00000000">
        <w:rPr>
          <w:rtl w:val="0"/>
        </w:rPr>
        <w:t xml:space="preserve">The GTSC committee reviews the RFC document to evaluate the proposed change and its potential impacts. This includes assessing the change's alignment with compliance objectives and strategic goals. The GTSC committee must approve the RFC document for the change to proceed. If approved, the change can be implemented in accordance with the approved plan.</w:t>
      </w:r>
    </w:p>
    <w:p w:rsidRPr="00000000" w:rsidR="00000000" w:rsidDel="00000000" w:rsidP="00000000" w:rsidRDefault="00000000" w14:paraId="00000589">
      <w:pPr>
        <w:numPr>
          <w:ilvl w:val="2"/>
          <w:numId w:val="25"/>
        </w:numPr>
        <w:spacing w:after="240" w:lineRule="auto"/>
        <w:ind w:left="720" w:hanging="720"/>
        <w:jc w:val="both"/>
        <w:rPr/>
      </w:pPr>
      <w:bookmarkStart w:name="_heading=h.7m2m6cfr5mz8" w:colFirst="0" w:colLast="0" w:id="375"/>
      <w:bookmarkEnd w:id="375"/>
      <w:r w:rsidRPr="00000000" w:rsidDel="00000000" w:rsidR="00000000">
        <w:rPr>
          <w:rtl w:val="0"/>
        </w:rPr>
        <w:t xml:space="preserve">The approved RFC document should be archived and maintained as part of the compliance change management records for audit and reference purposes.</w:t>
      </w:r>
    </w:p>
    <w:p w:rsidRPr="00000000" w:rsidR="00000000" w:rsidDel="00000000" w:rsidP="00000000" w:rsidRDefault="00000000" w14:paraId="0000058A">
      <w:pPr>
        <w:numPr>
          <w:ilvl w:val="2"/>
          <w:numId w:val="25"/>
        </w:numPr>
        <w:spacing w:after="240" w:lineRule="auto"/>
        <w:ind w:left="720" w:hanging="720"/>
        <w:jc w:val="both"/>
        <w:rPr/>
      </w:pPr>
      <w:bookmarkStart w:name="_heading=h.2jv5muw6cp85" w:colFirst="0" w:colLast="0" w:id="376"/>
      <w:bookmarkEnd w:id="376"/>
      <w:r w:rsidRPr="00000000" w:rsidDel="00000000" w:rsidR="00000000">
        <w:rPr>
          <w:rtl w:val="0"/>
        </w:rPr>
        <w:t xml:space="preserve">By following this structured procedure, Binance Group ensures that changes to risk rules are thoroughly reviewed, evaluated, and approved by the appropriate governance body before implementation. This process helps maintain compliance integrity and operational efficiency.</w:t>
      </w:r>
    </w:p>
    <w:p w:rsidRPr="00000000" w:rsidR="00000000" w:rsidDel="00000000" w:rsidP="00000000" w:rsidRDefault="00000000" w14:paraId="0000058B">
      <w:pPr>
        <w:pStyle w:val="Heading1"/>
        <w:keepNext w:val="1"/>
        <w:keepLines w:val="1"/>
        <w:pageBreakBefore w:val="0"/>
        <w:widowControl w:val="1"/>
        <w:numPr>
          <w:ilvl w:val="0"/>
          <w:numId w:val="25"/>
        </w:numPr>
        <w:pBdr>
          <w:top w:val="nil" w:sz="0" w:space="0"/>
          <w:left w:val="nil" w:sz="0" w:space="0"/>
          <w:bottom w:val="nil" w:sz="0" w:space="0"/>
          <w:right w:val="nil" w:sz="0" w:space="0"/>
          <w:between w:val="nil" w:sz="0" w:space="0"/>
        </w:pBdr>
        <w:shd w:val="clear" w:fill="auto"/>
        <w:spacing w:before="480" w:after="240" w:line="276" w:lineRule="auto"/>
        <w:ind w:left="720" w:right="0" w:hanging="720"/>
        <w:jc w:val="both"/>
        <w:rPr/>
      </w:pPr>
      <w:bookmarkStart w:name="_heading=h.tyn5eyyhrho6" w:colFirst="0" w:colLast="0" w:id="377"/>
      <w:bookmarkEnd w:id="377"/>
      <w:r w:rsidRPr="00000000" w:rsidDel="00000000" w:rsidR="00000000">
        <w:rPr>
          <w:rFonts w:ascii="Arial" w:hAnsi="Arial" w:eastAsia="Arial" w:cs="Arial"/>
          <w:smallCaps w:val="1"/>
          <w:sz w:val="28"/>
          <w:szCs w:val="28"/>
          <w:rtl w:val="0"/>
        </w:rPr>
        <w:t xml:space="preserve">TRANSACTION MONITORING RULES MANAGEMENT</w:t>
      </w:r>
    </w:p>
    <w:p w:rsidRPr="00000000" w:rsidR="00000000" w:rsidDel="00000000" w:rsidP="00000000" w:rsidRDefault="00000000" w14:paraId="0000058C">
      <w:pPr>
        <w:pStyle w:val="Heading2"/>
        <w:numPr>
          <w:ilvl w:val="1"/>
          <w:numId w:val="25"/>
        </w:numPr>
        <w:spacing w:after="240" w:lineRule="auto"/>
        <w:ind w:left="720"/>
        <w:jc w:val="both"/>
        <w:rPr/>
      </w:pPr>
      <w:bookmarkStart w:name="_heading=h.ohg0pwq0wqrx" w:colFirst="0" w:colLast="0" w:id="378"/>
      <w:bookmarkEnd w:id="378"/>
      <w:r w:rsidRPr="00000000" w:rsidDel="00000000" w:rsidR="00000000">
        <w:rPr>
          <w:rFonts w:ascii="Arial" w:hAnsi="Arial" w:eastAsia="Arial" w:cs="Arial"/>
          <w:sz w:val="24"/>
          <w:szCs w:val="24"/>
          <w:rtl w:val="0"/>
        </w:rPr>
        <w:t xml:space="preserve">Rule Tuning</w:t>
      </w:r>
    </w:p>
    <w:p w:rsidRPr="00000000" w:rsidR="00000000" w:rsidDel="00000000" w:rsidP="00000000" w:rsidRDefault="00000000" w14:paraId="0000058D">
      <w:pPr>
        <w:numPr>
          <w:ilvl w:val="2"/>
          <w:numId w:val="25"/>
        </w:numPr>
        <w:spacing w:after="240" w:lineRule="auto"/>
        <w:ind w:left="720" w:hanging="720"/>
        <w:jc w:val="both"/>
        <w:rPr/>
      </w:pPr>
      <w:bookmarkStart w:name="_heading=h.cer3tkgfa8le" w:colFirst="0" w:colLast="0" w:id="379"/>
      <w:bookmarkEnd w:id="379"/>
      <w:r w:rsidRPr="00000000" w:rsidDel="00000000" w:rsidR="00000000">
        <w:rPr>
          <w:rtl w:val="0"/>
        </w:rPr>
        <w:t xml:space="preserve">The calibration of a Rule may be triggered on a </w:t>
      </w:r>
      <w:r w:rsidRPr="00000000" w:rsidDel="00000000" w:rsidR="00000000">
        <w:rPr>
          <w:rtl w:val="0"/>
        </w:rPr>
        <w:t xml:space="preserve">periodic</w:t>
      </w:r>
      <w:r w:rsidRPr="00000000" w:rsidDel="00000000" w:rsidR="00000000">
        <w:rPr>
          <w:rtl w:val="0"/>
        </w:rPr>
        <w:t xml:space="preserve"> (annual) or an ad-hoc basis by either the Head of Transaction Monitoring or the Head of System in case of (but not limited to):</w:t>
      </w:r>
    </w:p>
    <w:p w:rsidRPr="00000000" w:rsidR="00000000" w:rsidDel="00000000" w:rsidP="00000000" w:rsidRDefault="00000000" w14:paraId="0000058E">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Change in the regulatory environment.</w:t>
      </w:r>
    </w:p>
    <w:p w:rsidRPr="00000000" w:rsidR="00000000" w:rsidDel="00000000" w:rsidP="00000000" w:rsidRDefault="00000000" w14:paraId="0000058F">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Instance of financial crime that the rule has failed to detect.</w:t>
      </w:r>
    </w:p>
    <w:p w:rsidRPr="00000000" w:rsidR="00000000" w:rsidDel="00000000" w:rsidP="00000000" w:rsidRDefault="00000000" w14:paraId="00000590">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Significant change in the market environment.</w:t>
      </w:r>
    </w:p>
    <w:p w:rsidRPr="00000000" w:rsidR="00000000" w:rsidDel="00000000" w:rsidP="00000000" w:rsidRDefault="00000000" w14:paraId="00000591">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New product/asset class to be covered by the Rules.</w:t>
      </w:r>
    </w:p>
    <w:p w:rsidRPr="00000000" w:rsidR="00000000" w:rsidDel="00000000" w:rsidP="00000000" w:rsidRDefault="00000000" w14:paraId="00000592">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Significant increase or decrease in the number of alerts generated.</w:t>
      </w:r>
    </w:p>
    <w:p w:rsidRPr="00000000" w:rsidR="00000000" w:rsidDel="00000000" w:rsidP="00000000" w:rsidRDefault="00000000" w14:paraId="00000593">
      <w:pPr>
        <w:numPr>
          <w:ilvl w:val="2"/>
          <w:numId w:val="25"/>
        </w:numPr>
        <w:spacing w:after="240" w:lineRule="auto"/>
        <w:ind w:left="720" w:hanging="720"/>
        <w:jc w:val="both"/>
        <w:rPr/>
      </w:pPr>
      <w:bookmarkStart w:name="_heading=h.4a1fmuagl46t" w:colFirst="0" w:colLast="0" w:id="380"/>
      <w:bookmarkEnd w:id="380"/>
      <w:r w:rsidRPr="00000000" w:rsidDel="00000000" w:rsidR="00000000">
        <w:rPr>
          <w:rtl w:val="0"/>
        </w:rPr>
        <w:t xml:space="preserve">A comprehensive review and adjustment of processes will be undertaken according to </w:t>
      </w:r>
      <w:hyperlink r:id="rId62">
        <w:r w:rsidRPr="00000000" w:rsidDel="00000000" w:rsidR="00000000">
          <w:rPr>
            <w:color w:val="0563c1"/>
            <w:u w:val="single"/>
            <w:rtl w:val="0"/>
          </w:rPr>
          <w:t xml:space="preserve">End-to-End Transaction Rule Calibration SOP</w:t>
        </w:r>
      </w:hyperlink>
      <w:r w:rsidRPr="00000000" w:rsidDel="00000000" w:rsidR="00000000">
        <w:rPr>
          <w:rtl w:val="0"/>
        </w:rPr>
        <w:t xml:space="preserve"> accurately establishing a ruleset basis. </w:t>
      </w:r>
    </w:p>
    <w:p w:rsidRPr="00000000" w:rsidR="00000000" w:rsidDel="00000000" w:rsidP="00000000" w:rsidRDefault="00000000" w14:paraId="00000594">
      <w:pPr>
        <w:numPr>
          <w:ilvl w:val="2"/>
          <w:numId w:val="25"/>
        </w:numPr>
        <w:spacing w:after="240" w:lineRule="auto"/>
        <w:ind w:left="720" w:hanging="720"/>
        <w:jc w:val="both"/>
        <w:rPr/>
      </w:pPr>
      <w:bookmarkStart w:name="_heading=h.1ilr41d70flt" w:colFirst="0" w:colLast="0" w:id="381"/>
      <w:bookmarkEnd w:id="381"/>
      <w:r w:rsidRPr="00000000" w:rsidDel="00000000" w:rsidR="00000000">
        <w:rPr>
          <w:rtl w:val="0"/>
        </w:rPr>
        <w:t xml:space="preserve">The primary objective of this examination is to systematically reassess our rules, in order to reduce the amount of false positives and effectively identify unusual activity.</w:t>
      </w:r>
    </w:p>
    <w:p w:rsidRPr="00000000" w:rsidR="00000000" w:rsidDel="00000000" w:rsidP="00000000" w:rsidRDefault="00000000" w14:paraId="00000595">
      <w:pPr>
        <w:pStyle w:val="Heading2"/>
        <w:numPr>
          <w:ilvl w:val="1"/>
          <w:numId w:val="25"/>
        </w:numPr>
        <w:spacing w:after="240" w:lineRule="auto"/>
        <w:ind w:left="720"/>
        <w:jc w:val="both"/>
        <w:rPr/>
      </w:pPr>
      <w:bookmarkStart w:name="_heading=h.pqygrnur90h2" w:colFirst="0" w:colLast="0" w:id="382"/>
      <w:bookmarkEnd w:id="382"/>
      <w:r w:rsidRPr="00000000" w:rsidDel="00000000" w:rsidR="00000000">
        <w:rPr>
          <w:rFonts w:ascii="Arial" w:hAnsi="Arial" w:eastAsia="Arial" w:cs="Arial"/>
          <w:sz w:val="24"/>
          <w:szCs w:val="24"/>
          <w:rtl w:val="0"/>
        </w:rPr>
        <w:t xml:space="preserve">Supervised Machine Learning</w:t>
      </w:r>
      <w:r w:rsidRPr="00000000" w:rsidDel="00000000" w:rsidR="00000000">
        <w:rPr>
          <w:rFonts w:ascii="Arial" w:hAnsi="Arial" w:eastAsia="Arial" w:cs="Arial"/>
          <w:sz w:val="24"/>
          <w:szCs w:val="24"/>
          <w:rtl w:val="0"/>
        </w:rPr>
        <w:t xml:space="preserve"> QA process</w:t>
      </w:r>
    </w:p>
    <w:p w:rsidRPr="00000000" w:rsidR="00000000" w:rsidDel="00000000" w:rsidP="00000000" w:rsidRDefault="00000000" w14:paraId="00000596">
      <w:pPr>
        <w:numPr>
          <w:ilvl w:val="2"/>
          <w:numId w:val="25"/>
        </w:numPr>
        <w:spacing w:after="240" w:lineRule="auto"/>
        <w:ind w:left="720" w:hanging="720"/>
        <w:jc w:val="both"/>
        <w:rPr/>
      </w:pPr>
      <w:bookmarkStart w:name="_heading=h.jc92nn1lyckj" w:colFirst="0" w:colLast="0" w:id="383"/>
      <w:bookmarkEnd w:id="383"/>
      <w:r w:rsidRPr="00000000" w:rsidDel="00000000" w:rsidR="00000000">
        <w:rPr>
          <w:rtl w:val="0"/>
        </w:rPr>
        <w:t xml:space="preserve">The 360 Machine Learning Model was built to decrease false positive rate by considering historical alerts resolution as a probability of alert being positive or negative.</w:t>
      </w:r>
    </w:p>
    <w:p w:rsidRPr="00000000" w:rsidR="00000000" w:rsidDel="00000000" w:rsidP="00000000" w:rsidRDefault="00000000" w14:paraId="00000597">
      <w:pPr>
        <w:numPr>
          <w:ilvl w:val="2"/>
          <w:numId w:val="25"/>
        </w:numPr>
        <w:spacing w:after="240" w:lineRule="auto"/>
        <w:ind w:left="720" w:hanging="720"/>
        <w:jc w:val="both"/>
        <w:rPr/>
      </w:pPr>
      <w:bookmarkStart w:name="_heading=h.lk5ktlf3t2j" w:colFirst="0" w:colLast="0" w:id="384"/>
      <w:bookmarkEnd w:id="384"/>
      <w:r w:rsidRPr="00000000" w:rsidDel="00000000" w:rsidR="00000000">
        <w:rPr>
          <w:rtl w:val="0"/>
        </w:rPr>
        <w:t xml:space="preserve">Backtesting procedures and QA operations are executed on alerts finalized by our Machine Learning (ML) model, in order to ensure the reliability and effectiveness of our automated alert mechanisms. </w:t>
      </w:r>
    </w:p>
    <w:p w:rsidRPr="00000000" w:rsidR="00000000" w:rsidDel="00000000" w:rsidP="00000000" w:rsidRDefault="00000000" w14:paraId="00000598">
      <w:pPr>
        <w:numPr>
          <w:ilvl w:val="2"/>
          <w:numId w:val="25"/>
        </w:numPr>
        <w:spacing w:after="240" w:lineRule="auto"/>
        <w:ind w:left="720" w:hanging="720"/>
        <w:jc w:val="both"/>
        <w:rPr/>
      </w:pPr>
      <w:bookmarkStart w:name="_heading=h.274e89vdm48i" w:colFirst="0" w:colLast="0" w:id="385"/>
      <w:bookmarkEnd w:id="385"/>
      <w:r w:rsidRPr="00000000" w:rsidDel="00000000" w:rsidR="00000000">
        <w:rPr>
          <w:rtl w:val="0"/>
        </w:rPr>
        <w:t xml:space="preserve">The 360 Machine Learning Model is fully detailed within </w:t>
      </w:r>
      <w:hyperlink r:id="rId63">
        <w:r w:rsidRPr="00000000" w:rsidDel="00000000" w:rsidR="00000000">
          <w:rPr>
            <w:color w:val="0000ee"/>
            <w:u w:val="single"/>
            <w:rtl w:val="0"/>
          </w:rPr>
          <w:t xml:space="preserve">T079-202504 - New 360 ML Model (FINAL)</w:t>
        </w:r>
      </w:hyperlink>
      <w:r w:rsidRPr="00000000" w:rsidDel="00000000" w:rsidR="00000000">
        <w:rPr>
          <w:rtl w:val="0"/>
        </w:rPr>
        <w:t xml:space="preserve">. </w:t>
      </w:r>
    </w:p>
    <w:p w:rsidRPr="00000000" w:rsidR="00000000" w:rsidDel="00000000" w:rsidP="00000000" w:rsidRDefault="00000000" w14:paraId="00000599">
      <w:pPr>
        <w:numPr>
          <w:ilvl w:val="2"/>
          <w:numId w:val="25"/>
        </w:numPr>
        <w:spacing w:after="240" w:lineRule="auto"/>
        <w:ind w:left="720" w:hanging="720"/>
        <w:jc w:val="both"/>
        <w:rPr/>
      </w:pPr>
      <w:bookmarkStart w:name="_heading=h.8saf2jm1yn9d" w:colFirst="0" w:colLast="0" w:id="386"/>
      <w:bookmarkEnd w:id="386"/>
      <w:r w:rsidRPr="00000000" w:rsidDel="00000000" w:rsidR="00000000">
        <w:rPr>
          <w:rtl w:val="0"/>
        </w:rPr>
        <w:t xml:space="preserve">The Quality Assurance (QA) team incorporated an implementation of Fiat Transaction Monitoring Machine Learning (FTM ML) QA Process, beginning in May 2024. The sample size is evaluated considering the QA team's capacity and regulatory requirements. The full process is described in the </w:t>
      </w:r>
      <w:r w:rsidRPr="00000000" w:rsidDel="00000000" w:rsidR="00000000">
        <w:rPr>
          <w:rtl w:val="0"/>
        </w:rPr>
        <w:t xml:space="preserve">Off-Chain Transaction Monitoring Machine Learning Quality Assurance Procedures</w:t>
      </w:r>
      <w:r w:rsidRPr="00000000" w:rsidDel="00000000" w:rsidR="00000000">
        <w:rPr>
          <w:rtl w:val="0"/>
        </w:rPr>
        <w:t xml:space="preserve">.</w:t>
      </w:r>
    </w:p>
    <w:p w:rsidRPr="00000000" w:rsidR="00000000" w:rsidDel="00000000" w:rsidP="00000000" w:rsidRDefault="00000000" w14:paraId="0000059A">
      <w:pPr>
        <w:numPr>
          <w:ilvl w:val="2"/>
          <w:numId w:val="25"/>
        </w:numPr>
        <w:spacing w:after="240" w:lineRule="auto"/>
        <w:ind w:left="720" w:hanging="720"/>
        <w:jc w:val="both"/>
        <w:rPr/>
      </w:pPr>
      <w:bookmarkStart w:name="_heading=h.4ya2cdxddoa8" w:colFirst="0" w:colLast="0" w:id="387"/>
      <w:bookmarkEnd w:id="387"/>
      <w:r w:rsidRPr="00000000" w:rsidDel="00000000" w:rsidR="00000000">
        <w:rPr>
          <w:rtl w:val="0"/>
        </w:rPr>
        <w:t xml:space="preserve">The QA team  samples based on data from the previous month, with monthly results distributed at the end of each month or the beginning of the next. The FTM team will have a service level agreement (SLA) of 10 calendar days to either concur with or dispute the QA findings.</w:t>
      </w:r>
    </w:p>
    <w:p w:rsidRPr="00000000" w:rsidR="00000000" w:rsidDel="00000000" w:rsidP="00000000" w:rsidRDefault="00000000" w14:paraId="0000059B">
      <w:pPr>
        <w:numPr>
          <w:ilvl w:val="2"/>
          <w:numId w:val="25"/>
        </w:numPr>
        <w:spacing w:after="240" w:lineRule="auto"/>
        <w:ind w:left="720" w:hanging="720"/>
        <w:jc w:val="both"/>
        <w:rPr/>
      </w:pPr>
      <w:bookmarkStart w:name="_heading=h.8ftwqc8paobz" w:colFirst="0" w:colLast="0" w:id="388"/>
      <w:bookmarkEnd w:id="388"/>
      <w:r w:rsidRPr="00000000" w:rsidDel="00000000" w:rsidR="00000000">
        <w:rPr>
          <w:rtl w:val="0"/>
        </w:rPr>
        <w:t xml:space="preserve">The QA review methodology strictly </w:t>
      </w:r>
      <w:r w:rsidRPr="00000000" w:rsidDel="00000000" w:rsidR="00000000">
        <w:rPr>
          <w:rtl w:val="0"/>
        </w:rPr>
        <w:t xml:space="preserve">adheres</w:t>
      </w:r>
      <w:r w:rsidRPr="00000000" w:rsidDel="00000000" w:rsidR="00000000">
        <w:rPr>
          <w:rtl w:val="0"/>
        </w:rPr>
        <w:t xml:space="preserve"> to the existing FTM step-by-step guide. The process involves a simplified approach, incorporating a one-month look-back from the alerted transactions. Assessments will be made into the Law Enforcement (LE) request, ICR reports, submitted identification documents, nationality and residential status, age, and merchant status to acquire an overall user profile.</w:t>
      </w:r>
    </w:p>
    <w:p w:rsidRPr="00000000" w:rsidR="00000000" w:rsidDel="00000000" w:rsidP="00000000" w:rsidRDefault="00000000" w14:paraId="0000059C">
      <w:pPr>
        <w:numPr>
          <w:ilvl w:val="2"/>
          <w:numId w:val="25"/>
        </w:numPr>
        <w:spacing w:after="240" w:lineRule="auto"/>
        <w:ind w:left="720" w:hanging="720"/>
        <w:jc w:val="both"/>
        <w:rPr/>
      </w:pPr>
      <w:bookmarkStart w:name="_heading=h.dbld98jt8jth" w:colFirst="0" w:colLast="0" w:id="389"/>
      <w:bookmarkEnd w:id="389"/>
      <w:r w:rsidRPr="00000000" w:rsidDel="00000000" w:rsidR="00000000">
        <w:rPr>
          <w:rtl w:val="0"/>
        </w:rPr>
        <w:t xml:space="preserve">Thereafter, the User Asset Log is examined for the review period to assess whether the user profile aligns with the transaction pattern and volume, the alerted transaction pattern, overall transaction pattern, presence of any high-risk addresses, interactions with other parties, the volume of transactions with internal parties, existence of high-risk parties (e.g., those requested by LE, those with a ICR filed), and shared device users.</w:t>
      </w:r>
    </w:p>
    <w:p w:rsidRPr="00000000" w:rsidR="00000000" w:rsidDel="00000000" w:rsidP="00000000" w:rsidRDefault="00000000" w14:paraId="0000059D">
      <w:pPr>
        <w:numPr>
          <w:ilvl w:val="2"/>
          <w:numId w:val="25"/>
        </w:numPr>
        <w:spacing w:after="240" w:lineRule="auto"/>
        <w:ind w:left="720" w:hanging="720"/>
        <w:jc w:val="both"/>
        <w:rPr/>
      </w:pPr>
      <w:bookmarkStart w:name="_heading=h.auar2f1vonk7" w:colFirst="0" w:colLast="0" w:id="390"/>
      <w:bookmarkEnd w:id="390"/>
      <w:r w:rsidRPr="00000000" w:rsidDel="00000000" w:rsidR="00000000">
        <w:rPr>
          <w:rtl w:val="0"/>
        </w:rPr>
        <w:t xml:space="preserve">The review process is included in our QA test scripts as part of assessing the accuracy of ML closure. QA errors are classified as either 'N/A' or 'Material'. 'Material' refers to incorrect closure that necessitates a different disposition requiring manual review, while 'N/A' reflects a correctly handled ML disposition. </w:t>
      </w:r>
    </w:p>
    <w:p w:rsidRPr="00000000" w:rsidR="00000000" w:rsidDel="00000000" w:rsidP="00000000" w:rsidRDefault="00000000" w14:paraId="0000059E">
      <w:pPr>
        <w:pStyle w:val="Heading2"/>
        <w:numPr>
          <w:ilvl w:val="1"/>
          <w:numId w:val="25"/>
        </w:numPr>
        <w:spacing w:after="240" w:lineRule="auto"/>
        <w:ind w:left="720"/>
        <w:jc w:val="both"/>
        <w:rPr/>
      </w:pPr>
      <w:bookmarkStart w:name="_heading=h.mded4feufe5v" w:colFirst="0" w:colLast="0" w:id="391"/>
      <w:bookmarkEnd w:id="391"/>
      <w:r w:rsidRPr="00000000" w:rsidDel="00000000" w:rsidR="00000000">
        <w:rPr>
          <w:rFonts w:ascii="Arial" w:hAnsi="Arial" w:eastAsia="Arial" w:cs="Arial"/>
          <w:sz w:val="24"/>
          <w:szCs w:val="24"/>
          <w:rtl w:val="0"/>
        </w:rPr>
        <w:t xml:space="preserve">Incident Escalation Procedure</w:t>
      </w:r>
    </w:p>
    <w:p w:rsidRPr="00000000" w:rsidR="00000000" w:rsidDel="00000000" w:rsidP="00000000" w:rsidRDefault="00000000" w14:paraId="0000059F">
      <w:pPr>
        <w:numPr>
          <w:ilvl w:val="2"/>
          <w:numId w:val="25"/>
        </w:numPr>
        <w:spacing w:after="240" w:lineRule="auto"/>
        <w:ind w:left="720" w:hanging="720"/>
        <w:jc w:val="both"/>
        <w:rPr/>
      </w:pPr>
      <w:bookmarkStart w:name="_heading=h.z55x26hcevuy" w:colFirst="0" w:colLast="0" w:id="392"/>
      <w:bookmarkEnd w:id="392"/>
      <w:r w:rsidRPr="00000000" w:rsidDel="00000000" w:rsidR="00000000">
        <w:rPr>
          <w:rtl w:val="0"/>
        </w:rPr>
        <w:t xml:space="preserve">The Incident Response / Escalation Plan exists to ensure that we consistently handle any extraordinary events in an effective and efficient manner. By doing so we can minimize negative consequences to the organization. All Incidents, Post-Mortems, and Remediations are tracked within:</w:t>
      </w:r>
      <w:hyperlink r:id="rId64">
        <w:r w:rsidRPr="00000000" w:rsidDel="00000000" w:rsidR="00000000">
          <w:rPr>
            <w:rtl w:val="0"/>
          </w:rPr>
          <w:t xml:space="preserve"> </w:t>
        </w:r>
      </w:hyperlink>
      <w:hyperlink r:id="rId65">
        <w:r w:rsidRPr="00000000" w:rsidDel="00000000" w:rsidR="00000000">
          <w:rPr>
            <w:color w:val="0000ee"/>
            <w:u w:val="single"/>
            <w:rtl w:val="0"/>
          </w:rPr>
          <w:t xml:space="preserve">RC Register</w:t>
        </w:r>
      </w:hyperlink>
      <w:r w:rsidRPr="00000000" w:rsidDel="00000000" w:rsidR="00000000">
        <w:rPr>
          <w:rtl w:val="0"/>
        </w:rPr>
      </w:r>
    </w:p>
    <w:p w:rsidRPr="00000000" w:rsidR="00000000" w:rsidDel="00000000" w:rsidP="00000000" w:rsidRDefault="00000000" w14:paraId="000005A0">
      <w:pPr>
        <w:numPr>
          <w:ilvl w:val="2"/>
          <w:numId w:val="25"/>
        </w:numPr>
        <w:spacing w:after="240" w:lineRule="auto"/>
        <w:ind w:left="720" w:hanging="720"/>
        <w:jc w:val="both"/>
        <w:rPr/>
      </w:pPr>
      <w:bookmarkStart w:name="_heading=h.rxwtcfjw66a8" w:colFirst="0" w:colLast="0" w:id="393"/>
      <w:bookmarkEnd w:id="393"/>
      <w:r w:rsidRPr="00000000" w:rsidDel="00000000" w:rsidR="00000000">
        <w:rPr>
          <w:rtl w:val="0"/>
        </w:rPr>
        <w:t xml:space="preserve">Roles are assigned on a case-by-case basis and the breakdown below outlines the typical responsibilities:</w:t>
      </w:r>
    </w:p>
    <w:p w:rsidRPr="00000000" w:rsidR="00000000" w:rsidDel="00000000" w:rsidP="00000000" w:rsidRDefault="00000000" w14:paraId="000005A1">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Senior Management are available to support critical decisions</w:t>
      </w:r>
    </w:p>
    <w:p w:rsidRPr="00000000" w:rsidR="00000000" w:rsidDel="00000000" w:rsidP="00000000" w:rsidRDefault="00000000" w14:paraId="000005A2">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Incident Manager is responsible for having an oversight of the entire incident, keeping track of progress and ensuring updates are being made within the team and out of the wider business as required.</w:t>
      </w:r>
    </w:p>
    <w:p w:rsidRPr="00000000" w:rsidR="00000000" w:rsidDel="00000000" w:rsidP="00000000" w:rsidRDefault="00000000" w14:paraId="000005A3">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Technical Lead takes the lead of technical aspects of response and recovery </w:t>
      </w:r>
    </w:p>
    <w:p w:rsidRPr="00000000" w:rsidR="00000000" w:rsidDel="00000000" w:rsidP="00000000" w:rsidRDefault="00000000" w14:paraId="000005A4">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Investigators/Analysts/SMEs perform analysis and help to deliver on the actions required to remediate and recover from the incident. (May include third party resources) </w:t>
      </w:r>
    </w:p>
    <w:p w:rsidRPr="00000000" w:rsidR="00000000" w:rsidDel="00000000" w:rsidP="00000000" w:rsidRDefault="00000000" w14:paraId="000005A5">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IT &amp; Infrastructure play a critical role completing technical activities to contain and remediate issues in IT infrastructure </w:t>
      </w:r>
    </w:p>
    <w:p w:rsidRPr="00000000" w:rsidR="00000000" w:rsidDel="00000000" w:rsidP="00000000" w:rsidRDefault="00000000" w14:paraId="000005A6">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Other Departments Leads who get involved informally or technically into incident outcome</w:t>
      </w:r>
    </w:p>
    <w:p w:rsidRPr="00000000" w:rsidR="00000000" w:rsidDel="00000000" w:rsidP="00000000" w:rsidRDefault="00000000" w14:paraId="000005A7">
      <w:pPr>
        <w:numPr>
          <w:ilvl w:val="2"/>
          <w:numId w:val="25"/>
        </w:numPr>
        <w:spacing w:after="240" w:lineRule="auto"/>
        <w:ind w:left="720" w:hanging="720"/>
        <w:jc w:val="both"/>
        <w:rPr/>
      </w:pPr>
      <w:bookmarkStart w:name="_heading=h.engo98l696tr" w:colFirst="0" w:colLast="0" w:id="394"/>
      <w:bookmarkEnd w:id="394"/>
      <w:r w:rsidRPr="00000000" w:rsidDel="00000000" w:rsidR="00000000">
        <w:rPr>
          <w:rtl w:val="0"/>
        </w:rPr>
        <w:t xml:space="preserve">Overall coordination of the incident response process is the responsibility of the Incident Manager. They are responsible for establishing and maintaining the heartbeat of the incident, ensuring the stakeholders are kept abreast of relevant information in a timely manner, escalating the incident where appropriate, and reporting the outcomes.</w:t>
      </w:r>
    </w:p>
    <w:p w:rsidRPr="00000000" w:rsidR="00000000" w:rsidDel="00000000" w:rsidP="00000000" w:rsidRDefault="00000000" w14:paraId="000005A8">
      <w:pPr>
        <w:numPr>
          <w:ilvl w:val="2"/>
          <w:numId w:val="25"/>
        </w:numPr>
        <w:spacing w:after="240" w:lineRule="auto"/>
        <w:ind w:left="720" w:hanging="720"/>
        <w:jc w:val="both"/>
        <w:rPr/>
      </w:pPr>
      <w:bookmarkStart w:name="_heading=h.2f8sob7jst65" w:colFirst="0" w:colLast="0" w:id="395"/>
      <w:bookmarkEnd w:id="395"/>
      <w:r w:rsidRPr="00000000" w:rsidDel="00000000" w:rsidR="00000000">
        <w:rPr>
          <w:rtl w:val="0"/>
        </w:rPr>
        <w:t xml:space="preserve">When an incident is identified, Incident Manager is assigned according to the </w:t>
      </w:r>
      <w:hyperlink r:id="rId66">
        <w:r w:rsidRPr="00000000" w:rsidDel="00000000" w:rsidR="00000000">
          <w:rPr>
            <w:color w:val="0563c1"/>
            <w:u w:val="single"/>
            <w:rtl w:val="0"/>
          </w:rPr>
          <w:t xml:space="preserve">Incident Escalation Document</w:t>
        </w:r>
      </w:hyperlink>
      <w:r w:rsidRPr="00000000" w:rsidDel="00000000" w:rsidR="00000000">
        <w:rPr>
          <w:rtl w:val="0"/>
        </w:rPr>
        <w:t xml:space="preserve">. Their primary activities include </w:t>
      </w:r>
    </w:p>
    <w:p w:rsidRPr="00000000" w:rsidR="00000000" w:rsidDel="00000000" w:rsidP="00000000" w:rsidRDefault="00000000" w14:paraId="000005A9">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Identifying, tracking and correlating all incident findings. For example, if the system goes down and/or alerts are not available on HD CMT, the plan would include to identify when the incident started, to find the reason and track the full population of alerts which are impacted by an incident. All communications, relevant information and decision points are to be documented. </w:t>
      </w:r>
    </w:p>
    <w:p w:rsidRPr="00000000" w:rsidR="00000000" w:rsidDel="00000000" w:rsidP="00000000" w:rsidRDefault="00000000" w14:paraId="000005AA">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Mobilizing a response learns to fulfill the necessary roles and responsibilities. At this stage Incident Manager would identify Teams which will be included into the remediation process and Stakeholders which need to be notified (for example, MLROs of countries for affected users). At this stage the Incident Manager also needs to estimate the impact of the incident. Serious incidents to be escalated to senior management</w:t>
      </w:r>
    </w:p>
    <w:p w:rsidRPr="00000000" w:rsidR="00000000" w:rsidDel="00000000" w:rsidP="00000000" w:rsidRDefault="00000000" w14:paraId="000005AB">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Developing remediation/action plan to effectively handle the process</w:t>
      </w:r>
    </w:p>
    <w:p w:rsidRPr="00000000" w:rsidR="00000000" w:rsidDel="00000000" w:rsidP="00000000" w:rsidRDefault="00000000" w14:paraId="000005AC">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Arranging of regular update meetings or calls with involvement of relevant teams</w:t>
      </w:r>
    </w:p>
    <w:p w:rsidRPr="00000000" w:rsidR="00000000" w:rsidDel="00000000" w:rsidP="00000000" w:rsidRDefault="00000000" w14:paraId="000005AD">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Ensuring the incident is communicated appropriately (to the team, wider business, other stakeholders)</w:t>
      </w:r>
    </w:p>
    <w:p w:rsidRPr="00000000" w:rsidR="00000000" w:rsidDel="00000000" w:rsidP="00000000" w:rsidRDefault="00000000" w14:paraId="000005AE">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Ensuring that the full incident lifecycle is covered from initial discovery through to close down</w:t>
      </w:r>
    </w:p>
    <w:p w:rsidRPr="00000000" w:rsidR="00000000" w:rsidDel="00000000" w:rsidP="00000000" w:rsidRDefault="00000000" w14:paraId="000005AF">
      <w:pPr>
        <w:numPr>
          <w:ilvl w:val="2"/>
          <w:numId w:val="25"/>
        </w:numPr>
        <w:spacing w:after="240" w:lineRule="auto"/>
        <w:ind w:left="720" w:hanging="720"/>
        <w:jc w:val="both"/>
        <w:rPr/>
      </w:pPr>
      <w:bookmarkStart w:name="_heading=h.okj6p4iq8hsl" w:colFirst="0" w:colLast="0" w:id="396"/>
      <w:bookmarkEnd w:id="396"/>
      <w:r w:rsidRPr="00000000" w:rsidDel="00000000" w:rsidR="00000000">
        <w:rPr>
          <w:rtl w:val="0"/>
        </w:rPr>
        <w:t xml:space="preserve">In the event that an incident affects the Transaction Screening workflow, specifically the Elliptic Screening API, Blocktracer, Binance’s Internal Blockchain Analytics Tool, will continue to operate as standard, and trigger alerts as necessary.</w:t>
      </w:r>
    </w:p>
    <w:p w:rsidRPr="00000000" w:rsidR="00000000" w:rsidDel="00000000" w:rsidP="00000000" w:rsidRDefault="00000000" w14:paraId="000005B0">
      <w:pPr>
        <w:numPr>
          <w:ilvl w:val="2"/>
          <w:numId w:val="25"/>
        </w:numPr>
        <w:spacing w:after="240" w:lineRule="auto"/>
        <w:ind w:left="720" w:hanging="720"/>
        <w:jc w:val="both"/>
        <w:rPr/>
      </w:pPr>
      <w:bookmarkStart w:name="_heading=h.rcx35lsgft7m" w:colFirst="0" w:colLast="0" w:id="397"/>
      <w:bookmarkEnd w:id="397"/>
      <w:r w:rsidRPr="00000000" w:rsidDel="00000000" w:rsidR="00000000">
        <w:rPr>
          <w:rtl w:val="0"/>
        </w:rPr>
        <w:t xml:space="preserve">Post-incident, all Transactions will be re-screened by Elliptic to ensure adequate and consistent coverage of transactional risk.</w:t>
      </w:r>
    </w:p>
    <w:p w:rsidRPr="00000000" w:rsidR="00000000" w:rsidDel="00000000" w:rsidP="00000000" w:rsidRDefault="00000000" w14:paraId="000005B1">
      <w:pPr>
        <w:pStyle w:val="Heading1"/>
        <w:keepNext w:val="1"/>
        <w:keepLines w:val="1"/>
        <w:pageBreakBefore w:val="0"/>
        <w:widowControl w:val="1"/>
        <w:numPr>
          <w:ilvl w:val="0"/>
          <w:numId w:val="25"/>
        </w:numPr>
        <w:pBdr>
          <w:top w:val="nil" w:sz="0" w:space="0"/>
          <w:left w:val="nil" w:sz="0" w:space="0"/>
          <w:bottom w:val="nil" w:sz="0" w:space="0"/>
          <w:right w:val="nil" w:sz="0" w:space="0"/>
          <w:between w:val="nil" w:sz="0" w:space="0"/>
        </w:pBdr>
        <w:shd w:val="clear" w:fill="auto"/>
        <w:spacing w:before="480" w:after="240" w:line="276" w:lineRule="auto"/>
        <w:ind w:left="720" w:right="0" w:hanging="720"/>
        <w:jc w:val="left"/>
        <w:rPr/>
      </w:pPr>
      <w:bookmarkStart w:name="_heading=h.jctwm1np0z12" w:colFirst="0" w:colLast="0" w:id="398"/>
      <w:bookmarkEnd w:id="398"/>
      <w:r w:rsidRPr="00000000" w:rsidDel="00000000" w:rsidR="00000000">
        <w:rPr>
          <w:rFonts w:ascii="Arial" w:hAnsi="Arial" w:eastAsia="Arial" w:cs="Arial"/>
          <w:smallCaps w:val="1"/>
          <w:sz w:val="28"/>
          <w:szCs w:val="28"/>
          <w:rtl w:val="0"/>
        </w:rPr>
        <w:t xml:space="preserve">TRANSACTION MONITORING RULE CALIBRATION PROCEDURE</w:t>
      </w:r>
    </w:p>
    <w:p w:rsidRPr="00000000" w:rsidR="00000000" w:rsidDel="00000000" w:rsidP="00000000" w:rsidRDefault="00000000" w14:paraId="000005B2">
      <w:pPr>
        <w:numPr>
          <w:ilvl w:val="2"/>
          <w:numId w:val="25"/>
        </w:numPr>
        <w:spacing w:after="240" w:lineRule="auto"/>
        <w:ind w:left="720" w:hanging="720"/>
        <w:jc w:val="both"/>
        <w:rPr/>
      </w:pPr>
      <w:bookmarkStart w:name="_heading=h.prnu64iwzqjn" w:colFirst="0" w:colLast="0" w:id="399"/>
      <w:bookmarkEnd w:id="399"/>
      <w:r w:rsidRPr="00000000" w:rsidDel="00000000" w:rsidR="00000000">
        <w:rPr>
          <w:rtl w:val="0"/>
        </w:rPr>
        <w:t xml:space="preserve">The main purpose of the Transaction Monitoring Rule Calibration Procedure (“Rule Calibration Process”) is to document the end-to-end process that:</w:t>
      </w:r>
    </w:p>
    <w:p w:rsidRPr="00000000" w:rsidR="00000000" w:rsidDel="00000000" w:rsidP="00000000" w:rsidRDefault="00000000" w14:paraId="000005B3">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assesses a given transaction monitoring (TM) rule in its current state, and</w:t>
      </w:r>
    </w:p>
    <w:p w:rsidRPr="00000000" w:rsidR="00000000" w:rsidDel="00000000" w:rsidP="00000000" w:rsidRDefault="00000000" w14:paraId="000005B4">
      <w:pPr>
        <w:keepNext w:val="0"/>
        <w:keepLines w:val="0"/>
        <w:pageBreakBefore w:val="0"/>
        <w:widowControl w:val="1"/>
        <w:numPr>
          <w:ilvl w:val="0"/>
          <w:numId w:val="28"/>
        </w:numPr>
        <w:pBdr>
          <w:top w:val="nil" w:sz="0" w:space="0"/>
          <w:left w:val="nil" w:sz="0" w:space="0"/>
          <w:bottom w:val="nil" w:sz="0" w:space="0"/>
          <w:right w:val="nil" w:sz="0" w:space="0"/>
          <w:between w:val="nil" w:sz="0" w:space="0"/>
        </w:pBdr>
        <w:shd w:val="clear" w:fill="auto"/>
        <w:spacing w:before="0" w:after="24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identifies, specifies and implements the settings (rule logic, parameter values and/or filters) necessary for the FC rule to perform (more) effectively in addressing the Financial Crime risk(s) to which it is aligned; considering both the rule’s ability to detect genuine financial crime behaviour (true positives) and its avoidance of false positives.</w:t>
      </w:r>
    </w:p>
    <w:p w:rsidRPr="00000000" w:rsidR="00000000" w:rsidDel="00000000" w:rsidP="00000000" w:rsidRDefault="00000000" w14:paraId="000005B5">
      <w:pPr>
        <w:numPr>
          <w:ilvl w:val="2"/>
          <w:numId w:val="25"/>
        </w:numPr>
        <w:spacing w:after="240" w:lineRule="auto"/>
        <w:ind w:left="720" w:hanging="720"/>
        <w:jc w:val="both"/>
        <w:rPr/>
      </w:pPr>
      <w:bookmarkStart w:name="_heading=h.oxf2ibfllbcg" w:colFirst="0" w:colLast="0" w:id="400"/>
      <w:bookmarkEnd w:id="400"/>
      <w:r w:rsidRPr="00000000" w:rsidDel="00000000" w:rsidR="00000000">
        <w:rPr>
          <w:rtl w:val="0"/>
        </w:rPr>
        <w:t xml:space="preserve">The Rule Calibration Process is documented in the End-to-End Transaction Rule Calibration Standard Operating Procedure. The Rule Calibration Process aims to produce effective, up-to-date rules aligned with current market conditions and regulatory frameworks. It includes comprehensive documentation to ensure a complete audit trail of the calibration process, decisions, and changes. The procedure provides the Systems and Controls Team with a framework and step-by-step guidance for calibrating TM rules. It applies to all rules used by the team for transaction monitoring, whether implemented in-house (e.g., Risk Engine) or in third-party systems (e.g., Elliptic via API). It is relevant to all Systems and Controls team members involved in rule design, data analysis, testing, and implementation.</w:t>
      </w:r>
    </w:p>
    <w:p w:rsidRPr="00000000" w:rsidR="00000000" w:rsidDel="00000000" w:rsidP="00000000" w:rsidRDefault="00000000" w14:paraId="000005B6">
      <w:pPr>
        <w:pStyle w:val="Heading1"/>
        <w:keepNext w:val="1"/>
        <w:keepLines w:val="1"/>
        <w:pageBreakBefore w:val="0"/>
        <w:widowControl w:val="1"/>
        <w:numPr>
          <w:ilvl w:val="0"/>
          <w:numId w:val="25"/>
        </w:numPr>
        <w:pBdr>
          <w:top w:val="nil" w:sz="0" w:space="0"/>
          <w:left w:val="nil" w:sz="0" w:space="0"/>
          <w:bottom w:val="nil" w:sz="0" w:space="0"/>
          <w:right w:val="nil" w:sz="0" w:space="0"/>
          <w:between w:val="nil" w:sz="0" w:space="0"/>
        </w:pBdr>
        <w:shd w:val="clear" w:fill="auto"/>
        <w:spacing w:before="480" w:after="240" w:line="276" w:lineRule="auto"/>
        <w:ind w:left="720" w:right="0" w:hanging="720"/>
        <w:jc w:val="both"/>
        <w:rPr/>
      </w:pPr>
      <w:bookmarkStart w:name="_heading=h.kgvud9flzjr2" w:colFirst="0" w:colLast="0" w:id="401"/>
      <w:bookmarkEnd w:id="401"/>
      <w:r w:rsidRPr="00000000" w:rsidDel="00000000" w:rsidR="00000000">
        <w:rPr>
          <w:rFonts w:ascii="Arial" w:hAnsi="Arial" w:eastAsia="Arial" w:cs="Arial"/>
          <w:smallCaps w:val="1"/>
          <w:sz w:val="28"/>
          <w:szCs w:val="28"/>
          <w:rtl w:val="0"/>
        </w:rPr>
        <w:t xml:space="preserve">COMPLIANCE INTELLIGENCE FUSION CENTRE (CIFC)</w:t>
      </w:r>
    </w:p>
    <w:p w:rsidRPr="00000000" w:rsidR="00000000" w:rsidDel="00000000" w:rsidP="00000000" w:rsidRDefault="00000000" w14:paraId="000005B7">
      <w:pPr>
        <w:pStyle w:val="Heading2"/>
        <w:numPr>
          <w:ilvl w:val="1"/>
          <w:numId w:val="25"/>
        </w:numPr>
        <w:spacing w:after="240" w:lineRule="auto"/>
        <w:ind w:left="720"/>
        <w:jc w:val="both"/>
        <w:rPr/>
      </w:pPr>
      <w:bookmarkStart w:name="_heading=h.4ie3nmc9sr1w" w:colFirst="0" w:colLast="0" w:id="402"/>
      <w:bookmarkEnd w:id="402"/>
      <w:r w:rsidRPr="00000000" w:rsidDel="00000000" w:rsidR="00000000">
        <w:rPr>
          <w:rFonts w:ascii="Arial" w:hAnsi="Arial" w:eastAsia="Arial" w:cs="Arial"/>
          <w:sz w:val="24"/>
          <w:szCs w:val="24"/>
          <w:rtl w:val="0"/>
        </w:rPr>
        <w:t xml:space="preserve">Overview</w:t>
      </w:r>
    </w:p>
    <w:p w:rsidRPr="00000000" w:rsidR="00000000" w:rsidDel="00000000" w:rsidP="00000000" w:rsidRDefault="00000000" w14:paraId="000005B8">
      <w:pPr>
        <w:numPr>
          <w:ilvl w:val="2"/>
          <w:numId w:val="25"/>
        </w:numPr>
        <w:spacing w:after="240" w:lineRule="auto"/>
        <w:ind w:left="720" w:hanging="720"/>
        <w:jc w:val="both"/>
        <w:rPr/>
      </w:pPr>
      <w:bookmarkStart w:name="_heading=h.89igriupf7vu" w:colFirst="0" w:colLast="0" w:id="403"/>
      <w:bookmarkEnd w:id="403"/>
      <w:r w:rsidRPr="00000000" w:rsidDel="00000000" w:rsidR="00000000">
        <w:rPr>
          <w:rtl w:val="0"/>
        </w:rPr>
        <w:t xml:space="preserve">As a part of the larger Transaction Monitoring (TM) and Compliance Team, the Compliance Intelligence Fusion Center (CIFC) investigates sanctions escalations at the L2 and L3 levels. These alerts, documented through internal ICRs, are investigated and documented in-line with the thorough guidelines found in the </w:t>
      </w:r>
      <w:hyperlink r:id="rId67">
        <w:r w:rsidRPr="00000000" w:rsidDel="00000000" w:rsidR="00000000">
          <w:rPr>
            <w:color w:val="1155cc"/>
            <w:u w:val="single"/>
            <w:rtl w:val="0"/>
          </w:rPr>
          <w:t xml:space="preserve">Global Sanctions Investigations Standard Operating Procedure</w:t>
        </w:r>
      </w:hyperlink>
      <w:r w:rsidRPr="00000000" w:rsidDel="00000000" w:rsidR="00000000">
        <w:rPr>
          <w:rtl w:val="0"/>
        </w:rPr>
        <w:t xml:space="preserve">. </w:t>
      </w:r>
      <w:r w:rsidRPr="00000000" w:rsidDel="00000000" w:rsidR="00000000">
        <w:rPr>
          <w:rtl w:val="0"/>
        </w:rPr>
      </w:r>
    </w:p>
    <w:p w:rsidRPr="00000000" w:rsidR="00000000" w:rsidDel="00000000" w:rsidP="00000000" w:rsidRDefault="00000000" w14:paraId="000005B9">
      <w:pPr>
        <w:numPr>
          <w:ilvl w:val="2"/>
          <w:numId w:val="25"/>
        </w:numPr>
        <w:spacing w:after="240" w:lineRule="auto"/>
        <w:ind w:left="720" w:hanging="720"/>
        <w:jc w:val="both"/>
        <w:rPr/>
      </w:pPr>
      <w:bookmarkStart w:name="_heading=h.uqgcwvdnpbao" w:colFirst="0" w:colLast="0" w:id="404"/>
      <w:bookmarkEnd w:id="404"/>
      <w:r w:rsidRPr="00000000" w:rsidDel="00000000" w:rsidR="00000000">
        <w:rPr>
          <w:rtl w:val="0"/>
        </w:rPr>
        <w:t xml:space="preserve">In addition to L2/L3 sanctions investigations, the CIFC Team oversees the urgently escalated sanctions case workflow, and is the primary stakeholder for immediate name screening related to regulatory updates and designations, threat intelligence aggregation and proactive response, and internal address attribution in Blocktracer, Binance’s in-house TM alert and greylisting system. Members of the CIFC Team also serve as Binance’s subject matter experts on matters related to open-source intelligence. </w:t>
      </w:r>
    </w:p>
    <w:tbl>
      <w:tblPr>
        <w:tblStyle w:val="Table26"/>
        <w:tblW w:w="901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705"/>
        <w:gridCol w:w="7311"/>
        <w:tblGridChange w:id="0">
          <w:tblGrid>
            <w:gridCol w:w="1705"/>
            <w:gridCol w:w="7311"/>
          </w:tblGrid>
        </w:tblGridChange>
      </w:tblGrid>
      <w:tr>
        <w:trPr>
          <w:cantSplit w:val="0"/>
          <w:trHeight w:val="388.5546875" w:hRule="atLeast"/>
          <w:tblHeader w:val="0"/>
        </w:trPr>
        <w:tc>
          <w:tcPr>
            <w:shd w:val="clear" w:fill="f7cbac"/>
          </w:tcPr>
          <w:p w:rsidRPr="00000000" w:rsidR="00000000" w:rsidDel="00000000" w:rsidP="00000000" w:rsidRDefault="00000000" w14:paraId="000005BA">
            <w:pPr>
              <w:spacing w:line="276" w:lineRule="auto"/>
              <w:jc w:val="both"/>
              <w:rPr>
                <w:b w:val="1"/>
                <w:bCs w:val="1"/>
              </w:rPr>
            </w:pPr>
            <w:bookmarkStart w:name="_heading=h.f4oguhivzpaf" w:colFirst="0" w:colLast="0" w:id="405"/>
            <w:bookmarkEnd w:id="405"/>
            <w:r w:rsidRPr="00000000" w:rsidDel="00000000" w:rsidR="00000000">
              <w:rPr>
                <w:b w:val="1"/>
                <w:bCs w:val="1"/>
                <w:rtl w:val="0"/>
              </w:rPr>
              <w:t xml:space="preserve">Investigations</w:t>
            </w:r>
          </w:p>
        </w:tc>
        <w:tc>
          <w:tcPr>
            <w:shd w:val="clear" w:fill="f7cbac"/>
          </w:tcPr>
          <w:p w:rsidRPr="00000000" w:rsidR="00000000" w:rsidDel="00000000" w:rsidP="00000000" w:rsidRDefault="00000000" w14:paraId="000005BB">
            <w:pPr>
              <w:spacing w:line="276" w:lineRule="auto"/>
              <w:jc w:val="both"/>
              <w:rPr>
                <w:b w:val="1"/>
                <w:bCs w:val="1"/>
              </w:rPr>
            </w:pPr>
            <w:bookmarkStart w:name="_heading=h.opkunaw97xfk" w:colFirst="0" w:colLast="0" w:id="406"/>
            <w:bookmarkEnd w:id="406"/>
            <w:r w:rsidRPr="00000000" w:rsidDel="00000000" w:rsidR="00000000">
              <w:rPr>
                <w:b w:val="1"/>
                <w:bCs w:val="1"/>
                <w:rtl w:val="0"/>
              </w:rPr>
              <w:t xml:space="preserve">Description</w:t>
            </w:r>
          </w:p>
        </w:tc>
      </w:tr>
      <w:tr>
        <w:trPr>
          <w:cantSplit w:val="0"/>
          <w:tblHeader w:val="0"/>
        </w:trPr>
        <w:tc>
          <w:tcPr/>
          <w:p w:rsidRPr="00000000" w:rsidR="00000000" w:rsidDel="00000000" w:rsidP="00000000" w:rsidRDefault="00000000" w14:paraId="000005BC">
            <w:pPr>
              <w:spacing w:line="276" w:lineRule="auto"/>
              <w:rPr/>
            </w:pPr>
            <w:bookmarkStart w:name="_heading=h.p0nbgadht3q2" w:colFirst="0" w:colLast="0" w:id="407"/>
            <w:bookmarkEnd w:id="407"/>
            <w:r w:rsidRPr="00000000" w:rsidDel="00000000" w:rsidR="00000000">
              <w:rPr>
                <w:b w:val="1"/>
                <w:bCs w:val="1"/>
                <w:rtl w:val="0"/>
              </w:rPr>
              <w:t xml:space="preserve">L2 Sanctions Investigations</w:t>
            </w:r>
            <w:r w:rsidRPr="00000000" w:rsidDel="00000000" w:rsidR="00000000">
              <w:rPr>
                <w:rtl w:val="0"/>
              </w:rPr>
            </w:r>
          </w:p>
        </w:tc>
        <w:tc>
          <w:tcPr/>
          <w:p w:rsidRPr="00000000" w:rsidR="00000000" w:rsidDel="00000000" w:rsidP="00000000" w:rsidRDefault="00000000" w14:paraId="000005BD">
            <w:pPr>
              <w:spacing w:line="276" w:lineRule="auto"/>
              <w:jc w:val="both"/>
              <w:rPr/>
            </w:pPr>
            <w:bookmarkStart w:name="_heading=h.s2cdhc5um5by" w:colFirst="0" w:colLast="0" w:id="408"/>
            <w:bookmarkEnd w:id="408"/>
            <w:r w:rsidRPr="00000000" w:rsidDel="00000000" w:rsidR="00000000">
              <w:rPr>
                <w:rtl w:val="0"/>
              </w:rPr>
              <w:t xml:space="preserve">An L2 investigation entails a review of TM alerts escalated by the L1 Team. L2 reviewers are to ascertain the validity of L1 escalations and then determine a subsequent course of action.</w:t>
            </w:r>
          </w:p>
        </w:tc>
      </w:tr>
      <w:tr>
        <w:trPr>
          <w:cantSplit w:val="0"/>
          <w:tblHeader w:val="0"/>
        </w:trPr>
        <w:tc>
          <w:tcPr/>
          <w:p w:rsidRPr="00000000" w:rsidR="00000000" w:rsidDel="00000000" w:rsidP="00000000" w:rsidRDefault="00000000" w14:paraId="000005BE">
            <w:pPr>
              <w:spacing w:line="276" w:lineRule="auto"/>
              <w:rPr/>
            </w:pPr>
            <w:bookmarkStart w:name="_heading=h.9h99dojhcabt" w:colFirst="0" w:colLast="0" w:id="409"/>
            <w:bookmarkEnd w:id="409"/>
            <w:r w:rsidRPr="00000000" w:rsidDel="00000000" w:rsidR="00000000">
              <w:rPr>
                <w:b w:val="1"/>
                <w:bCs w:val="1"/>
                <w:rtl w:val="0"/>
              </w:rPr>
              <w:t xml:space="preserve">L3 Sanctions Investigations</w:t>
            </w:r>
            <w:r w:rsidRPr="00000000" w:rsidDel="00000000" w:rsidR="00000000">
              <w:rPr>
                <w:rtl w:val="0"/>
              </w:rPr>
            </w:r>
          </w:p>
        </w:tc>
        <w:tc>
          <w:tcPr/>
          <w:p w:rsidRPr="00000000" w:rsidR="00000000" w:rsidDel="00000000" w:rsidP="00000000" w:rsidRDefault="00000000" w14:paraId="000005BF">
            <w:pPr>
              <w:spacing w:line="276" w:lineRule="auto"/>
              <w:jc w:val="both"/>
              <w:rPr/>
            </w:pPr>
            <w:bookmarkStart w:name="_heading=h.wfcj41egdrlx" w:colFirst="0" w:colLast="0" w:id="410"/>
            <w:bookmarkEnd w:id="410"/>
            <w:r w:rsidRPr="00000000" w:rsidDel="00000000" w:rsidR="00000000">
              <w:rPr>
                <w:rtl w:val="0"/>
              </w:rPr>
              <w:t xml:space="preserve">Cases are escalated to the L3 level in cases where the L2 reviewer could not adjudicate on the basis of the alerts, as outlined by the Escalation Matrix. Unlike investigations done at the L2 level, investigations at the L3 level require additional investigative procedures and are completed holistically, accounting for the totality of the user’s transaction history and requests for information (RFIs) where applicable.</w:t>
            </w:r>
          </w:p>
        </w:tc>
      </w:tr>
      <w:tr>
        <w:trPr>
          <w:cantSplit w:val="0"/>
          <w:tblHeader w:val="0"/>
        </w:trPr>
        <w:tc>
          <w:tcPr/>
          <w:p w:rsidRPr="00000000" w:rsidR="00000000" w:rsidDel="00000000" w:rsidP="00000000" w:rsidRDefault="00000000" w14:paraId="000005C0">
            <w:pPr>
              <w:spacing w:line="276" w:lineRule="auto"/>
              <w:rPr/>
            </w:pPr>
            <w:bookmarkStart w:name="_heading=h.op2s9sed0n7d" w:colFirst="0" w:colLast="0" w:id="411"/>
            <w:bookmarkEnd w:id="411"/>
            <w:r w:rsidRPr="00000000" w:rsidDel="00000000" w:rsidR="00000000">
              <w:rPr>
                <w:b w:val="1"/>
                <w:bCs w:val="1"/>
                <w:rtl w:val="0"/>
              </w:rPr>
              <w:t xml:space="preserve">Investigations on Request</w:t>
            </w:r>
            <w:r w:rsidRPr="00000000" w:rsidDel="00000000" w:rsidR="00000000">
              <w:rPr>
                <w:rtl w:val="0"/>
              </w:rPr>
            </w:r>
          </w:p>
        </w:tc>
        <w:tc>
          <w:tcPr/>
          <w:p w:rsidRPr="00000000" w:rsidR="00000000" w:rsidDel="00000000" w:rsidP="00000000" w:rsidRDefault="00000000" w14:paraId="000005C1">
            <w:pPr>
              <w:spacing w:line="276" w:lineRule="auto"/>
              <w:jc w:val="both"/>
              <w:rPr/>
            </w:pPr>
            <w:bookmarkStart w:name="_heading=h.xjlnes9t0l6j" w:colFirst="0" w:colLast="0" w:id="412"/>
            <w:bookmarkEnd w:id="412"/>
            <w:r w:rsidRPr="00000000" w:rsidDel="00000000" w:rsidR="00000000">
              <w:rPr>
                <w:rtl w:val="0"/>
              </w:rPr>
              <w:t xml:space="preserve">If requested by another unit within Binance or a specific jurisdiction‘s MLRO team, the CIFC can mobilize and direct resources at a moment’s notice to high risk reviews as directed by the requesting team and adjudicate cases and clients as referred by the requesting team. Adjudications can be completed by CIFC for any typology or referred to other units for further review.</w:t>
            </w:r>
          </w:p>
        </w:tc>
      </w:tr>
    </w:tbl>
    <w:p w:rsidRPr="00000000" w:rsidR="00000000" w:rsidDel="00000000" w:rsidP="00000000" w:rsidRDefault="00000000" w14:paraId="000005C2">
      <w:pPr>
        <w:pStyle w:val="Heading2"/>
        <w:numPr>
          <w:ilvl w:val="1"/>
          <w:numId w:val="25"/>
        </w:numPr>
        <w:spacing w:before="200" w:after="240" w:lineRule="auto"/>
        <w:ind w:left="720"/>
        <w:jc w:val="both"/>
        <w:rPr/>
      </w:pPr>
      <w:bookmarkStart w:name="_heading=h.yccm369f3uvq" w:colFirst="0" w:colLast="0" w:id="413"/>
      <w:bookmarkEnd w:id="413"/>
      <w:r w:rsidRPr="00000000" w:rsidDel="00000000" w:rsidR="00000000">
        <w:rPr>
          <w:rFonts w:ascii="Arial" w:hAnsi="Arial" w:eastAsia="Arial" w:cs="Arial"/>
          <w:sz w:val="24"/>
          <w:szCs w:val="24"/>
          <w:rtl w:val="0"/>
        </w:rPr>
        <w:t xml:space="preserve">Sanctions List Name Screening</w:t>
      </w:r>
    </w:p>
    <w:p w:rsidRPr="00000000" w:rsidR="00000000" w:rsidDel="00000000" w:rsidP="00000000" w:rsidRDefault="00000000" w14:paraId="000005C3">
      <w:pPr>
        <w:numPr>
          <w:ilvl w:val="2"/>
          <w:numId w:val="25"/>
        </w:numPr>
        <w:spacing w:after="240" w:lineRule="auto"/>
        <w:ind w:left="720" w:hanging="720"/>
        <w:jc w:val="both"/>
        <w:rPr/>
      </w:pPr>
      <w:bookmarkStart w:name="_heading=h.jl91vhrp1ndy" w:colFirst="0" w:colLast="0" w:id="414"/>
      <w:bookmarkEnd w:id="414"/>
      <w:r w:rsidRPr="00000000" w:rsidDel="00000000" w:rsidR="00000000">
        <w:rPr>
          <w:rtl w:val="0"/>
        </w:rPr>
        <w:t xml:space="preserve">The CIFC Team is the primary stakeholder for immediate internal name screening related to regulatory updates and designations published by the following sanctions regimes: OFAC (US), OFSI (UK), EU, UN, and GAC (Canada). This is to mitigate immediate risk of potential violations upon namelist updates. </w:t>
      </w:r>
    </w:p>
    <w:p w:rsidRPr="00000000" w:rsidR="00000000" w:rsidDel="00000000" w:rsidP="00000000" w:rsidRDefault="00000000" w14:paraId="000005C4">
      <w:pPr>
        <w:numPr>
          <w:ilvl w:val="2"/>
          <w:numId w:val="25"/>
        </w:numPr>
        <w:spacing w:after="240" w:lineRule="auto"/>
        <w:ind w:left="720" w:hanging="720"/>
        <w:jc w:val="both"/>
        <w:rPr/>
      </w:pPr>
      <w:bookmarkStart w:name="_heading=h.dq15rzd5qejo" w:colFirst="0" w:colLast="0" w:id="415"/>
      <w:bookmarkEnd w:id="415"/>
      <w:r w:rsidRPr="00000000" w:rsidDel="00000000" w:rsidR="00000000">
        <w:rPr>
          <w:rtl w:val="0"/>
        </w:rPr>
        <w:t xml:space="preserve">In cases where cryptocurrency address(es) are sanctioned, the CIFC Team reviews the address(es), documents any internal transactions with, or ownership of the address(es) in an internal ICR, and adds the address(es) to Blocktracer, in line with the Procedure and </w:t>
      </w:r>
      <w:r w:rsidRPr="00000000" w:rsidDel="00000000" w:rsidR="00000000">
        <w:rPr>
          <w:rtl w:val="0"/>
        </w:rPr>
        <w:t xml:space="preserve">Global Sanctions Operations Framework</w:t>
      </w:r>
      <w:r w:rsidRPr="00000000" w:rsidDel="00000000" w:rsidR="00000000">
        <w:rPr>
          <w:rtl w:val="0"/>
        </w:rPr>
        <w:t xml:space="preserve">.</w:t>
      </w:r>
    </w:p>
    <w:p w:rsidRPr="00000000" w:rsidR="00000000" w:rsidDel="00000000" w:rsidP="00000000" w:rsidRDefault="00000000" w14:paraId="000005C5">
      <w:pPr>
        <w:pStyle w:val="Heading2"/>
        <w:numPr>
          <w:ilvl w:val="1"/>
          <w:numId w:val="25"/>
        </w:numPr>
        <w:spacing w:after="240" w:lineRule="auto"/>
        <w:ind w:left="720"/>
        <w:jc w:val="both"/>
        <w:rPr/>
      </w:pPr>
      <w:bookmarkStart w:name="_heading=h.jhvvw0qna3hp" w:colFirst="0" w:colLast="0" w:id="416"/>
      <w:bookmarkEnd w:id="416"/>
      <w:r w:rsidRPr="00000000" w:rsidDel="00000000" w:rsidR="00000000">
        <w:rPr>
          <w:rFonts w:ascii="Arial" w:hAnsi="Arial" w:eastAsia="Arial" w:cs="Arial"/>
          <w:sz w:val="24"/>
          <w:szCs w:val="24"/>
          <w:rtl w:val="0"/>
        </w:rPr>
        <w:t xml:space="preserve">Threat Intelligence Aggregation &amp; Proactive Response</w:t>
      </w:r>
    </w:p>
    <w:p w:rsidRPr="00000000" w:rsidR="00000000" w:rsidDel="00000000" w:rsidP="00000000" w:rsidRDefault="00000000" w14:paraId="000005C6">
      <w:pPr>
        <w:numPr>
          <w:ilvl w:val="2"/>
          <w:numId w:val="25"/>
        </w:numPr>
        <w:spacing w:after="240" w:lineRule="auto"/>
        <w:ind w:left="720" w:hanging="720"/>
        <w:jc w:val="both"/>
        <w:rPr/>
      </w:pPr>
      <w:bookmarkStart w:name="_heading=h.bmedxkgn1hjs" w:colFirst="0" w:colLast="0" w:id="417"/>
      <w:bookmarkEnd w:id="417"/>
      <w:r w:rsidRPr="00000000" w:rsidDel="00000000" w:rsidR="00000000">
        <w:rPr>
          <w:rtl w:val="0"/>
        </w:rPr>
        <w:t xml:space="preserve">The CIFC Team serves as subject matter experts on open source intelligence (OSINT) and completes ad-hoc OSINT requests for teams across Binance. Additionally, the Team is responsible for the proactive and reactive identification, investigation, and remediation of threats that may be relevant to Binance and/or the larger cryptocurrency ecosystem through external intel sharing and internal intel gathering through tools such as Flashpoint. </w:t>
      </w:r>
    </w:p>
    <w:p w:rsidRPr="00000000" w:rsidR="00000000" w:rsidDel="00000000" w:rsidP="00000000" w:rsidRDefault="00000000" w14:paraId="000005C7">
      <w:pPr>
        <w:pStyle w:val="Heading2"/>
        <w:numPr>
          <w:ilvl w:val="1"/>
          <w:numId w:val="25"/>
        </w:numPr>
        <w:spacing w:after="240" w:lineRule="auto"/>
        <w:ind w:left="720"/>
        <w:jc w:val="both"/>
        <w:rPr/>
      </w:pPr>
      <w:bookmarkStart w:name="_heading=h.5nhmswwq38j9" w:colFirst="0" w:colLast="0" w:id="418"/>
      <w:bookmarkEnd w:id="418"/>
      <w:r w:rsidRPr="00000000" w:rsidDel="00000000" w:rsidR="00000000">
        <w:rPr>
          <w:rFonts w:ascii="Arial" w:hAnsi="Arial" w:eastAsia="Arial" w:cs="Arial"/>
          <w:sz w:val="24"/>
          <w:szCs w:val="24"/>
          <w:rtl w:val="0"/>
        </w:rPr>
        <w:t xml:space="preserve">Flashpoint</w:t>
      </w:r>
    </w:p>
    <w:p w:rsidRPr="00000000" w:rsidR="00000000" w:rsidDel="00000000" w:rsidP="00000000" w:rsidRDefault="00000000" w14:paraId="000005C8">
      <w:pPr>
        <w:numPr>
          <w:ilvl w:val="2"/>
          <w:numId w:val="25"/>
        </w:numPr>
        <w:spacing w:after="240" w:lineRule="auto"/>
        <w:ind w:left="720" w:hanging="720"/>
        <w:jc w:val="both"/>
        <w:rPr/>
      </w:pPr>
      <w:bookmarkStart w:name="_heading=h.rl0q72hfj5vy" w:colFirst="0" w:colLast="0" w:id="419"/>
      <w:bookmarkEnd w:id="419"/>
      <w:r w:rsidRPr="00000000" w:rsidDel="00000000" w:rsidR="00000000">
        <w:rPr>
          <w:rtl w:val="0"/>
        </w:rPr>
        <w:t xml:space="preserve">Flashpoint is a threat intelligence tool that integrates clearweb and dark web reviews of risky chat rooms, forums, conversation boards, and other open source communication tools that can be queried for vectors of interest by CIFC</w:t>
      </w:r>
    </w:p>
    <w:p w:rsidRPr="00000000" w:rsidR="00000000" w:rsidDel="00000000" w:rsidP="00000000" w:rsidRDefault="00000000" w14:paraId="000005C9">
      <w:pPr>
        <w:numPr>
          <w:ilvl w:val="2"/>
          <w:numId w:val="25"/>
        </w:numPr>
        <w:spacing w:after="240" w:lineRule="auto"/>
        <w:ind w:left="720" w:hanging="720"/>
        <w:jc w:val="both"/>
        <w:rPr/>
      </w:pPr>
      <w:bookmarkStart w:name="_heading=h.ufukkv4cvty" w:colFirst="0" w:colLast="0" w:id="420"/>
      <w:bookmarkEnd w:id="420"/>
      <w:r w:rsidRPr="00000000" w:rsidDel="00000000" w:rsidR="00000000">
        <w:rPr>
          <w:rtl w:val="0"/>
        </w:rPr>
        <w:t xml:space="preserve">Flashpoint alerts are currently automatically disseminated via email inbox to analysts within the CIFC to review. Further details can be found in the </w:t>
      </w:r>
      <w:hyperlink r:id="rId68">
        <w:r w:rsidRPr="00000000" w:rsidDel="00000000" w:rsidR="00000000">
          <w:rPr>
            <w:color w:val="0000ee"/>
            <w:u w:val="single"/>
            <w:rtl w:val="0"/>
          </w:rPr>
          <w:t xml:space="preserve">Flashpoint String Alerts SOP</w:t>
        </w:r>
      </w:hyperlink>
      <w:r w:rsidRPr="00000000" w:rsidDel="00000000" w:rsidR="00000000">
        <w:rPr>
          <w:rtl w:val="0"/>
        </w:rPr>
      </w:r>
    </w:p>
    <w:p w:rsidRPr="00000000" w:rsidR="00000000" w:rsidDel="00000000" w:rsidP="00000000" w:rsidRDefault="00000000" w14:paraId="000005CA">
      <w:pPr>
        <w:numPr>
          <w:ilvl w:val="1"/>
          <w:numId w:val="10"/>
        </w:numPr>
        <w:spacing w:after="0" w:lineRule="auto"/>
        <w:ind w:left="1080" w:hanging="360"/>
        <w:jc w:val="both"/>
        <w:rPr>
          <w:sz w:val="20"/>
          <w:szCs w:val="20"/>
        </w:rPr>
      </w:pPr>
      <w:r w:rsidRPr="00000000" w:rsidDel="00000000" w:rsidR="00000000">
        <w:rPr>
          <w:rtl w:val="0"/>
        </w:rPr>
        <w:t xml:space="preserve">Three analysts on a global schedule are assigned to review Flashpoint alerts as they are received.</w:t>
      </w:r>
      <w:r w:rsidRPr="00000000" w:rsidDel="00000000" w:rsidR="00000000">
        <w:rPr>
          <w:rtl w:val="0"/>
        </w:rPr>
      </w:r>
    </w:p>
    <w:p w:rsidRPr="00000000" w:rsidR="00000000" w:rsidDel="00000000" w:rsidP="00000000" w:rsidRDefault="00000000" w14:paraId="000005CB">
      <w:pPr>
        <w:numPr>
          <w:ilvl w:val="2"/>
          <w:numId w:val="10"/>
        </w:numPr>
        <w:spacing w:after="0" w:lineRule="auto"/>
        <w:ind w:left="1620" w:hanging="360"/>
        <w:jc w:val="both"/>
        <w:rPr>
          <w:sz w:val="20"/>
          <w:szCs w:val="20"/>
        </w:rPr>
      </w:pPr>
      <w:r w:rsidRPr="00000000" w:rsidDel="00000000" w:rsidR="00000000">
        <w:rPr>
          <w:rtl w:val="0"/>
        </w:rPr>
        <w:t xml:space="preserve">If a true positive alert is found (ie: there is a cryptocurrency address, there is a Binance user mentioned, there is a known actor mentioned that we have previously reviewed), the CIFC analyst will review the vector and determine if there is substantive evidence to action appropriately. </w:t>
      </w:r>
      <w:r w:rsidRPr="00000000" w:rsidDel="00000000" w:rsidR="00000000">
        <w:rPr>
          <w:rtl w:val="0"/>
        </w:rPr>
      </w:r>
    </w:p>
    <w:p w:rsidRPr="00000000" w:rsidR="00000000" w:rsidDel="00000000" w:rsidP="00000000" w:rsidRDefault="00000000" w14:paraId="000005CC">
      <w:pPr>
        <w:numPr>
          <w:ilvl w:val="3"/>
          <w:numId w:val="10"/>
        </w:numPr>
        <w:spacing w:after="0" w:lineRule="auto"/>
        <w:ind w:left="2160" w:hanging="360"/>
        <w:jc w:val="both"/>
        <w:rPr>
          <w:sz w:val="20"/>
          <w:szCs w:val="20"/>
        </w:rPr>
      </w:pPr>
      <w:r w:rsidRPr="00000000" w:rsidDel="00000000" w:rsidR="00000000">
        <w:rPr>
          <w:rtl w:val="0"/>
        </w:rPr>
        <w:t xml:space="preserve">In the case of addresses, this would include adding to Blocktracer and tagging as appropriate while also creating ICR(s) for accounts with a nexus to said address(es). </w:t>
      </w:r>
      <w:r w:rsidRPr="00000000" w:rsidDel="00000000" w:rsidR="00000000">
        <w:rPr>
          <w:rtl w:val="0"/>
        </w:rPr>
      </w:r>
    </w:p>
    <w:p w:rsidRPr="00000000" w:rsidR="00000000" w:rsidDel="00000000" w:rsidP="00000000" w:rsidRDefault="00000000" w14:paraId="000005CD">
      <w:pPr>
        <w:numPr>
          <w:ilvl w:val="3"/>
          <w:numId w:val="10"/>
        </w:numPr>
        <w:spacing w:after="0" w:lineRule="auto"/>
        <w:ind w:left="2160" w:hanging="360"/>
        <w:jc w:val="both"/>
        <w:rPr>
          <w:sz w:val="20"/>
          <w:szCs w:val="20"/>
        </w:rPr>
      </w:pPr>
      <w:r w:rsidRPr="00000000" w:rsidDel="00000000" w:rsidR="00000000">
        <w:rPr>
          <w:rtl w:val="0"/>
        </w:rPr>
        <w:t xml:space="preserve">If related to a name or entity, internal searches via the KYC system can be performed to determine if a Binance user is involved; if a user(s) is found, ICR(s) will be generated and forwarded to the relevant teams. </w:t>
      </w:r>
      <w:r w:rsidRPr="00000000" w:rsidDel="00000000" w:rsidR="00000000">
        <w:rPr>
          <w:rtl w:val="0"/>
        </w:rPr>
      </w:r>
    </w:p>
    <w:p w:rsidRPr="00000000" w:rsidR="00000000" w:rsidDel="00000000" w:rsidP="00000000" w:rsidRDefault="00000000" w14:paraId="000005CE">
      <w:pPr>
        <w:numPr>
          <w:ilvl w:val="1"/>
          <w:numId w:val="10"/>
        </w:numPr>
        <w:pBdr>
          <w:top w:val="nil" w:sz="0" w:space="0"/>
          <w:left w:val="nil" w:sz="0" w:space="0"/>
          <w:bottom w:val="nil" w:sz="0" w:space="0"/>
          <w:right w:val="nil" w:sz="0" w:space="0"/>
          <w:between w:val="nil" w:sz="0" w:space="0"/>
        </w:pBdr>
        <w:spacing w:after="0" w:lineRule="auto"/>
        <w:ind w:left="1080" w:hanging="360"/>
        <w:jc w:val="both"/>
        <w:rPr>
          <w:sz w:val="20"/>
          <w:szCs w:val="20"/>
        </w:rPr>
      </w:pPr>
      <w:r w:rsidRPr="00000000" w:rsidDel="00000000" w:rsidR="00000000">
        <w:rPr>
          <w:rtl w:val="0"/>
        </w:rPr>
        <w:t xml:space="preserve">Internal SLAs for reviewing alerts are currently set at 30 days from the day of  alert. </w:t>
      </w:r>
      <w:r w:rsidRPr="00000000" w:rsidDel="00000000" w:rsidR="00000000">
        <w:rPr>
          <w:rtl w:val="0"/>
        </w:rPr>
      </w:r>
    </w:p>
    <w:p w:rsidRPr="00000000" w:rsidR="00000000" w:rsidDel="00000000" w:rsidP="00000000" w:rsidRDefault="00000000" w14:paraId="000005CF">
      <w:pPr>
        <w:spacing w:after="0" w:lineRule="auto"/>
        <w:rPr>
          <w:shd w:val="clear" w:fill="fff2cc"/>
        </w:rPr>
      </w:pPr>
      <w:r w:rsidRPr="00000000" w:rsidDel="00000000" w:rsidR="00000000">
        <w:rPr>
          <w:rtl w:val="0"/>
        </w:rPr>
      </w:r>
    </w:p>
    <w:p w:rsidRPr="00000000" w:rsidR="00000000" w:rsidDel="00000000" w:rsidP="00000000" w:rsidRDefault="00000000" w14:paraId="000005D0">
      <w:pPr>
        <w:pStyle w:val="Heading2"/>
        <w:numPr>
          <w:ilvl w:val="1"/>
          <w:numId w:val="25"/>
        </w:numPr>
        <w:spacing w:after="240" w:lineRule="auto"/>
        <w:ind w:left="720"/>
        <w:jc w:val="both"/>
        <w:rPr/>
      </w:pPr>
      <w:bookmarkStart w:name="_heading=h.43mmyn1kjwv2" w:colFirst="0" w:colLast="0" w:id="421"/>
      <w:bookmarkEnd w:id="421"/>
      <w:r w:rsidRPr="00000000" w:rsidDel="00000000" w:rsidR="00000000">
        <w:rPr>
          <w:rFonts w:ascii="Arial" w:hAnsi="Arial" w:eastAsia="Arial" w:cs="Arial"/>
          <w:sz w:val="24"/>
          <w:szCs w:val="24"/>
          <w:rtl w:val="0"/>
        </w:rPr>
        <w:t xml:space="preserve">SEAL-ISAC</w:t>
      </w:r>
    </w:p>
    <w:p w:rsidRPr="00000000" w:rsidR="00000000" w:rsidDel="00000000" w:rsidP="00000000" w:rsidRDefault="00000000" w14:paraId="000005D1">
      <w:pPr>
        <w:numPr>
          <w:ilvl w:val="2"/>
          <w:numId w:val="25"/>
        </w:numPr>
        <w:spacing w:after="240" w:lineRule="auto"/>
        <w:ind w:left="720" w:hanging="720"/>
        <w:jc w:val="both"/>
        <w:rPr/>
      </w:pPr>
      <w:bookmarkStart w:name="_heading=h.345eyo6j3z8n" w:colFirst="0" w:colLast="0" w:id="422"/>
      <w:bookmarkEnd w:id="422"/>
      <w:r w:rsidRPr="00000000" w:rsidDel="00000000" w:rsidR="00000000">
        <w:rPr>
          <w:rtl w:val="0"/>
        </w:rPr>
        <w:t xml:space="preserve">SEAL-Information Sharing and Analysis Centre is a non-profit organization that is a centralized platform where indicators of compromise(IOC) of hacks and large scale events in the web3 industry are stored and accessed by trusted members of the security community.</w:t>
      </w:r>
    </w:p>
    <w:p w:rsidRPr="00000000" w:rsidR="00000000" w:rsidDel="00000000" w:rsidP="00000000" w:rsidRDefault="00000000" w14:paraId="000005D2">
      <w:pPr>
        <w:numPr>
          <w:ilvl w:val="2"/>
          <w:numId w:val="25"/>
        </w:numPr>
        <w:spacing w:after="240" w:lineRule="auto"/>
        <w:ind w:left="720" w:hanging="720"/>
        <w:jc w:val="both"/>
        <w:rPr/>
      </w:pPr>
      <w:bookmarkStart w:name="_heading=h.y6fm4m37geaj" w:colFirst="0" w:colLast="0" w:id="423"/>
      <w:bookmarkEnd w:id="423"/>
      <w:r w:rsidRPr="00000000" w:rsidDel="00000000" w:rsidR="00000000">
        <w:rPr>
          <w:rtl w:val="0"/>
        </w:rPr>
        <w:t xml:space="preserve">The CIFC Team regularly reviews on a weekly basis SEAL-ISAC for new addresses added pertaining to hacks, sanctions evasion, and terror financing.</w:t>
      </w:r>
    </w:p>
    <w:p w:rsidRPr="00000000" w:rsidR="00000000" w:rsidDel="00000000" w:rsidP="00000000" w:rsidRDefault="00000000" w14:paraId="000005D3">
      <w:pPr>
        <w:numPr>
          <w:ilvl w:val="2"/>
          <w:numId w:val="25"/>
        </w:numPr>
        <w:spacing w:after="240" w:lineRule="auto"/>
        <w:ind w:left="720" w:hanging="720"/>
        <w:jc w:val="both"/>
        <w:rPr/>
      </w:pPr>
      <w:bookmarkStart w:name="_heading=h.rd1zsshd2wqn" w:colFirst="0" w:colLast="0" w:id="424"/>
      <w:bookmarkEnd w:id="424"/>
      <w:r w:rsidRPr="00000000" w:rsidDel="00000000" w:rsidR="00000000">
        <w:rPr>
          <w:rtl w:val="0"/>
        </w:rPr>
        <w:t xml:space="preserve">If new addresses are found that have not been actioned internally by Binance Compliance, a new ICR is referred, and a member of the CIFC team will review the case and assign to the appropriate team (where required); the CIFC member will adjudicate the case based on exposure and risk of the address and the user.</w:t>
      </w:r>
    </w:p>
    <w:p w:rsidRPr="00000000" w:rsidR="00000000" w:rsidDel="00000000" w:rsidP="00000000" w:rsidRDefault="00000000" w14:paraId="000005D4">
      <w:pPr>
        <w:numPr>
          <w:ilvl w:val="2"/>
          <w:numId w:val="25"/>
        </w:numPr>
        <w:spacing w:after="240" w:lineRule="auto"/>
        <w:ind w:left="720" w:hanging="720"/>
        <w:jc w:val="both"/>
        <w:rPr/>
      </w:pPr>
      <w:bookmarkStart w:name="_heading=h.neziml6ds6tu" w:colFirst="0" w:colLast="0" w:id="425"/>
      <w:bookmarkEnd w:id="425"/>
      <w:r w:rsidRPr="00000000" w:rsidDel="00000000" w:rsidR="00000000">
        <w:rPr>
          <w:rtl w:val="0"/>
        </w:rPr>
        <w:t xml:space="preserve">Addresses with a threat vector to Binance will be attributed in Blocktracer (where applicable) in line with Blocktracer manuals.</w:t>
      </w:r>
    </w:p>
    <w:p w:rsidRPr="00000000" w:rsidR="00000000" w:rsidDel="00000000" w:rsidP="00000000" w:rsidRDefault="00000000" w14:paraId="000005D5">
      <w:pPr>
        <w:pStyle w:val="Heading2"/>
        <w:numPr>
          <w:ilvl w:val="1"/>
          <w:numId w:val="25"/>
        </w:numPr>
        <w:spacing w:after="240" w:lineRule="auto"/>
        <w:ind w:left="720"/>
        <w:jc w:val="both"/>
        <w:rPr/>
      </w:pPr>
      <w:bookmarkStart w:name="_heading=h.9nv1ij8wdch7" w:colFirst="0" w:colLast="0" w:id="426"/>
      <w:bookmarkEnd w:id="426"/>
      <w:r w:rsidRPr="00000000" w:rsidDel="00000000" w:rsidR="00000000">
        <w:rPr>
          <w:rFonts w:ascii="Arial" w:hAnsi="Arial" w:eastAsia="Arial" w:cs="Arial"/>
          <w:sz w:val="24"/>
          <w:szCs w:val="24"/>
          <w:rtl w:val="0"/>
        </w:rPr>
        <w:t xml:space="preserve">Internal Attributions in Blocktracer</w:t>
      </w:r>
    </w:p>
    <w:p w:rsidRPr="00000000" w:rsidR="00000000" w:rsidDel="00000000" w:rsidP="00000000" w:rsidRDefault="00000000" w14:paraId="000005D6">
      <w:pPr>
        <w:numPr>
          <w:ilvl w:val="2"/>
          <w:numId w:val="25"/>
        </w:numPr>
        <w:spacing w:after="240" w:lineRule="auto"/>
        <w:ind w:left="720" w:hanging="720"/>
        <w:jc w:val="both"/>
        <w:rPr/>
      </w:pPr>
      <w:bookmarkStart w:name="_heading=h.jhegez1xvnub" w:colFirst="0" w:colLast="0" w:id="427"/>
      <w:bookmarkEnd w:id="427"/>
      <w:r w:rsidRPr="00000000" w:rsidDel="00000000" w:rsidR="00000000">
        <w:rPr>
          <w:rtl w:val="0"/>
        </w:rPr>
        <w:t xml:space="preserve">The CIFC Team proactively identifies previously unknown addresses that belong to individuals and entities of concern, and adds them to Blocktracer, Binance’s TM alert and greylisting tool. The CIFC Team focuses on attributing addresses related to sanctioned entities, jurisdictions, and individuals, as well as addresses related to fentanyl trafficking and terrorist financing. Greylisted addresses produce alerts when Binance users transact with them, allowing for further investigation and risk mitigation, where applicable. </w:t>
      </w:r>
    </w:p>
    <w:p w:rsidRPr="00000000" w:rsidR="00000000" w:rsidDel="00000000" w:rsidP="00000000" w:rsidRDefault="00000000" w14:paraId="000005D7">
      <w:pPr>
        <w:numPr>
          <w:ilvl w:val="2"/>
          <w:numId w:val="25"/>
        </w:numPr>
        <w:spacing w:after="240" w:lineRule="auto"/>
        <w:ind w:left="720" w:hanging="720"/>
        <w:jc w:val="both"/>
        <w:rPr/>
      </w:pPr>
      <w:bookmarkStart w:name="_heading=h.4opusyhd6rf4" w:colFirst="0" w:colLast="0" w:id="428"/>
      <w:bookmarkEnd w:id="428"/>
      <w:r w:rsidRPr="00000000" w:rsidDel="00000000" w:rsidR="00000000">
        <w:rPr>
          <w:rtl w:val="0"/>
        </w:rPr>
        <w:t xml:space="preserve">Note that current attributions relate only to Sanctions and Terror Financing categories; </w:t>
      </w:r>
      <w:r w:rsidRPr="00000000" w:rsidDel="00000000" w:rsidR="00000000">
        <w:rPr>
          <w:rtl w:val="0"/>
        </w:rPr>
        <w:t xml:space="preserve">future plans are in progress</w:t>
      </w:r>
      <w:r w:rsidRPr="00000000" w:rsidDel="00000000" w:rsidR="00000000">
        <w:rPr>
          <w:rtl w:val="0"/>
        </w:rPr>
        <w:t xml:space="preserve"> for Blocktracer development to include managed review and attributions for all risk categories within Transaction Monitoring. The scope of attributions currently encompasses Sanctions and Terror Financing, with enhancements to other risk categories in progress.</w:t>
      </w:r>
    </w:p>
    <w:p w:rsidRPr="00000000" w:rsidR="00000000" w:rsidDel="00000000" w:rsidP="00000000" w:rsidRDefault="00000000" w14:paraId="000005D8">
      <w:pPr>
        <w:pStyle w:val="Heading2"/>
        <w:numPr>
          <w:ilvl w:val="1"/>
          <w:numId w:val="25"/>
        </w:numPr>
        <w:spacing w:after="240" w:lineRule="auto"/>
        <w:ind w:left="720"/>
        <w:jc w:val="both"/>
        <w:rPr/>
      </w:pPr>
      <w:bookmarkStart w:name="_heading=h.jr1vf9n3nxf" w:colFirst="0" w:colLast="0" w:id="429"/>
      <w:bookmarkEnd w:id="429"/>
      <w:r w:rsidRPr="00000000" w:rsidDel="00000000" w:rsidR="00000000">
        <w:rPr>
          <w:rFonts w:ascii="Arial" w:hAnsi="Arial" w:eastAsia="Arial" w:cs="Arial"/>
          <w:sz w:val="24"/>
          <w:szCs w:val="24"/>
          <w:rtl w:val="0"/>
        </w:rPr>
        <w:t xml:space="preserve">Intelligence Reports</w:t>
      </w:r>
    </w:p>
    <w:p w:rsidRPr="00000000" w:rsidR="00000000" w:rsidDel="00000000" w:rsidP="00000000" w:rsidRDefault="00000000" w14:paraId="000005D9">
      <w:pPr>
        <w:numPr>
          <w:ilvl w:val="2"/>
          <w:numId w:val="25"/>
        </w:numPr>
        <w:spacing w:after="240" w:lineRule="auto"/>
        <w:ind w:left="720" w:hanging="720"/>
        <w:jc w:val="both"/>
        <w:rPr/>
      </w:pPr>
      <w:bookmarkStart w:name="_heading=h.m1a8gie9ve1" w:colFirst="0" w:colLast="0" w:id="430"/>
      <w:bookmarkEnd w:id="430"/>
      <w:r w:rsidRPr="00000000" w:rsidDel="00000000" w:rsidR="00000000">
        <w:rPr>
          <w:rtl w:val="0"/>
        </w:rPr>
        <w:t xml:space="preserve">The CIFC Team writes a significant number of intelligence reports for both internal and external parties highlighting high risk accounts and activity that may be of interest to external law enforcement and/or other internal risk and investigations teams. Intelligence reports are governed and approved by a Compliance Manager.</w:t>
      </w:r>
    </w:p>
    <w:p w:rsidRPr="00000000" w:rsidR="00000000" w:rsidDel="00000000" w:rsidP="00000000" w:rsidRDefault="00000000" w14:paraId="000005DA">
      <w:pPr>
        <w:numPr>
          <w:ilvl w:val="2"/>
          <w:numId w:val="25"/>
        </w:numPr>
        <w:spacing w:after="240" w:lineRule="auto"/>
        <w:ind w:left="720" w:hanging="720"/>
        <w:jc w:val="both"/>
        <w:rPr/>
      </w:pPr>
      <w:bookmarkStart w:name="_heading=h.wi90xtiidqaf" w:colFirst="0" w:colLast="0" w:id="431"/>
      <w:bookmarkEnd w:id="431"/>
      <w:r w:rsidRPr="00000000" w:rsidDel="00000000" w:rsidR="00000000">
        <w:rPr>
          <w:rtl w:val="0"/>
        </w:rPr>
        <w:t xml:space="preserve">The intelligence reports vary in topic, typically encompassing virtual asset service providers (VASPs) of concern and entities/individuals of concern, as well as any relevant transactions of concern. Concern is established on the basis of their exposure to Binance, for instance, in the case of VASPs, on-platform VASPs may be the subject of an intelligence report due to an influx of sanctions and or terrorist financing  exposure from sub-accounts linked to the VASPs. In the case of individuals/non-VASP entities, on-platform individuals/non-VASP entities may be the subject of an intelligence report due to known or suspected criminal activity.  </w:t>
      </w:r>
    </w:p>
    <w:p w:rsidRPr="00000000" w:rsidR="00000000" w:rsidDel="00000000" w:rsidP="00000000" w:rsidRDefault="00000000" w14:paraId="000005DB">
      <w:pPr>
        <w:numPr>
          <w:ilvl w:val="2"/>
          <w:numId w:val="25"/>
        </w:numPr>
        <w:spacing w:after="240" w:lineRule="auto"/>
        <w:ind w:left="720" w:hanging="720"/>
        <w:jc w:val="both"/>
        <w:rPr/>
      </w:pPr>
      <w:bookmarkStart w:name="_heading=h.mksoufdhomja" w:colFirst="0" w:colLast="0" w:id="432"/>
      <w:bookmarkEnd w:id="432"/>
      <w:r w:rsidRPr="00000000" w:rsidDel="00000000" w:rsidR="00000000">
        <w:rPr>
          <w:rtl w:val="0"/>
        </w:rPr>
        <w:t xml:space="preserve">In cases where a report is intended for internal audiences, it is escalated to other internal risk and investigation teams for further review and final adjudication. </w:t>
      </w:r>
    </w:p>
    <w:p w:rsidRPr="00000000" w:rsidR="00000000" w:rsidDel="00000000" w:rsidP="00000000" w:rsidRDefault="00000000" w14:paraId="000005DC">
      <w:pPr>
        <w:numPr>
          <w:ilvl w:val="2"/>
          <w:numId w:val="25"/>
        </w:numPr>
        <w:spacing w:before="200" w:after="0" w:lineRule="auto"/>
        <w:ind w:left="720" w:hanging="720"/>
        <w:jc w:val="both"/>
        <w:rPr/>
      </w:pPr>
      <w:bookmarkStart w:name="_heading=h.7kj0idlbc0ig" w:colFirst="0" w:colLast="0" w:id="433"/>
      <w:bookmarkEnd w:id="433"/>
      <w:r w:rsidRPr="00000000" w:rsidDel="00000000" w:rsidR="00000000">
        <w:rPr>
          <w:rtl w:val="0"/>
        </w:rPr>
        <w:t xml:space="preserve">In cases where a report is intended for external audiences, a redacted copy is made and provided to relevant external law enforcement. Law enforcement may later receive an unredacted copy upon request. All law enforcement disseminations will be approved by the relevant regional Special Investigations (SI) Team Lead and Manager before dissemination. </w:t>
      </w:r>
    </w:p>
    <w:p w:rsidRPr="00000000" w:rsidR="00000000" w:rsidDel="00000000" w:rsidP="00000000" w:rsidRDefault="00000000" w14:paraId="000005DD">
      <w:pPr>
        <w:pStyle w:val="Heading1"/>
        <w:keepNext w:val="1"/>
        <w:keepLines w:val="1"/>
        <w:pageBreakBefore w:val="0"/>
        <w:widowControl w:val="1"/>
        <w:numPr>
          <w:ilvl w:val="0"/>
          <w:numId w:val="25"/>
        </w:numPr>
        <w:pBdr>
          <w:top w:val="nil" w:sz="0" w:space="0"/>
          <w:left w:val="nil" w:sz="0" w:space="0"/>
          <w:bottom w:val="nil" w:sz="0" w:space="0"/>
          <w:right w:val="nil" w:sz="0" w:space="0"/>
          <w:between w:val="nil" w:sz="0" w:space="0"/>
        </w:pBdr>
        <w:shd w:val="clear" w:fill="auto"/>
        <w:spacing w:before="480" w:after="240" w:line="276" w:lineRule="auto"/>
        <w:ind w:left="720" w:right="0" w:hanging="720"/>
        <w:jc w:val="left"/>
        <w:rPr/>
      </w:pPr>
      <w:bookmarkStart w:name="_heading=h.89x406nnw13o" w:colFirst="0" w:colLast="0" w:id="434"/>
      <w:bookmarkEnd w:id="434"/>
      <w:r w:rsidRPr="00000000" w:rsidDel="00000000" w:rsidR="00000000">
        <w:rPr>
          <w:rFonts w:ascii="Arial" w:hAnsi="Arial" w:eastAsia="Arial" w:cs="Arial"/>
          <w:smallCaps w:val="1"/>
          <w:sz w:val="28"/>
          <w:szCs w:val="28"/>
          <w:rtl w:val="0"/>
        </w:rPr>
        <w:t xml:space="preserve">TRAINING AND AWARENESS</w:t>
      </w:r>
    </w:p>
    <w:p w:rsidRPr="00000000" w:rsidR="00000000" w:rsidDel="00000000" w:rsidP="00000000" w:rsidRDefault="00000000" w14:paraId="000005DE">
      <w:pPr>
        <w:numPr>
          <w:ilvl w:val="1"/>
          <w:numId w:val="25"/>
        </w:numPr>
        <w:spacing w:after="240" w:lineRule="auto"/>
        <w:ind w:left="720"/>
        <w:jc w:val="both"/>
        <w:rPr/>
      </w:pPr>
      <w:bookmarkStart w:name="_heading=h.1t3h5sf" w:colFirst="0" w:colLast="0" w:id="435"/>
      <w:bookmarkEnd w:id="435"/>
      <w:r w:rsidRPr="00000000" w:rsidDel="00000000" w:rsidR="00000000">
        <w:rPr>
          <w:rtl w:val="0"/>
        </w:rPr>
        <w:t xml:space="preserve">All employees must complete the relevant induction and Global AML training within the stipulated timelines, as well as AML/CTF/Sanction refresher training at least once a year. Any other training requirements may be notified from time to time by the Compliance Teams. Further details can be found in the Global Compliance Training Policy. </w:t>
      </w:r>
    </w:p>
    <w:p w:rsidRPr="00000000" w:rsidR="00000000" w:rsidDel="00000000" w:rsidP="00000000" w:rsidRDefault="00000000" w14:paraId="000005DF">
      <w:pPr>
        <w:numPr>
          <w:ilvl w:val="1"/>
          <w:numId w:val="25"/>
        </w:numPr>
        <w:spacing w:after="240" w:lineRule="auto"/>
        <w:ind w:left="720"/>
        <w:jc w:val="both"/>
        <w:rPr/>
      </w:pPr>
      <w:bookmarkStart w:name="_heading=h.l2h1u9osgwdg" w:colFirst="0" w:colLast="0" w:id="436"/>
      <w:bookmarkEnd w:id="436"/>
      <w:r w:rsidRPr="00000000" w:rsidDel="00000000" w:rsidR="00000000">
        <w:rPr>
          <w:rtl w:val="0"/>
        </w:rPr>
        <w:t xml:space="preserve">All Transaction Monitoring Compliance members should undergo the relevant Onchain or Offchain Transaction Monitoring Trainings. </w:t>
      </w:r>
    </w:p>
    <w:p w:rsidRPr="00000000" w:rsidR="00000000" w:rsidDel="00000000" w:rsidP="00000000" w:rsidRDefault="00000000" w14:paraId="000005E0">
      <w:pPr>
        <w:numPr>
          <w:ilvl w:val="1"/>
          <w:numId w:val="25"/>
        </w:numPr>
        <w:spacing w:after="240" w:lineRule="auto"/>
        <w:ind w:left="720"/>
        <w:jc w:val="both"/>
        <w:rPr/>
      </w:pPr>
      <w:bookmarkStart w:name="_heading=h.exwdj4a4mn8m" w:colFirst="0" w:colLast="0" w:id="437"/>
      <w:bookmarkEnd w:id="437"/>
      <w:r w:rsidRPr="00000000" w:rsidDel="00000000" w:rsidR="00000000">
        <w:rPr>
          <w:rtl w:val="0"/>
        </w:rPr>
        <w:t xml:space="preserve">Analysts are encouraged to enroll in additional internal training via the Moon Learning System to enhance their understanding of the requirements under this procedure, in addition to their understanding of relevant Virtual Asset Tracing Techniques, in addition to Red Flags that may be indicative of money launder or terrorist financing. These additional trainings include:  </w:t>
      </w:r>
    </w:p>
    <w:p w:rsidRPr="00000000" w:rsidR="00000000" w:rsidDel="00000000" w:rsidP="00000000" w:rsidRDefault="00000000" w14:paraId="000005E1">
      <w:pPr>
        <w:numPr>
          <w:ilvl w:val="0"/>
          <w:numId w:val="28"/>
        </w:numPr>
        <w:spacing w:after="0" w:lineRule="auto"/>
        <w:ind w:left="1080" w:hanging="360"/>
        <w:jc w:val="both"/>
        <w:rPr>
          <w:rFonts w:ascii="Arial" w:hAnsi="Arial" w:eastAsia="Arial" w:cs="Arial"/>
        </w:rPr>
      </w:pPr>
      <w:bookmarkStart w:name="_heading=h.bw8lskv35myu" w:colFirst="0" w:colLast="0" w:id="438"/>
      <w:bookmarkEnd w:id="438"/>
      <w:r w:rsidRPr="00000000" w:rsidDel="00000000" w:rsidR="00000000">
        <w:rPr>
          <w:rtl w:val="0"/>
        </w:rPr>
        <w:t xml:space="preserve">Cryptocurrency Investigation Sessions</w:t>
      </w:r>
    </w:p>
    <w:p w:rsidRPr="00000000" w:rsidR="00000000" w:rsidDel="00000000" w:rsidP="00000000" w:rsidRDefault="00000000" w14:paraId="000005E2">
      <w:pPr>
        <w:numPr>
          <w:ilvl w:val="0"/>
          <w:numId w:val="28"/>
        </w:numPr>
        <w:spacing w:after="240" w:lineRule="auto"/>
        <w:ind w:left="1080" w:hanging="360"/>
        <w:jc w:val="both"/>
        <w:rPr>
          <w:rFonts w:ascii="Arial" w:hAnsi="Arial" w:eastAsia="Arial" w:cs="Arial"/>
        </w:rPr>
      </w:pPr>
      <w:bookmarkStart w:name="_heading=h.cey9t2f873p" w:colFirst="0" w:colLast="0" w:id="439"/>
      <w:bookmarkEnd w:id="439"/>
      <w:r w:rsidRPr="00000000" w:rsidDel="00000000" w:rsidR="00000000">
        <w:rPr>
          <w:rtl w:val="0"/>
        </w:rPr>
        <w:t xml:space="preserve">Cryptocurrency Basics</w:t>
      </w:r>
    </w:p>
    <w:p w:rsidRPr="00000000" w:rsidR="00000000" w:rsidDel="00000000" w:rsidP="00000000" w:rsidRDefault="00000000" w14:paraId="000005E3">
      <w:pPr>
        <w:pStyle w:val="Heading1"/>
        <w:keepNext w:val="1"/>
        <w:keepLines w:val="1"/>
        <w:pageBreakBefore w:val="0"/>
        <w:widowControl w:val="1"/>
        <w:numPr>
          <w:ilvl w:val="0"/>
          <w:numId w:val="25"/>
        </w:numPr>
        <w:pBdr>
          <w:top w:val="nil" w:sz="0" w:space="0"/>
          <w:left w:val="nil" w:sz="0" w:space="0"/>
          <w:bottom w:val="nil" w:sz="0" w:space="0"/>
          <w:right w:val="nil" w:sz="0" w:space="0"/>
          <w:between w:val="nil" w:sz="0" w:space="0"/>
        </w:pBdr>
        <w:shd w:val="clear" w:fill="auto"/>
        <w:spacing w:before="480" w:after="240" w:line="276" w:lineRule="auto"/>
        <w:ind w:left="720" w:right="0" w:hanging="720"/>
        <w:jc w:val="left"/>
        <w:rPr/>
      </w:pPr>
      <w:bookmarkStart w:name="_heading=h.4c5t2diw1rdi" w:colFirst="0" w:colLast="0" w:id="440"/>
      <w:bookmarkEnd w:id="440"/>
      <w:r w:rsidRPr="00000000" w:rsidDel="00000000" w:rsidR="00000000">
        <w:rPr>
          <w:rFonts w:ascii="Arial" w:hAnsi="Arial" w:eastAsia="Arial" w:cs="Arial"/>
          <w:smallCaps w:val="1"/>
          <w:sz w:val="28"/>
          <w:szCs w:val="28"/>
          <w:rtl w:val="0"/>
        </w:rPr>
        <w:t xml:space="preserve">COMPLIANCE MONITORING</w:t>
      </w:r>
    </w:p>
    <w:p w:rsidRPr="00000000" w:rsidR="00000000" w:rsidDel="00000000" w:rsidP="00000000" w:rsidRDefault="00000000" w14:paraId="000005E4">
      <w:pPr>
        <w:numPr>
          <w:ilvl w:val="1"/>
          <w:numId w:val="25"/>
        </w:numPr>
        <w:spacing w:after="240" w:lineRule="auto"/>
        <w:ind w:left="720"/>
        <w:jc w:val="both"/>
        <w:rPr/>
      </w:pPr>
      <w:bookmarkStart w:name="_heading=h.vk1z4dvdun98" w:colFirst="0" w:colLast="0" w:id="441"/>
      <w:bookmarkEnd w:id="441"/>
      <w:r w:rsidRPr="00000000" w:rsidDel="00000000" w:rsidR="00000000">
        <w:rPr>
          <w:rtl w:val="0"/>
        </w:rPr>
        <w:t xml:space="preserve">Compliance with the Procedure will be monitored and enforced through a combination of regular audits and ongoing reviews. Periodic audits will assess adherence to the Procedure and identify any gaps or issues. Continuous reviews of trademark activities will ensure the Procedure remains up to date and aligned with legal requirements. Compliance status and findings will be communicated to key stakeholders. To support adherence, ongoing training will be provided to relevant staff, reinforcing the importance of following the procedure. In cases of non-compliance, corrective actions will be taken promptly, with escalation to senior management if necessary. </w:t>
      </w:r>
      <w:r w:rsidRPr="00000000" w:rsidDel="00000000" w:rsidR="00000000">
        <w:rPr>
          <w:rtl w:val="0"/>
        </w:rPr>
      </w:r>
    </w:p>
    <w:p w:rsidRPr="00000000" w:rsidR="00000000" w:rsidDel="00000000" w:rsidP="00000000" w:rsidRDefault="00000000" w14:paraId="000005E5">
      <w:pPr>
        <w:pStyle w:val="Heading1"/>
        <w:keepNext w:val="1"/>
        <w:keepLines w:val="1"/>
        <w:pageBreakBefore w:val="0"/>
        <w:widowControl w:val="1"/>
        <w:numPr>
          <w:ilvl w:val="0"/>
          <w:numId w:val="25"/>
        </w:numPr>
        <w:pBdr>
          <w:top w:val="nil" w:sz="0" w:space="0"/>
          <w:left w:val="nil" w:sz="0" w:space="0"/>
          <w:bottom w:val="nil" w:sz="0" w:space="0"/>
          <w:right w:val="nil" w:sz="0" w:space="0"/>
          <w:between w:val="nil" w:sz="0" w:space="0"/>
        </w:pBdr>
        <w:shd w:val="clear" w:fill="auto"/>
        <w:spacing w:before="480" w:after="240" w:line="276" w:lineRule="auto"/>
        <w:ind w:left="720" w:right="0" w:hanging="720"/>
        <w:jc w:val="left"/>
        <w:rPr/>
      </w:pPr>
      <w:bookmarkStart w:name="_heading=h.4alv24g60rqd" w:colFirst="0" w:colLast="0" w:id="442"/>
      <w:bookmarkEnd w:id="442"/>
      <w:r w:rsidRPr="00000000" w:rsidDel="00000000" w:rsidR="00000000">
        <w:rPr>
          <w:rFonts w:ascii="Arial" w:hAnsi="Arial" w:eastAsia="Arial" w:cs="Arial"/>
          <w:smallCaps w:val="1"/>
          <w:sz w:val="28"/>
          <w:szCs w:val="28"/>
          <w:rtl w:val="0"/>
        </w:rPr>
        <w:t xml:space="preserve"> FEEDBACK MECHANISM</w:t>
      </w:r>
    </w:p>
    <w:p w:rsidRPr="00000000" w:rsidR="00000000" w:rsidDel="00000000" w:rsidP="00000000" w:rsidRDefault="00000000" w14:paraId="000005E6">
      <w:pPr>
        <w:numPr>
          <w:ilvl w:val="1"/>
          <w:numId w:val="25"/>
        </w:numPr>
        <w:spacing w:after="240" w:lineRule="auto"/>
        <w:ind w:left="720"/>
        <w:jc w:val="both"/>
        <w:rPr>
          <w:smallCaps w:val="1"/>
        </w:rPr>
      </w:pPr>
      <w:bookmarkStart w:name="_heading=h.nowylsknce9x" w:colFirst="0" w:colLast="0" w:id="443"/>
      <w:bookmarkEnd w:id="443"/>
      <w:r w:rsidRPr="00000000" w:rsidDel="00000000" w:rsidR="00000000">
        <w:rPr>
          <w:rtl w:val="0"/>
        </w:rPr>
        <w:t xml:space="preserve">Employees can provide feedback on the Procedure by contacting the Head of TM Investigations Ops, the designated point of contact. Feedback can be submitted via a dedicated email or through the Wea bot</w:t>
      </w:r>
      <w:r w:rsidRPr="00000000" w:rsidDel="00000000" w:rsidR="00000000">
        <w:rPr>
          <w:rtl w:val="0"/>
        </w:rPr>
        <w:t xml:space="preserve"> </w:t>
      </w:r>
      <w:r w:rsidRPr="00000000" w:rsidDel="00000000" w:rsidR="00000000">
        <w:rPr>
          <w:rtl w:val="0"/>
        </w:rPr>
        <w:t xml:space="preserve">[TM] TMBot</w:t>
      </w:r>
      <w:r w:rsidRPr="00000000" w:rsidDel="00000000" w:rsidR="00000000">
        <w:rPr>
          <w:rtl w:val="0"/>
        </w:rPr>
        <w:t xml:space="preserve">, ensuring easy and accessible channels for input.</w:t>
      </w:r>
      <w:r w:rsidRPr="00000000" w:rsidDel="00000000" w:rsidR="00000000">
        <w:rPr>
          <w:rtl w:val="0"/>
        </w:rPr>
      </w:r>
    </w:p>
    <w:p w:rsidRPr="00000000" w:rsidR="00000000" w:rsidDel="00000000" w:rsidP="00000000" w:rsidRDefault="00000000" w14:paraId="000005E7">
      <w:pPr>
        <w:spacing w:after="240" w:lineRule="auto"/>
        <w:ind w:left="0" w:firstLine="0"/>
        <w:jc w:val="both"/>
        <w:rPr>
          <w:b w:val="1"/>
          <w:bCs w:val="1"/>
          <w:smallCaps w:val="1"/>
        </w:rPr>
      </w:pPr>
      <w:bookmarkStart w:name="_heading=h.ppl4a0hhld7s" w:colFirst="0" w:colLast="0" w:id="444"/>
      <w:bookmarkEnd w:id="444"/>
      <w:r w:rsidRPr="00000000" w:rsidDel="00000000" w:rsidR="00000000">
        <w:rPr>
          <w:rtl w:val="0"/>
        </w:rPr>
      </w:r>
    </w:p>
    <w:p w:rsidRPr="00000000" w:rsidR="00000000" w:rsidDel="00000000" w:rsidP="00000000" w:rsidRDefault="00000000" w14:paraId="000005E8">
      <w:pPr>
        <w:rPr/>
      </w:pPr>
      <w:bookmarkStart w:name="_heading=h.sdngt3jpmjoo" w:colFirst="0" w:colLast="0" w:id="445"/>
      <w:bookmarkEnd w:id="445"/>
      <w:r w:rsidRPr="00000000" w:rsidDel="00000000" w:rsidR="00000000">
        <w:br w:type="page"/>
      </w:r>
      <w:r w:rsidRPr="00000000" w:rsidDel="00000000" w:rsidR="00000000">
        <w:rPr>
          <w:rtl w:val="0"/>
        </w:rPr>
      </w:r>
    </w:p>
    <w:p w:rsidRPr="00000000" w:rsidR="00000000" w:rsidDel="00000000" w:rsidP="00000000" w:rsidRDefault="00000000" w14:paraId="000005E9">
      <w:pPr>
        <w:pStyle w:val="Heading1"/>
        <w:keepNext w:val="1"/>
        <w:keepLines w:val="1"/>
        <w:pageBreakBefore w:val="0"/>
        <w:widowControl w:val="1"/>
        <w:numPr>
          <w:ilvl w:val="0"/>
          <w:numId w:val="25"/>
        </w:numPr>
        <w:pBdr>
          <w:top w:val="nil" w:sz="0" w:space="0"/>
          <w:left w:val="nil" w:sz="0" w:space="0"/>
          <w:bottom w:val="nil" w:sz="0" w:space="0"/>
          <w:right w:val="nil" w:sz="0" w:space="0"/>
          <w:between w:val="nil" w:sz="0" w:space="0"/>
        </w:pBdr>
        <w:shd w:val="clear" w:fill="auto"/>
        <w:spacing w:before="480" w:after="240" w:line="276" w:lineRule="auto"/>
        <w:ind w:left="720" w:right="0" w:hanging="720"/>
        <w:jc w:val="both"/>
        <w:rPr/>
      </w:pPr>
      <w:bookmarkStart w:name="_heading=h.swk3glp1r725" w:colFirst="0" w:colLast="0" w:id="446"/>
      <w:bookmarkEnd w:id="446"/>
      <w:r w:rsidRPr="00000000" w:rsidDel="00000000" w:rsidR="00000000">
        <w:rPr>
          <w:rFonts w:ascii="Arial" w:hAnsi="Arial" w:eastAsia="Arial" w:cs="Arial"/>
          <w:rtl w:val="0"/>
        </w:rPr>
        <w:t xml:space="preserve"> </w:t>
      </w:r>
      <w:r w:rsidRPr="00000000" w:rsidDel="00000000" w:rsidR="00000000">
        <w:rPr>
          <w:rFonts w:ascii="Arial" w:hAnsi="Arial" w:eastAsia="Arial" w:cs="Arial"/>
          <w:smallCaps w:val="1"/>
          <w:sz w:val="28"/>
          <w:szCs w:val="28"/>
          <w:rtl w:val="0"/>
        </w:rPr>
        <w:t xml:space="preserve">APPENDIX 1. RELATED DOCUMENTATION</w:t>
      </w:r>
    </w:p>
    <w:tbl>
      <w:tblPr>
        <w:tblStyle w:val="Table27"/>
        <w:tblW w:w="10575.0" w:type="dxa"/>
        <w:jc w:val="left"/>
        <w:tblInd w:w="-57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450"/>
        <w:gridCol w:w="3390"/>
        <w:gridCol w:w="6735"/>
        <w:tblGridChange w:id="0">
          <w:tblGrid>
            <w:gridCol w:w="450"/>
            <w:gridCol w:w="3390"/>
            <w:gridCol w:w="6735"/>
          </w:tblGrid>
        </w:tblGridChange>
      </w:tblGrid>
      <w:tr>
        <w:trPr>
          <w:cantSplit w:val="0"/>
          <w:trHeight w:val="388.5546875" w:hRule="atLeast"/>
          <w:tblHeader w:val="0"/>
        </w:trPr>
        <w:tc>
          <w:tcPr>
            <w:shd w:val="clear" w:fill="f7cbac"/>
            <w:tcMar>
              <w:top w:w="43.2" w:type="dxa"/>
              <w:left w:w="43.2" w:type="dxa"/>
              <w:bottom w:w="43.2" w:type="dxa"/>
              <w:right w:w="43.2" w:type="dxa"/>
            </w:tcMar>
            <w:vAlign w:val="center"/>
          </w:tcPr>
          <w:p w:rsidRPr="00000000" w:rsidR="00000000" w:rsidDel="00000000" w:rsidP="00000000" w:rsidRDefault="00000000" w14:paraId="000005EA">
            <w:pPr>
              <w:spacing w:line="276" w:lineRule="auto"/>
              <w:rPr>
                <w:b w:val="1"/>
                <w:bCs w:val="1"/>
                <w:sz w:val="20"/>
                <w:szCs w:val="20"/>
              </w:rPr>
            </w:pPr>
            <w:r w:rsidRPr="00000000" w:rsidDel="00000000" w:rsidR="00000000">
              <w:rPr>
                <w:b w:val="1"/>
                <w:bCs w:val="1"/>
                <w:sz w:val="20"/>
                <w:szCs w:val="20"/>
                <w:rtl w:val="0"/>
              </w:rPr>
              <w:t xml:space="preserve">Ref</w:t>
            </w:r>
          </w:p>
        </w:tc>
        <w:tc>
          <w:tcPr>
            <w:shd w:val="clear" w:fill="f7cbac"/>
            <w:tcMar>
              <w:top w:w="43.2" w:type="dxa"/>
              <w:left w:w="43.2" w:type="dxa"/>
              <w:bottom w:w="43.2" w:type="dxa"/>
              <w:right w:w="43.2" w:type="dxa"/>
            </w:tcMar>
            <w:vAlign w:val="center"/>
          </w:tcPr>
          <w:p w:rsidRPr="00000000" w:rsidR="00000000" w:rsidDel="00000000" w:rsidP="00000000" w:rsidRDefault="00000000" w14:paraId="000005EB">
            <w:pPr>
              <w:spacing w:line="276" w:lineRule="auto"/>
              <w:rPr>
                <w:b w:val="1"/>
                <w:bCs w:val="1"/>
                <w:sz w:val="20"/>
                <w:szCs w:val="20"/>
              </w:rPr>
            </w:pPr>
            <w:r w:rsidRPr="00000000" w:rsidDel="00000000" w:rsidR="00000000">
              <w:rPr>
                <w:b w:val="1"/>
                <w:bCs w:val="1"/>
                <w:sz w:val="20"/>
                <w:szCs w:val="20"/>
                <w:rtl w:val="0"/>
              </w:rPr>
              <w:t xml:space="preserve">Document Name</w:t>
            </w:r>
          </w:p>
        </w:tc>
        <w:tc>
          <w:tcPr>
            <w:shd w:val="clear" w:fill="f7cbac"/>
            <w:tcMar>
              <w:top w:w="43.2" w:type="dxa"/>
              <w:left w:w="43.2" w:type="dxa"/>
              <w:bottom w:w="43.2" w:type="dxa"/>
              <w:right w:w="43.2" w:type="dxa"/>
            </w:tcMar>
            <w:vAlign w:val="center"/>
          </w:tcPr>
          <w:p w:rsidRPr="00000000" w:rsidR="00000000" w:rsidDel="00000000" w:rsidP="00000000" w:rsidRDefault="00000000" w14:paraId="000005EC">
            <w:pPr>
              <w:spacing w:line="276" w:lineRule="auto"/>
              <w:rPr>
                <w:b w:val="1"/>
                <w:bCs w:val="1"/>
                <w:sz w:val="20"/>
                <w:szCs w:val="20"/>
              </w:rPr>
            </w:pPr>
            <w:r w:rsidRPr="00000000" w:rsidDel="00000000" w:rsidR="00000000">
              <w:rPr>
                <w:b w:val="1"/>
                <w:bCs w:val="1"/>
                <w:sz w:val="20"/>
                <w:szCs w:val="20"/>
                <w:rtl w:val="0"/>
              </w:rPr>
              <w:t xml:space="preserve">Link</w:t>
            </w:r>
          </w:p>
        </w:tc>
      </w:tr>
      <w:tr>
        <w:trPr>
          <w:cantSplit w:val="0"/>
          <w:trHeight w:val="343.5546875" w:hRule="atLeast"/>
          <w:tblHeader w:val="0"/>
        </w:trPr>
        <w:tc>
          <w:tcPr>
            <w:gridSpan w:val="3"/>
            <w:shd w:val="clear" w:fill="b4c6e7"/>
            <w:tcMar>
              <w:top w:w="43.2" w:type="dxa"/>
              <w:left w:w="43.2" w:type="dxa"/>
              <w:bottom w:w="43.2" w:type="dxa"/>
              <w:right w:w="43.2" w:type="dxa"/>
            </w:tcMar>
            <w:vAlign w:val="center"/>
          </w:tcPr>
          <w:p w:rsidRPr="00000000" w:rsidR="00000000" w:rsidDel="00000000" w:rsidP="00000000" w:rsidRDefault="00000000" w14:paraId="000005ED">
            <w:pPr>
              <w:spacing w:line="276" w:lineRule="auto"/>
              <w:rPr>
                <w:b w:val="1"/>
                <w:bCs w:val="1"/>
                <w:i w:val="1"/>
                <w:iCs w:val="1"/>
                <w:sz w:val="20"/>
                <w:szCs w:val="20"/>
              </w:rPr>
            </w:pPr>
            <w:r w:rsidRPr="00000000" w:rsidDel="00000000" w:rsidR="00000000">
              <w:rPr>
                <w:b w:val="1"/>
                <w:bCs w:val="1"/>
                <w:i w:val="1"/>
                <w:iCs w:val="1"/>
                <w:sz w:val="20"/>
                <w:szCs w:val="20"/>
                <w:rtl w:val="0"/>
              </w:rPr>
              <w:t xml:space="preserve">Transaction Monitoring and Screening Processes</w:t>
            </w:r>
            <w:r w:rsidRPr="00000000" w:rsidDel="00000000" w:rsidR="00000000">
              <w:rPr>
                <w:rtl w:val="0"/>
              </w:rPr>
            </w:r>
          </w:p>
        </w:tc>
      </w:tr>
      <w:tr>
        <w:trPr>
          <w:cantSplit w:val="0"/>
          <w:trHeight w:val="208.83789062500006" w:hRule="atLeast"/>
          <w:tblHeader w:val="0"/>
        </w:trPr>
        <w:tc>
          <w:tcPr>
            <w:shd w:val="clear" w:fill="fbe5d5"/>
            <w:tcMar>
              <w:top w:w="43.2" w:type="dxa"/>
              <w:left w:w="43.2" w:type="dxa"/>
              <w:bottom w:w="43.2" w:type="dxa"/>
              <w:right w:w="43.2" w:type="dxa"/>
            </w:tcMar>
            <w:vAlign w:val="center"/>
          </w:tcPr>
          <w:p w:rsidRPr="00000000" w:rsidR="00000000" w:rsidDel="00000000" w:rsidP="00000000" w:rsidRDefault="00000000" w14:paraId="000005F0">
            <w:pPr>
              <w:keepNext w:val="0"/>
              <w:keepLines w:val="0"/>
              <w:pageBreakBefore w:val="0"/>
              <w:widowControl w:val="1"/>
              <w:numPr>
                <w:ilvl w:val="0"/>
                <w:numId w:val="24"/>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i w:val="0"/>
                <w:iCs w:val="0"/>
                <w:smallCaps w:val="0"/>
                <w:strike w:val="0"/>
                <w:color w:val="000000"/>
                <w:sz w:val="20"/>
                <w:szCs w:val="20"/>
                <w:shd w:val="clear" w:fill="auto"/>
                <w:vertAlign w:val="baseline"/>
              </w:rPr>
            </w:pPr>
            <w:r w:rsidRPr="00000000" w:rsidDel="00000000" w:rsidR="00000000">
              <w:rPr>
                <w:rtl w:val="0"/>
              </w:rPr>
            </w:r>
          </w:p>
        </w:tc>
        <w:tc>
          <w:tcPr>
            <w:gridSpan w:val="2"/>
            <w:shd w:val="clear" w:fill="fbe5d5"/>
            <w:tcMar>
              <w:top w:w="43.2" w:type="dxa"/>
              <w:left w:w="43.2" w:type="dxa"/>
              <w:bottom w:w="43.2" w:type="dxa"/>
              <w:right w:w="43.2" w:type="dxa"/>
            </w:tcMar>
            <w:vAlign w:val="center"/>
          </w:tcPr>
          <w:p w:rsidRPr="00000000" w:rsidR="00000000" w:rsidDel="00000000" w:rsidP="00000000" w:rsidRDefault="00000000" w14:paraId="000005F1">
            <w:pPr>
              <w:spacing w:line="276" w:lineRule="auto"/>
              <w:rPr>
                <w:b w:val="1"/>
                <w:bCs w:val="1"/>
                <w:sz w:val="20"/>
                <w:szCs w:val="20"/>
              </w:rPr>
            </w:pPr>
            <w:r w:rsidRPr="00000000" w:rsidDel="00000000" w:rsidR="00000000">
              <w:rPr>
                <w:b w:val="1"/>
                <w:bCs w:val="1"/>
                <w:sz w:val="20"/>
                <w:szCs w:val="20"/>
                <w:rtl w:val="0"/>
              </w:rPr>
              <w:t xml:space="preserve">Transaction Monitoring / Screening Step-by-step Guides</w:t>
            </w:r>
          </w:p>
        </w:tc>
      </w:tr>
      <w:tr>
        <w:trPr>
          <w:cantSplit w:val="0"/>
          <w:tblHeader w:val="0"/>
        </w:trPr>
        <w:tc>
          <w:tcPr>
            <w:tcMar>
              <w:top w:w="43.2" w:type="dxa"/>
              <w:left w:w="43.2" w:type="dxa"/>
              <w:bottom w:w="43.2" w:type="dxa"/>
              <w:right w:w="43.2" w:type="dxa"/>
            </w:tcMar>
            <w:vAlign w:val="center"/>
          </w:tcPr>
          <w:p w:rsidRPr="00000000" w:rsidR="00000000" w:rsidDel="00000000" w:rsidP="00000000" w:rsidRDefault="00000000" w14:paraId="000005F3">
            <w:pPr>
              <w:spacing w:line="276" w:lineRule="auto"/>
              <w:rPr>
                <w:sz w:val="20"/>
                <w:szCs w:val="20"/>
              </w:rPr>
            </w:pPr>
            <w:r w:rsidRPr="00000000" w:rsidDel="00000000" w:rsidR="00000000">
              <w:rPr>
                <w:sz w:val="20"/>
                <w:szCs w:val="20"/>
                <w:rtl w:val="0"/>
              </w:rPr>
              <w:t xml:space="preserve">i)</w:t>
            </w:r>
          </w:p>
        </w:tc>
        <w:tc>
          <w:tcPr>
            <w:tcMar>
              <w:top w:w="43.2" w:type="dxa"/>
              <w:left w:w="43.2" w:type="dxa"/>
              <w:bottom w:w="43.2" w:type="dxa"/>
              <w:right w:w="43.2" w:type="dxa"/>
            </w:tcMar>
            <w:vAlign w:val="center"/>
          </w:tcPr>
          <w:p w:rsidRPr="00000000" w:rsidR="00000000" w:rsidDel="00000000" w:rsidP="00000000" w:rsidRDefault="00000000" w14:paraId="000005F4">
            <w:pPr>
              <w:spacing w:line="276" w:lineRule="auto"/>
              <w:rPr>
                <w:sz w:val="20"/>
                <w:szCs w:val="20"/>
              </w:rPr>
            </w:pPr>
            <w:r w:rsidRPr="00000000" w:rsidDel="00000000" w:rsidR="00000000">
              <w:rPr>
                <w:sz w:val="20"/>
                <w:szCs w:val="20"/>
                <w:rtl w:val="0"/>
              </w:rPr>
              <w:t xml:space="preserve">Standard Operating Procedures and Monitoring Guide</w:t>
            </w:r>
            <w:r w:rsidRPr="00000000" w:rsidDel="00000000" w:rsidR="00000000">
              <w:rPr>
                <w:rtl w:val="0"/>
              </w:rPr>
            </w:r>
          </w:p>
        </w:tc>
        <w:tc>
          <w:tcPr>
            <w:tcMar>
              <w:top w:w="43.2" w:type="dxa"/>
              <w:left w:w="43.2" w:type="dxa"/>
              <w:bottom w:w="43.2" w:type="dxa"/>
              <w:right w:w="43.2" w:type="dxa"/>
            </w:tcMar>
            <w:vAlign w:val="center"/>
          </w:tcPr>
          <w:p w:rsidRPr="00000000" w:rsidR="00000000" w:rsidDel="00000000" w:rsidP="00000000" w:rsidRDefault="00000000" w14:paraId="000005F5">
            <w:pPr>
              <w:spacing w:line="276" w:lineRule="auto"/>
              <w:rPr>
                <w:sz w:val="20"/>
                <w:szCs w:val="20"/>
              </w:rPr>
            </w:pPr>
            <w:hyperlink r:id="rId69">
              <w:r w:rsidRPr="00000000" w:rsidDel="00000000" w:rsidR="00000000">
                <w:rPr>
                  <w:color w:val="1155cc"/>
                  <w:sz w:val="20"/>
                  <w:szCs w:val="20"/>
                  <w:u w:val="single"/>
                  <w:rtl w:val="0"/>
                </w:rPr>
                <w:t xml:space="preserve">https://confluence.toolsfdg.net/display/CMPL/Transaction+Monitoring+Compliance+Framework?preview=/213527725/453919863/Onchain%20Transaction%20Monitoring%20Operating%20Procedure%20v1.2.pdf</w:t>
              </w:r>
            </w:hyperlink>
            <w:r w:rsidRPr="00000000" w:rsidDel="00000000" w:rsidR="00000000">
              <w:rPr>
                <w:sz w:val="20"/>
                <w:szCs w:val="20"/>
                <w:rtl w:val="0"/>
              </w:rPr>
              <w:t xml:space="preserve"> </w:t>
            </w:r>
            <w:r w:rsidRPr="00000000" w:rsidDel="00000000" w:rsidR="00000000">
              <w:rPr>
                <w:rtl w:val="0"/>
              </w:rPr>
            </w:r>
          </w:p>
        </w:tc>
      </w:tr>
      <w:tr>
        <w:trPr>
          <w:cantSplit w:val="0"/>
          <w:tblHeader w:val="0"/>
        </w:trPr>
        <w:tc>
          <w:tcPr>
            <w:tcMar>
              <w:top w:w="43.2" w:type="dxa"/>
              <w:left w:w="43.2" w:type="dxa"/>
              <w:bottom w:w="43.2" w:type="dxa"/>
              <w:right w:w="43.2" w:type="dxa"/>
            </w:tcMar>
            <w:vAlign w:val="center"/>
          </w:tcPr>
          <w:p w:rsidRPr="00000000" w:rsidR="00000000" w:rsidDel="00000000" w:rsidP="00000000" w:rsidRDefault="00000000" w14:paraId="000005F6">
            <w:pPr>
              <w:spacing w:line="276" w:lineRule="auto"/>
              <w:rPr>
                <w:sz w:val="20"/>
                <w:szCs w:val="20"/>
              </w:rPr>
            </w:pPr>
            <w:r w:rsidRPr="00000000" w:rsidDel="00000000" w:rsidR="00000000">
              <w:rPr>
                <w:sz w:val="20"/>
                <w:szCs w:val="20"/>
                <w:rtl w:val="0"/>
              </w:rPr>
              <w:t xml:space="preserve">ii)</w:t>
            </w:r>
          </w:p>
        </w:tc>
        <w:tc>
          <w:tcPr>
            <w:tcMar>
              <w:top w:w="43.2" w:type="dxa"/>
              <w:left w:w="43.2" w:type="dxa"/>
              <w:bottom w:w="43.2" w:type="dxa"/>
              <w:right w:w="43.2" w:type="dxa"/>
            </w:tcMar>
            <w:vAlign w:val="center"/>
          </w:tcPr>
          <w:p w:rsidRPr="00000000" w:rsidR="00000000" w:rsidDel="00000000" w:rsidP="00000000" w:rsidRDefault="00000000" w14:paraId="000005F7">
            <w:pPr>
              <w:spacing w:line="276" w:lineRule="auto"/>
              <w:rPr>
                <w:sz w:val="20"/>
                <w:szCs w:val="20"/>
              </w:rPr>
            </w:pPr>
            <w:r w:rsidRPr="00000000" w:rsidDel="00000000" w:rsidR="00000000">
              <w:rPr>
                <w:sz w:val="20"/>
                <w:szCs w:val="20"/>
                <w:rtl w:val="0"/>
              </w:rPr>
              <w:t xml:space="preserve">Off-chain Transaction Monitoring Step-by-step Guide</w:t>
            </w:r>
          </w:p>
        </w:tc>
        <w:tc>
          <w:tcPr>
            <w:tcMar>
              <w:top w:w="43.2" w:type="dxa"/>
              <w:left w:w="43.2" w:type="dxa"/>
              <w:bottom w:w="43.2" w:type="dxa"/>
              <w:right w:w="43.2" w:type="dxa"/>
            </w:tcMar>
            <w:vAlign w:val="center"/>
          </w:tcPr>
          <w:p w:rsidRPr="00000000" w:rsidR="00000000" w:rsidDel="00000000" w:rsidP="00000000" w:rsidRDefault="00000000" w14:paraId="000005F8">
            <w:pPr>
              <w:spacing w:line="276" w:lineRule="auto"/>
              <w:rPr>
                <w:sz w:val="20"/>
                <w:szCs w:val="20"/>
              </w:rPr>
            </w:pPr>
            <w:hyperlink r:id="rId70">
              <w:r w:rsidRPr="00000000" w:rsidDel="00000000" w:rsidR="00000000">
                <w:rPr>
                  <w:color w:val="1155cc"/>
                  <w:sz w:val="20"/>
                  <w:szCs w:val="20"/>
                  <w:u w:val="single"/>
                  <w:rtl w:val="0"/>
                </w:rPr>
                <w:t xml:space="preserve">https://confluence.toolsfdg.net/display/CMPL/Transaction+Monitoring+Compliance+Framework?preview=/213527725/402274147/Step%20By%20Step%20Guide%20(Offchain%20Transaction%20Monitoring)%20FIAT%20TM%20v1.4%20.pdf</w:t>
              </w:r>
            </w:hyperlink>
            <w:r w:rsidRPr="00000000" w:rsidDel="00000000" w:rsidR="00000000">
              <w:rPr>
                <w:color w:val="0563c1"/>
                <w:sz w:val="20"/>
                <w:szCs w:val="20"/>
                <w:u w:val="single"/>
                <w:rtl w:val="0"/>
              </w:rPr>
              <w:t xml:space="preserve"> </w:t>
            </w:r>
            <w:r w:rsidRPr="00000000" w:rsidDel="00000000" w:rsidR="00000000">
              <w:rPr>
                <w:rtl w:val="0"/>
              </w:rPr>
            </w:r>
          </w:p>
        </w:tc>
      </w:tr>
      <w:tr>
        <w:trPr>
          <w:cantSplit w:val="0"/>
          <w:tblHeader w:val="0"/>
        </w:trPr>
        <w:tc>
          <w:tcPr>
            <w:tcMar>
              <w:top w:w="43.2" w:type="dxa"/>
              <w:left w:w="43.2" w:type="dxa"/>
              <w:bottom w:w="43.2" w:type="dxa"/>
              <w:right w:w="43.2" w:type="dxa"/>
            </w:tcMar>
            <w:vAlign w:val="center"/>
          </w:tcPr>
          <w:p w:rsidRPr="00000000" w:rsidR="00000000" w:rsidDel="00000000" w:rsidP="00000000" w:rsidRDefault="00000000" w14:paraId="000005F9">
            <w:pPr>
              <w:spacing w:line="276" w:lineRule="auto"/>
              <w:rPr>
                <w:sz w:val="20"/>
                <w:szCs w:val="20"/>
              </w:rPr>
            </w:pPr>
            <w:r w:rsidRPr="00000000" w:rsidDel="00000000" w:rsidR="00000000">
              <w:rPr>
                <w:sz w:val="20"/>
                <w:szCs w:val="20"/>
                <w:rtl w:val="0"/>
              </w:rPr>
              <w:t xml:space="preserve">iii)</w:t>
            </w:r>
          </w:p>
        </w:tc>
        <w:tc>
          <w:tcPr>
            <w:tcMar>
              <w:top w:w="43.2" w:type="dxa"/>
              <w:left w:w="43.2" w:type="dxa"/>
              <w:bottom w:w="43.2" w:type="dxa"/>
              <w:right w:w="43.2" w:type="dxa"/>
            </w:tcMar>
            <w:vAlign w:val="center"/>
          </w:tcPr>
          <w:p w:rsidRPr="00000000" w:rsidR="00000000" w:rsidDel="00000000" w:rsidP="00000000" w:rsidRDefault="00000000" w14:paraId="000005FA">
            <w:pPr>
              <w:spacing w:line="276" w:lineRule="auto"/>
              <w:rPr>
                <w:sz w:val="20"/>
                <w:szCs w:val="20"/>
              </w:rPr>
            </w:pPr>
            <w:r w:rsidRPr="00000000" w:rsidDel="00000000" w:rsidR="00000000">
              <w:rPr>
                <w:sz w:val="20"/>
                <w:szCs w:val="20"/>
                <w:rtl w:val="0"/>
              </w:rPr>
              <w:t xml:space="preserve">Bifinity Step-by-step Guide (Off-chain Transaction Monitoring)</w:t>
            </w:r>
          </w:p>
        </w:tc>
        <w:tc>
          <w:tcPr>
            <w:tcMar>
              <w:top w:w="43.2" w:type="dxa"/>
              <w:left w:w="43.2" w:type="dxa"/>
              <w:bottom w:w="43.2" w:type="dxa"/>
              <w:right w:w="43.2" w:type="dxa"/>
            </w:tcMar>
            <w:vAlign w:val="center"/>
          </w:tcPr>
          <w:p w:rsidRPr="00000000" w:rsidR="00000000" w:rsidDel="00000000" w:rsidP="00000000" w:rsidRDefault="00000000" w14:paraId="000005FB">
            <w:pPr>
              <w:spacing w:line="276" w:lineRule="auto"/>
              <w:rPr>
                <w:color w:val="0563c1"/>
                <w:sz w:val="20"/>
                <w:szCs w:val="20"/>
                <w:u w:val="single"/>
              </w:rPr>
            </w:pPr>
            <w:hyperlink r:id="rId71">
              <w:r w:rsidRPr="00000000" w:rsidDel="00000000" w:rsidR="00000000">
                <w:rPr>
                  <w:color w:val="1155cc"/>
                  <w:sz w:val="20"/>
                  <w:szCs w:val="20"/>
                  <w:u w:val="single"/>
                  <w:rtl w:val="0"/>
                </w:rPr>
                <w:t xml:space="preserve">https://confluence.toolsfdg.net/display/CMPL/Transaction+Monitoring+Compliance+Framework?preview=/213527725/389960098/Bifinity%20Offchain%20TM%20Step%20by%20Step%20Guide%20-%20v2.pdf</w:t>
              </w:r>
            </w:hyperlink>
            <w:r w:rsidRPr="00000000" w:rsidDel="00000000" w:rsidR="00000000">
              <w:rPr>
                <w:color w:val="0563c1"/>
                <w:sz w:val="20"/>
                <w:szCs w:val="20"/>
                <w:u w:val="single"/>
                <w:rtl w:val="0"/>
              </w:rPr>
              <w:t xml:space="preserve"> </w:t>
            </w:r>
          </w:p>
        </w:tc>
      </w:tr>
      <w:tr>
        <w:trPr>
          <w:cantSplit w:val="0"/>
          <w:trHeight w:val="28.83789062500007" w:hRule="atLeast"/>
          <w:tblHeader w:val="0"/>
        </w:trPr>
        <w:tc>
          <w:tcPr>
            <w:shd w:val="clear" w:fill="fbe5d5"/>
            <w:tcMar>
              <w:top w:w="43.2" w:type="dxa"/>
              <w:left w:w="43.2" w:type="dxa"/>
              <w:bottom w:w="43.2" w:type="dxa"/>
              <w:right w:w="43.2" w:type="dxa"/>
            </w:tcMar>
            <w:vAlign w:val="center"/>
          </w:tcPr>
          <w:p w:rsidRPr="00000000" w:rsidR="00000000" w:rsidDel="00000000" w:rsidP="00000000" w:rsidRDefault="00000000" w14:paraId="000005FC">
            <w:pPr>
              <w:keepNext w:val="0"/>
              <w:keepLines w:val="0"/>
              <w:pageBreakBefore w:val="0"/>
              <w:widowControl w:val="1"/>
              <w:numPr>
                <w:ilvl w:val="0"/>
                <w:numId w:val="24"/>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i w:val="0"/>
                <w:iCs w:val="0"/>
                <w:smallCaps w:val="0"/>
                <w:strike w:val="0"/>
                <w:color w:val="000000"/>
                <w:sz w:val="20"/>
                <w:szCs w:val="20"/>
                <w:shd w:val="clear" w:fill="auto"/>
                <w:vertAlign w:val="baseline"/>
              </w:rPr>
            </w:pPr>
            <w:r w:rsidRPr="00000000" w:rsidDel="00000000" w:rsidR="00000000">
              <w:rPr>
                <w:rtl w:val="0"/>
              </w:rPr>
            </w:r>
          </w:p>
        </w:tc>
        <w:tc>
          <w:tcPr>
            <w:gridSpan w:val="2"/>
            <w:shd w:val="clear" w:fill="fbe5d5"/>
            <w:tcMar>
              <w:top w:w="43.2" w:type="dxa"/>
              <w:left w:w="43.2" w:type="dxa"/>
              <w:bottom w:w="43.2" w:type="dxa"/>
              <w:right w:w="43.2" w:type="dxa"/>
            </w:tcMar>
            <w:vAlign w:val="center"/>
          </w:tcPr>
          <w:p w:rsidRPr="00000000" w:rsidR="00000000" w:rsidDel="00000000" w:rsidP="00000000" w:rsidRDefault="00000000" w14:paraId="000005FD">
            <w:pPr>
              <w:spacing w:line="276" w:lineRule="auto"/>
              <w:rPr>
                <w:b w:val="1"/>
                <w:bCs w:val="1"/>
                <w:sz w:val="20"/>
                <w:szCs w:val="20"/>
              </w:rPr>
            </w:pPr>
            <w:r w:rsidRPr="00000000" w:rsidDel="00000000" w:rsidR="00000000">
              <w:rPr>
                <w:b w:val="1"/>
                <w:bCs w:val="1"/>
                <w:sz w:val="20"/>
                <w:szCs w:val="20"/>
                <w:rtl w:val="0"/>
              </w:rPr>
              <w:t xml:space="preserve">Transaction Monitoring / Screening Rules Library </w:t>
            </w:r>
          </w:p>
        </w:tc>
      </w:tr>
      <w:tr>
        <w:trPr>
          <w:cantSplit w:val="0"/>
          <w:tblHeader w:val="0"/>
        </w:trPr>
        <w:tc>
          <w:tcPr>
            <w:tcMar>
              <w:top w:w="43.2" w:type="dxa"/>
              <w:left w:w="43.2" w:type="dxa"/>
              <w:bottom w:w="43.2" w:type="dxa"/>
              <w:right w:w="43.2" w:type="dxa"/>
            </w:tcMar>
            <w:vAlign w:val="center"/>
          </w:tcPr>
          <w:p w:rsidRPr="00000000" w:rsidR="00000000" w:rsidDel="00000000" w:rsidP="00000000" w:rsidRDefault="00000000" w14:paraId="000005FF">
            <w:pPr>
              <w:spacing w:line="276" w:lineRule="auto"/>
              <w:rPr>
                <w:sz w:val="20"/>
                <w:szCs w:val="20"/>
              </w:rPr>
            </w:pPr>
            <w:r w:rsidRPr="00000000" w:rsidDel="00000000" w:rsidR="00000000">
              <w:rPr>
                <w:sz w:val="20"/>
                <w:szCs w:val="20"/>
                <w:rtl w:val="0"/>
              </w:rPr>
              <w:t xml:space="preserve">i)</w:t>
            </w:r>
          </w:p>
        </w:tc>
        <w:tc>
          <w:tcPr>
            <w:tcMar>
              <w:top w:w="43.2" w:type="dxa"/>
              <w:left w:w="43.2" w:type="dxa"/>
              <w:bottom w:w="43.2" w:type="dxa"/>
              <w:right w:w="43.2" w:type="dxa"/>
            </w:tcMar>
            <w:vAlign w:val="center"/>
          </w:tcPr>
          <w:p w:rsidRPr="00000000" w:rsidR="00000000" w:rsidDel="00000000" w:rsidP="00000000" w:rsidRDefault="00000000" w14:paraId="00000600">
            <w:pPr>
              <w:spacing w:line="276" w:lineRule="auto"/>
              <w:rPr>
                <w:sz w:val="20"/>
                <w:szCs w:val="20"/>
              </w:rPr>
            </w:pPr>
            <w:r w:rsidRPr="00000000" w:rsidDel="00000000" w:rsidR="00000000">
              <w:rPr>
                <w:sz w:val="20"/>
                <w:szCs w:val="20"/>
                <w:rtl w:val="0"/>
              </w:rPr>
              <w:t xml:space="preserve">In-house rule engine (IHRE) </w:t>
            </w:r>
          </w:p>
        </w:tc>
        <w:tc>
          <w:tcPr>
            <w:tcMar>
              <w:top w:w="43.2" w:type="dxa"/>
              <w:left w:w="43.2" w:type="dxa"/>
              <w:bottom w:w="43.2" w:type="dxa"/>
              <w:right w:w="43.2" w:type="dxa"/>
            </w:tcMar>
            <w:vAlign w:val="center"/>
          </w:tcPr>
          <w:p w:rsidRPr="00000000" w:rsidR="00000000" w:rsidDel="00000000" w:rsidP="00000000" w:rsidRDefault="00000000" w14:paraId="00000601">
            <w:pPr>
              <w:spacing w:line="276" w:lineRule="auto"/>
              <w:rPr>
                <w:color w:val="0563c1"/>
                <w:sz w:val="20"/>
                <w:szCs w:val="20"/>
                <w:u w:val="single"/>
              </w:rPr>
            </w:pPr>
            <w:r w:rsidRPr="00000000" w:rsidDel="00000000" w:rsidR="00000000">
              <w:rPr>
                <w:color w:val="0563c1"/>
                <w:sz w:val="20"/>
                <w:szCs w:val="20"/>
                <w:u w:val="single"/>
                <w:rtl w:val="0"/>
              </w:rPr>
              <w:t xml:space="preserve">https://docs.google.com/spreadsheets/d/1I9ng9QwZa4GnPtZ1s0WJ62Jno1uefXV84QqI-0qd624/edit?gid=0#gid=0</w:t>
            </w:r>
          </w:p>
        </w:tc>
      </w:tr>
      <w:tr>
        <w:trPr>
          <w:cantSplit w:val="0"/>
          <w:tblHeader w:val="0"/>
        </w:trPr>
        <w:tc>
          <w:tcPr>
            <w:tcMar>
              <w:top w:w="43.2" w:type="dxa"/>
              <w:left w:w="43.2" w:type="dxa"/>
              <w:bottom w:w="43.2" w:type="dxa"/>
              <w:right w:w="43.2" w:type="dxa"/>
            </w:tcMar>
            <w:vAlign w:val="center"/>
          </w:tcPr>
          <w:p w:rsidRPr="00000000" w:rsidR="00000000" w:rsidDel="00000000" w:rsidP="00000000" w:rsidRDefault="00000000" w14:paraId="00000602">
            <w:pPr>
              <w:spacing w:line="276" w:lineRule="auto"/>
              <w:rPr>
                <w:sz w:val="20"/>
                <w:szCs w:val="20"/>
              </w:rPr>
            </w:pPr>
            <w:r w:rsidRPr="00000000" w:rsidDel="00000000" w:rsidR="00000000">
              <w:rPr>
                <w:sz w:val="20"/>
                <w:szCs w:val="20"/>
                <w:rtl w:val="0"/>
              </w:rPr>
              <w:t xml:space="preserve">ii)</w:t>
            </w:r>
          </w:p>
        </w:tc>
        <w:tc>
          <w:tcPr>
            <w:tcMar>
              <w:top w:w="43.2" w:type="dxa"/>
              <w:left w:w="43.2" w:type="dxa"/>
              <w:bottom w:w="43.2" w:type="dxa"/>
              <w:right w:w="43.2" w:type="dxa"/>
            </w:tcMar>
            <w:vAlign w:val="center"/>
          </w:tcPr>
          <w:p w:rsidRPr="00000000" w:rsidR="00000000" w:rsidDel="00000000" w:rsidP="00000000" w:rsidRDefault="00000000" w14:paraId="00000603">
            <w:pPr>
              <w:spacing w:line="276" w:lineRule="auto"/>
              <w:rPr>
                <w:sz w:val="20"/>
                <w:szCs w:val="20"/>
              </w:rPr>
            </w:pPr>
            <w:r w:rsidRPr="00000000" w:rsidDel="00000000" w:rsidR="00000000">
              <w:rPr>
                <w:sz w:val="20"/>
                <w:szCs w:val="20"/>
                <w:rtl w:val="0"/>
              </w:rPr>
              <w:t xml:space="preserve">On-chain Rules Library</w:t>
            </w:r>
          </w:p>
        </w:tc>
        <w:tc>
          <w:tcPr>
            <w:tcMar>
              <w:top w:w="43.2" w:type="dxa"/>
              <w:left w:w="43.2" w:type="dxa"/>
              <w:bottom w:w="43.2" w:type="dxa"/>
              <w:right w:w="43.2" w:type="dxa"/>
            </w:tcMar>
            <w:vAlign w:val="center"/>
          </w:tcPr>
          <w:p w:rsidRPr="00000000" w:rsidR="00000000" w:rsidDel="00000000" w:rsidP="00000000" w:rsidRDefault="00000000" w14:paraId="00000604">
            <w:pPr>
              <w:spacing w:line="276" w:lineRule="auto"/>
              <w:rPr>
                <w:color w:val="0563c1"/>
                <w:sz w:val="20"/>
                <w:szCs w:val="20"/>
                <w:u w:val="single"/>
              </w:rPr>
            </w:pPr>
            <w:r w:rsidRPr="00000000" w:rsidDel="00000000" w:rsidR="00000000">
              <w:rPr>
                <w:color w:val="0563c1"/>
                <w:sz w:val="20"/>
                <w:szCs w:val="20"/>
                <w:u w:val="single"/>
                <w:rtl w:val="0"/>
              </w:rPr>
              <w:t xml:space="preserve">https://docs.google.com/spreadsheets/d/1ape69PK9WF9xZ3III5X_c3rBpfDzX7JgEMxEW9ldt08/edit?gid=1113383390#gid=1113383390</w:t>
            </w:r>
          </w:p>
        </w:tc>
      </w:tr>
      <w:tr>
        <w:trPr>
          <w:cantSplit w:val="0"/>
          <w:tblHeader w:val="0"/>
        </w:trPr>
        <w:tc>
          <w:tcPr>
            <w:tcMar>
              <w:top w:w="43.2" w:type="dxa"/>
              <w:left w:w="43.2" w:type="dxa"/>
              <w:bottom w:w="43.2" w:type="dxa"/>
              <w:right w:w="43.2" w:type="dxa"/>
            </w:tcMar>
            <w:vAlign w:val="center"/>
          </w:tcPr>
          <w:p w:rsidRPr="00000000" w:rsidR="00000000" w:rsidDel="00000000" w:rsidP="00000000" w:rsidRDefault="00000000" w14:paraId="00000605">
            <w:pPr>
              <w:spacing w:line="276" w:lineRule="auto"/>
              <w:rPr>
                <w:sz w:val="20"/>
                <w:szCs w:val="20"/>
              </w:rPr>
            </w:pPr>
            <w:r w:rsidRPr="00000000" w:rsidDel="00000000" w:rsidR="00000000">
              <w:rPr>
                <w:sz w:val="20"/>
                <w:szCs w:val="20"/>
                <w:rtl w:val="0"/>
              </w:rPr>
              <w:t xml:space="preserve">iii)</w:t>
            </w:r>
          </w:p>
        </w:tc>
        <w:tc>
          <w:tcPr>
            <w:tcMar>
              <w:top w:w="43.2" w:type="dxa"/>
              <w:left w:w="43.2" w:type="dxa"/>
              <w:bottom w:w="43.2" w:type="dxa"/>
              <w:right w:w="43.2" w:type="dxa"/>
            </w:tcMar>
            <w:vAlign w:val="center"/>
          </w:tcPr>
          <w:p w:rsidRPr="00000000" w:rsidR="00000000" w:rsidDel="00000000" w:rsidP="00000000" w:rsidRDefault="00000000" w14:paraId="00000606">
            <w:pPr>
              <w:shd w:val="clear" w:fill="f8f9fb"/>
              <w:spacing w:line="276" w:lineRule="auto"/>
              <w:rPr>
                <w:sz w:val="20"/>
                <w:szCs w:val="20"/>
              </w:rPr>
            </w:pPr>
            <w:r w:rsidRPr="00000000" w:rsidDel="00000000" w:rsidR="00000000">
              <w:rPr>
                <w:sz w:val="20"/>
                <w:szCs w:val="20"/>
                <w:rtl w:val="0"/>
              </w:rPr>
              <w:t xml:space="preserve">Compliance_case_autoclose_tracking</w:t>
            </w:r>
          </w:p>
        </w:tc>
        <w:tc>
          <w:tcPr>
            <w:tcMar>
              <w:top w:w="43.2" w:type="dxa"/>
              <w:left w:w="43.2" w:type="dxa"/>
              <w:bottom w:w="43.2" w:type="dxa"/>
              <w:right w:w="43.2" w:type="dxa"/>
            </w:tcMar>
            <w:vAlign w:val="center"/>
          </w:tcPr>
          <w:p w:rsidRPr="00000000" w:rsidR="00000000" w:rsidDel="00000000" w:rsidP="00000000" w:rsidRDefault="00000000" w14:paraId="00000607">
            <w:pPr>
              <w:spacing w:line="276" w:lineRule="auto"/>
              <w:rPr>
                <w:color w:val="0563c1"/>
                <w:sz w:val="20"/>
                <w:szCs w:val="20"/>
                <w:u w:val="single"/>
              </w:rPr>
            </w:pPr>
            <w:r w:rsidRPr="00000000" w:rsidDel="00000000" w:rsidR="00000000">
              <w:rPr>
                <w:color w:val="0563c1"/>
                <w:sz w:val="20"/>
                <w:szCs w:val="20"/>
                <w:u w:val="single"/>
                <w:rtl w:val="0"/>
              </w:rPr>
              <w:t xml:space="preserve">https://datawind.bdp.toolsfdg.net/bi/#/dashboard/55083?appId=1&amp;sheetId=41095&amp;snapshotId=48602</w:t>
            </w:r>
          </w:p>
        </w:tc>
      </w:tr>
      <w:tr>
        <w:trPr>
          <w:cantSplit w:val="0"/>
          <w:trHeight w:val="148.83789062500006" w:hRule="atLeast"/>
          <w:tblHeader w:val="0"/>
        </w:trPr>
        <w:tc>
          <w:tcPr>
            <w:shd w:val="clear" w:fill="fbe5d5"/>
            <w:tcMar>
              <w:top w:w="43.2" w:type="dxa"/>
              <w:left w:w="43.2" w:type="dxa"/>
              <w:bottom w:w="43.2" w:type="dxa"/>
              <w:right w:w="43.2" w:type="dxa"/>
            </w:tcMar>
            <w:vAlign w:val="center"/>
          </w:tcPr>
          <w:p w:rsidRPr="00000000" w:rsidR="00000000" w:rsidDel="00000000" w:rsidP="00000000" w:rsidRDefault="00000000" w14:paraId="00000608">
            <w:pPr>
              <w:keepNext w:val="0"/>
              <w:keepLines w:val="0"/>
              <w:pageBreakBefore w:val="0"/>
              <w:widowControl w:val="1"/>
              <w:numPr>
                <w:ilvl w:val="0"/>
                <w:numId w:val="24"/>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i w:val="0"/>
                <w:iCs w:val="0"/>
                <w:smallCaps w:val="0"/>
                <w:strike w:val="0"/>
                <w:color w:val="000000"/>
                <w:sz w:val="20"/>
                <w:szCs w:val="20"/>
                <w:shd w:val="clear" w:fill="auto"/>
                <w:vertAlign w:val="baseline"/>
              </w:rPr>
            </w:pPr>
            <w:r w:rsidRPr="00000000" w:rsidDel="00000000" w:rsidR="00000000">
              <w:rPr>
                <w:rtl w:val="0"/>
              </w:rPr>
            </w:r>
          </w:p>
        </w:tc>
        <w:tc>
          <w:tcPr>
            <w:gridSpan w:val="2"/>
            <w:shd w:val="clear" w:fill="fbe5d5"/>
            <w:tcMar>
              <w:top w:w="43.2" w:type="dxa"/>
              <w:left w:w="43.2" w:type="dxa"/>
              <w:bottom w:w="43.2" w:type="dxa"/>
              <w:right w:w="43.2" w:type="dxa"/>
            </w:tcMar>
            <w:vAlign w:val="center"/>
          </w:tcPr>
          <w:p w:rsidRPr="00000000" w:rsidR="00000000" w:rsidDel="00000000" w:rsidP="00000000" w:rsidRDefault="00000000" w14:paraId="00000609">
            <w:pPr>
              <w:spacing w:line="276" w:lineRule="auto"/>
              <w:rPr>
                <w:b w:val="1"/>
                <w:bCs w:val="1"/>
                <w:sz w:val="20"/>
                <w:szCs w:val="20"/>
              </w:rPr>
            </w:pPr>
            <w:r w:rsidRPr="00000000" w:rsidDel="00000000" w:rsidR="00000000">
              <w:rPr>
                <w:b w:val="1"/>
                <w:bCs w:val="1"/>
                <w:sz w:val="20"/>
                <w:szCs w:val="20"/>
                <w:rtl w:val="0"/>
              </w:rPr>
              <w:t xml:space="preserve">Transaction Monitoring / Screening Tools &amp; Vendors</w:t>
            </w:r>
          </w:p>
        </w:tc>
      </w:tr>
      <w:tr>
        <w:trPr>
          <w:cantSplit w:val="0"/>
          <w:tblHeader w:val="0"/>
        </w:trPr>
        <w:tc>
          <w:tcPr>
            <w:tcMar>
              <w:top w:w="43.2" w:type="dxa"/>
              <w:left w:w="43.2" w:type="dxa"/>
              <w:bottom w:w="43.2" w:type="dxa"/>
              <w:right w:w="43.2" w:type="dxa"/>
            </w:tcMar>
            <w:vAlign w:val="center"/>
          </w:tcPr>
          <w:p w:rsidRPr="00000000" w:rsidR="00000000" w:rsidDel="00000000" w:rsidP="00000000" w:rsidRDefault="00000000" w14:paraId="0000060B">
            <w:pPr>
              <w:spacing w:line="276" w:lineRule="auto"/>
              <w:rPr>
                <w:sz w:val="20"/>
                <w:szCs w:val="20"/>
              </w:rPr>
            </w:pPr>
            <w:r w:rsidRPr="00000000" w:rsidDel="00000000" w:rsidR="00000000">
              <w:rPr>
                <w:sz w:val="20"/>
                <w:szCs w:val="20"/>
                <w:rtl w:val="0"/>
              </w:rPr>
              <w:t xml:space="preserve">i)</w:t>
            </w:r>
          </w:p>
        </w:tc>
        <w:tc>
          <w:tcPr>
            <w:tcMar>
              <w:top w:w="43.2" w:type="dxa"/>
              <w:left w:w="43.2" w:type="dxa"/>
              <w:bottom w:w="43.2" w:type="dxa"/>
              <w:right w:w="43.2" w:type="dxa"/>
            </w:tcMar>
            <w:vAlign w:val="center"/>
          </w:tcPr>
          <w:p w:rsidRPr="00000000" w:rsidR="00000000" w:rsidDel="00000000" w:rsidP="00000000" w:rsidRDefault="00000000" w14:paraId="0000060C">
            <w:pPr>
              <w:spacing w:line="276" w:lineRule="auto"/>
              <w:rPr>
                <w:sz w:val="20"/>
                <w:szCs w:val="20"/>
              </w:rPr>
            </w:pPr>
            <w:r w:rsidRPr="00000000" w:rsidDel="00000000" w:rsidR="00000000">
              <w:rPr>
                <w:sz w:val="20"/>
                <w:szCs w:val="20"/>
                <w:rtl w:val="0"/>
              </w:rPr>
              <w:t xml:space="preserve">Haodesk (TM case management)</w:t>
            </w:r>
          </w:p>
        </w:tc>
        <w:tc>
          <w:tcPr>
            <w:tcMar>
              <w:top w:w="43.2" w:type="dxa"/>
              <w:left w:w="43.2" w:type="dxa"/>
              <w:bottom w:w="43.2" w:type="dxa"/>
              <w:right w:w="43.2" w:type="dxa"/>
            </w:tcMar>
            <w:vAlign w:val="center"/>
          </w:tcPr>
          <w:p w:rsidRPr="00000000" w:rsidR="00000000" w:rsidDel="00000000" w:rsidP="00000000" w:rsidRDefault="00000000" w14:paraId="0000060D">
            <w:pPr>
              <w:spacing w:line="276" w:lineRule="auto"/>
              <w:rPr>
                <w:color w:val="0563c1"/>
                <w:sz w:val="20"/>
                <w:szCs w:val="20"/>
                <w:u w:val="single"/>
              </w:rPr>
            </w:pPr>
            <w:hyperlink r:id="rId72">
              <w:r w:rsidRPr="00000000" w:rsidDel="00000000" w:rsidR="00000000">
                <w:rPr>
                  <w:color w:val="0563c1"/>
                  <w:sz w:val="20"/>
                  <w:szCs w:val="20"/>
                  <w:u w:val="single"/>
                  <w:rtl w:val="0"/>
                </w:rPr>
                <w:t xml:space="preserve">https://haodesk.blsdkrgjf.io/</w:t>
              </w:r>
            </w:hyperlink>
            <w:r w:rsidRPr="00000000" w:rsidDel="00000000" w:rsidR="00000000">
              <w:rPr>
                <w:rtl w:val="0"/>
              </w:rPr>
            </w:r>
          </w:p>
        </w:tc>
      </w:tr>
      <w:tr>
        <w:trPr>
          <w:cantSplit w:val="0"/>
          <w:tblHeader w:val="0"/>
        </w:trPr>
        <w:tc>
          <w:tcPr>
            <w:tcMar>
              <w:top w:w="43.2" w:type="dxa"/>
              <w:left w:w="43.2" w:type="dxa"/>
              <w:bottom w:w="43.2" w:type="dxa"/>
              <w:right w:w="43.2" w:type="dxa"/>
            </w:tcMar>
            <w:vAlign w:val="center"/>
          </w:tcPr>
          <w:p w:rsidRPr="00000000" w:rsidR="00000000" w:rsidDel="00000000" w:rsidP="00000000" w:rsidRDefault="00000000" w14:paraId="0000060E">
            <w:pPr>
              <w:spacing w:line="276" w:lineRule="auto"/>
              <w:rPr>
                <w:sz w:val="20"/>
                <w:szCs w:val="20"/>
              </w:rPr>
            </w:pPr>
            <w:r w:rsidRPr="00000000" w:rsidDel="00000000" w:rsidR="00000000">
              <w:rPr>
                <w:sz w:val="20"/>
                <w:szCs w:val="20"/>
                <w:rtl w:val="0"/>
              </w:rPr>
              <w:t xml:space="preserve">ii)</w:t>
            </w:r>
          </w:p>
        </w:tc>
        <w:tc>
          <w:tcPr>
            <w:tcMar>
              <w:top w:w="43.2" w:type="dxa"/>
              <w:left w:w="43.2" w:type="dxa"/>
              <w:bottom w:w="43.2" w:type="dxa"/>
              <w:right w:w="43.2" w:type="dxa"/>
            </w:tcMar>
            <w:vAlign w:val="center"/>
          </w:tcPr>
          <w:p w:rsidRPr="00000000" w:rsidR="00000000" w:rsidDel="00000000" w:rsidP="00000000" w:rsidRDefault="00000000" w14:paraId="0000060F">
            <w:pPr>
              <w:spacing w:line="276" w:lineRule="auto"/>
              <w:rPr>
                <w:sz w:val="20"/>
                <w:szCs w:val="20"/>
              </w:rPr>
            </w:pPr>
            <w:r w:rsidRPr="00000000" w:rsidDel="00000000" w:rsidR="00000000">
              <w:rPr>
                <w:sz w:val="20"/>
                <w:szCs w:val="20"/>
                <w:rtl w:val="0"/>
              </w:rPr>
              <w:t xml:space="preserve">Elliptic Login </w:t>
            </w:r>
          </w:p>
        </w:tc>
        <w:tc>
          <w:tcPr>
            <w:tcMar>
              <w:top w:w="43.2" w:type="dxa"/>
              <w:left w:w="43.2" w:type="dxa"/>
              <w:bottom w:w="43.2" w:type="dxa"/>
              <w:right w:w="43.2" w:type="dxa"/>
            </w:tcMar>
            <w:vAlign w:val="center"/>
          </w:tcPr>
          <w:p w:rsidRPr="00000000" w:rsidR="00000000" w:rsidDel="00000000" w:rsidP="00000000" w:rsidRDefault="00000000" w14:paraId="00000610">
            <w:pPr>
              <w:spacing w:line="276" w:lineRule="auto"/>
              <w:rPr>
                <w:color w:val="0563c1"/>
                <w:sz w:val="20"/>
                <w:szCs w:val="20"/>
                <w:u w:val="single"/>
              </w:rPr>
            </w:pPr>
            <w:hyperlink r:id="rId73">
              <w:r w:rsidRPr="00000000" w:rsidDel="00000000" w:rsidR="00000000">
                <w:rPr>
                  <w:color w:val="0563c1"/>
                  <w:sz w:val="20"/>
                  <w:szCs w:val="20"/>
                  <w:u w:val="single"/>
                  <w:rtl w:val="0"/>
                </w:rPr>
                <w:t xml:space="preserve">https://app.elliptic.co/auth/login</w:t>
              </w:r>
            </w:hyperlink>
            <w:r w:rsidRPr="00000000" w:rsidDel="00000000" w:rsidR="00000000">
              <w:rPr>
                <w:rtl w:val="0"/>
              </w:rPr>
            </w:r>
          </w:p>
        </w:tc>
      </w:tr>
      <w:tr>
        <w:trPr>
          <w:cantSplit w:val="0"/>
          <w:tblHeader w:val="0"/>
        </w:trPr>
        <w:tc>
          <w:tcPr>
            <w:tcMar>
              <w:top w:w="43.2" w:type="dxa"/>
              <w:left w:w="43.2" w:type="dxa"/>
              <w:bottom w:w="43.2" w:type="dxa"/>
              <w:right w:w="43.2" w:type="dxa"/>
            </w:tcMar>
            <w:vAlign w:val="center"/>
          </w:tcPr>
          <w:p w:rsidRPr="00000000" w:rsidR="00000000" w:rsidDel="00000000" w:rsidP="00000000" w:rsidRDefault="00000000" w14:paraId="00000611">
            <w:pPr>
              <w:spacing w:line="276" w:lineRule="auto"/>
              <w:rPr>
                <w:sz w:val="20"/>
                <w:szCs w:val="20"/>
              </w:rPr>
            </w:pPr>
            <w:r w:rsidRPr="00000000" w:rsidDel="00000000" w:rsidR="00000000">
              <w:rPr>
                <w:sz w:val="20"/>
                <w:szCs w:val="20"/>
                <w:rtl w:val="0"/>
              </w:rPr>
              <w:t xml:space="preserve">iii)</w:t>
            </w:r>
          </w:p>
        </w:tc>
        <w:tc>
          <w:tcPr>
            <w:tcMar>
              <w:top w:w="43.2" w:type="dxa"/>
              <w:left w:w="43.2" w:type="dxa"/>
              <w:bottom w:w="43.2" w:type="dxa"/>
              <w:right w:w="43.2" w:type="dxa"/>
            </w:tcMar>
            <w:vAlign w:val="center"/>
          </w:tcPr>
          <w:p w:rsidRPr="00000000" w:rsidR="00000000" w:rsidDel="00000000" w:rsidP="00000000" w:rsidRDefault="00000000" w14:paraId="00000612">
            <w:pPr>
              <w:spacing w:line="276" w:lineRule="auto"/>
              <w:rPr>
                <w:sz w:val="20"/>
                <w:szCs w:val="20"/>
              </w:rPr>
            </w:pPr>
            <w:r w:rsidRPr="00000000" w:rsidDel="00000000" w:rsidR="00000000">
              <w:rPr>
                <w:sz w:val="20"/>
                <w:szCs w:val="20"/>
                <w:rtl w:val="0"/>
              </w:rPr>
              <w:t xml:space="preserve">Blocktracer (Spade)</w:t>
            </w:r>
          </w:p>
        </w:tc>
        <w:tc>
          <w:tcPr>
            <w:tcMar>
              <w:top w:w="43.2" w:type="dxa"/>
              <w:left w:w="43.2" w:type="dxa"/>
              <w:bottom w:w="43.2" w:type="dxa"/>
              <w:right w:w="43.2" w:type="dxa"/>
            </w:tcMar>
            <w:vAlign w:val="center"/>
          </w:tcPr>
          <w:p w:rsidRPr="00000000" w:rsidR="00000000" w:rsidDel="00000000" w:rsidP="00000000" w:rsidRDefault="00000000" w14:paraId="00000613">
            <w:pPr>
              <w:spacing w:line="276" w:lineRule="auto"/>
              <w:rPr>
                <w:color w:val="0563c1"/>
                <w:sz w:val="20"/>
                <w:szCs w:val="20"/>
                <w:u w:val="single"/>
              </w:rPr>
            </w:pPr>
            <w:hyperlink r:id="rId74">
              <w:r w:rsidRPr="00000000" w:rsidDel="00000000" w:rsidR="00000000">
                <w:rPr>
                  <w:color w:val="0563c1"/>
                  <w:sz w:val="20"/>
                  <w:szCs w:val="20"/>
                  <w:u w:val="single"/>
                  <w:rtl w:val="0"/>
                </w:rPr>
                <w:t xml:space="preserve">https://spade.toolsfdg.net/nlegacy/blocktracer</w:t>
              </w:r>
            </w:hyperlink>
            <w:r w:rsidRPr="00000000" w:rsidDel="00000000" w:rsidR="00000000">
              <w:rPr>
                <w:rtl w:val="0"/>
              </w:rPr>
            </w:r>
          </w:p>
        </w:tc>
      </w:tr>
      <w:tr>
        <w:trPr>
          <w:cantSplit w:val="0"/>
          <w:tblHeader w:val="0"/>
        </w:trPr>
        <w:tc>
          <w:tcPr>
            <w:tcMar>
              <w:top w:w="43.2" w:type="dxa"/>
              <w:left w:w="43.2" w:type="dxa"/>
              <w:bottom w:w="43.2" w:type="dxa"/>
              <w:right w:w="43.2" w:type="dxa"/>
            </w:tcMar>
            <w:vAlign w:val="center"/>
          </w:tcPr>
          <w:p w:rsidRPr="00000000" w:rsidR="00000000" w:rsidDel="00000000" w:rsidP="00000000" w:rsidRDefault="00000000" w14:paraId="00000614">
            <w:pPr>
              <w:spacing w:line="276" w:lineRule="auto"/>
              <w:rPr>
                <w:sz w:val="20"/>
                <w:szCs w:val="20"/>
              </w:rPr>
            </w:pPr>
            <w:r w:rsidRPr="00000000" w:rsidDel="00000000" w:rsidR="00000000">
              <w:rPr>
                <w:sz w:val="20"/>
                <w:szCs w:val="20"/>
                <w:rtl w:val="0"/>
              </w:rPr>
              <w:t xml:space="preserve">1</w:t>
            </w:r>
          </w:p>
        </w:tc>
        <w:tc>
          <w:tcPr>
            <w:tcMar>
              <w:top w:w="43.2" w:type="dxa"/>
              <w:left w:w="43.2" w:type="dxa"/>
              <w:bottom w:w="43.2" w:type="dxa"/>
              <w:right w:w="43.2" w:type="dxa"/>
            </w:tcMar>
            <w:vAlign w:val="center"/>
          </w:tcPr>
          <w:p w:rsidRPr="00000000" w:rsidR="00000000" w:rsidDel="00000000" w:rsidP="00000000" w:rsidRDefault="00000000" w14:paraId="00000615">
            <w:pPr>
              <w:spacing w:line="276" w:lineRule="auto"/>
              <w:rPr>
                <w:sz w:val="20"/>
                <w:szCs w:val="20"/>
              </w:rPr>
            </w:pPr>
            <w:r w:rsidRPr="00000000" w:rsidDel="00000000" w:rsidR="00000000">
              <w:rPr>
                <w:sz w:val="20"/>
                <w:szCs w:val="20"/>
                <w:rtl w:val="0"/>
              </w:rPr>
              <w:t xml:space="preserve">BlockTracer Tech Process</w:t>
            </w:r>
          </w:p>
        </w:tc>
        <w:tc>
          <w:tcPr>
            <w:tcMar>
              <w:top w:w="43.2" w:type="dxa"/>
              <w:left w:w="43.2" w:type="dxa"/>
              <w:bottom w:w="43.2" w:type="dxa"/>
              <w:right w:w="43.2" w:type="dxa"/>
            </w:tcMar>
            <w:vAlign w:val="center"/>
          </w:tcPr>
          <w:p w:rsidRPr="00000000" w:rsidR="00000000" w:rsidDel="00000000" w:rsidP="00000000" w:rsidRDefault="00000000" w14:paraId="00000616">
            <w:pPr>
              <w:spacing w:line="276" w:lineRule="auto"/>
              <w:rPr>
                <w:color w:val="0563c1"/>
                <w:sz w:val="20"/>
                <w:szCs w:val="20"/>
                <w:u w:val="single"/>
              </w:rPr>
            </w:pPr>
            <w:hyperlink r:id="rId75">
              <w:r w:rsidRPr="00000000" w:rsidDel="00000000" w:rsidR="00000000">
                <w:rPr>
                  <w:color w:val="1155cc"/>
                  <w:sz w:val="20"/>
                  <w:szCs w:val="20"/>
                  <w:u w:val="single"/>
                  <w:rtl w:val="0"/>
                </w:rPr>
                <w:t xml:space="preserve">https://docs.google.com/document/d/1DjT6IPwkw5duCRhb7Dzm8o44Cj-V-_aDBiI5cjX2UNI/edit?tab=t.0#heading=h.xcy3fwe1dev0</w:t>
              </w:r>
            </w:hyperlink>
            <w:r w:rsidRPr="00000000" w:rsidDel="00000000" w:rsidR="00000000">
              <w:rPr>
                <w:color w:val="0563c1"/>
                <w:sz w:val="20"/>
                <w:szCs w:val="20"/>
                <w:u w:val="single"/>
                <w:rtl w:val="0"/>
              </w:rPr>
              <w:t xml:space="preserve"> </w:t>
            </w:r>
          </w:p>
        </w:tc>
      </w:tr>
      <w:tr>
        <w:trPr>
          <w:cantSplit w:val="0"/>
          <w:tblHeader w:val="0"/>
        </w:trPr>
        <w:tc>
          <w:tcPr>
            <w:tcMar>
              <w:top w:w="43.2" w:type="dxa"/>
              <w:left w:w="43.2" w:type="dxa"/>
              <w:bottom w:w="43.2" w:type="dxa"/>
              <w:right w:w="43.2" w:type="dxa"/>
            </w:tcMar>
            <w:vAlign w:val="center"/>
          </w:tcPr>
          <w:p w:rsidRPr="00000000" w:rsidR="00000000" w:rsidDel="00000000" w:rsidP="00000000" w:rsidRDefault="00000000" w14:paraId="00000617">
            <w:pPr>
              <w:spacing w:line="276" w:lineRule="auto"/>
              <w:rPr>
                <w:sz w:val="20"/>
                <w:szCs w:val="20"/>
              </w:rPr>
            </w:pPr>
            <w:r w:rsidRPr="00000000" w:rsidDel="00000000" w:rsidR="00000000">
              <w:rPr>
                <w:sz w:val="20"/>
                <w:szCs w:val="20"/>
                <w:rtl w:val="0"/>
              </w:rPr>
              <w:t xml:space="preserve">2</w:t>
            </w:r>
          </w:p>
        </w:tc>
        <w:tc>
          <w:tcPr>
            <w:tcMar>
              <w:top w:w="43.2" w:type="dxa"/>
              <w:left w:w="43.2" w:type="dxa"/>
              <w:bottom w:w="43.2" w:type="dxa"/>
              <w:right w:w="43.2" w:type="dxa"/>
            </w:tcMar>
            <w:vAlign w:val="center"/>
          </w:tcPr>
          <w:p w:rsidRPr="00000000" w:rsidR="00000000" w:rsidDel="00000000" w:rsidP="00000000" w:rsidRDefault="00000000" w14:paraId="00000618">
            <w:pPr>
              <w:spacing w:line="276" w:lineRule="auto"/>
              <w:rPr>
                <w:sz w:val="20"/>
                <w:szCs w:val="20"/>
              </w:rPr>
            </w:pPr>
            <w:r w:rsidRPr="00000000" w:rsidDel="00000000" w:rsidR="00000000">
              <w:rPr>
                <w:sz w:val="20"/>
                <w:szCs w:val="20"/>
                <w:rtl w:val="0"/>
              </w:rPr>
              <w:t xml:space="preserve">BlockTracer User Manual</w:t>
            </w:r>
          </w:p>
        </w:tc>
        <w:tc>
          <w:tcPr>
            <w:tcMar>
              <w:top w:w="43.2" w:type="dxa"/>
              <w:left w:w="43.2" w:type="dxa"/>
              <w:bottom w:w="43.2" w:type="dxa"/>
              <w:right w:w="43.2" w:type="dxa"/>
            </w:tcMar>
            <w:vAlign w:val="center"/>
          </w:tcPr>
          <w:p w:rsidRPr="00000000" w:rsidR="00000000" w:rsidDel="00000000" w:rsidP="00000000" w:rsidRDefault="00000000" w14:paraId="00000619">
            <w:pPr>
              <w:spacing w:line="276" w:lineRule="auto"/>
              <w:rPr>
                <w:color w:val="0563c1"/>
                <w:sz w:val="20"/>
                <w:szCs w:val="20"/>
                <w:u w:val="single"/>
              </w:rPr>
            </w:pPr>
            <w:r w:rsidRPr="00000000" w:rsidDel="00000000" w:rsidR="00000000">
              <w:rPr>
                <w:color w:val="0563c1"/>
                <w:sz w:val="20"/>
                <w:szCs w:val="20"/>
                <w:u w:val="single"/>
                <w:rtl w:val="0"/>
              </w:rPr>
              <w:t xml:space="preserve">https://docs.google.com/document/d/1JIeAdzfC--hE7nyLv_2Lfhtf2S2P9jw_b891xp80vq4/edit?tab=t.0#heading=h.ulvuoj3y5zv1</w:t>
            </w:r>
          </w:p>
        </w:tc>
      </w:tr>
      <w:tr>
        <w:trPr>
          <w:cantSplit w:val="0"/>
          <w:tblHeader w:val="0"/>
        </w:trPr>
        <w:tc>
          <w:tcPr>
            <w:tcMar>
              <w:top w:w="43.2" w:type="dxa"/>
              <w:left w:w="43.2" w:type="dxa"/>
              <w:bottom w:w="43.2" w:type="dxa"/>
              <w:right w:w="43.2" w:type="dxa"/>
            </w:tcMar>
            <w:vAlign w:val="center"/>
          </w:tcPr>
          <w:p w:rsidRPr="00000000" w:rsidR="00000000" w:rsidDel="00000000" w:rsidP="00000000" w:rsidRDefault="00000000" w14:paraId="0000061A">
            <w:pPr>
              <w:spacing w:line="276" w:lineRule="auto"/>
              <w:rPr>
                <w:sz w:val="20"/>
                <w:szCs w:val="20"/>
              </w:rPr>
            </w:pPr>
            <w:r w:rsidRPr="00000000" w:rsidDel="00000000" w:rsidR="00000000">
              <w:rPr>
                <w:sz w:val="20"/>
                <w:szCs w:val="20"/>
                <w:rtl w:val="0"/>
              </w:rPr>
              <w:t xml:space="preserve">3</w:t>
            </w:r>
          </w:p>
        </w:tc>
        <w:tc>
          <w:tcPr>
            <w:tcMar>
              <w:top w:w="43.2" w:type="dxa"/>
              <w:left w:w="43.2" w:type="dxa"/>
              <w:bottom w:w="43.2" w:type="dxa"/>
              <w:right w:w="43.2" w:type="dxa"/>
            </w:tcMar>
            <w:vAlign w:val="center"/>
          </w:tcPr>
          <w:p w:rsidRPr="00000000" w:rsidR="00000000" w:rsidDel="00000000" w:rsidP="00000000" w:rsidRDefault="00000000" w14:paraId="0000061B">
            <w:pPr>
              <w:spacing w:line="276" w:lineRule="auto"/>
              <w:rPr>
                <w:sz w:val="20"/>
                <w:szCs w:val="20"/>
              </w:rPr>
            </w:pPr>
            <w:r w:rsidRPr="00000000" w:rsidDel="00000000" w:rsidR="00000000">
              <w:rPr>
                <w:sz w:val="20"/>
                <w:szCs w:val="20"/>
                <w:rtl w:val="0"/>
              </w:rPr>
              <w:t xml:space="preserve">BlockTracer Risk Score API User Guide</w:t>
            </w:r>
          </w:p>
        </w:tc>
        <w:tc>
          <w:tcPr>
            <w:tcMar>
              <w:top w:w="43.2" w:type="dxa"/>
              <w:left w:w="43.2" w:type="dxa"/>
              <w:bottom w:w="43.2" w:type="dxa"/>
              <w:right w:w="43.2" w:type="dxa"/>
            </w:tcMar>
            <w:vAlign w:val="center"/>
          </w:tcPr>
          <w:p w:rsidRPr="00000000" w:rsidR="00000000" w:rsidDel="00000000" w:rsidP="00000000" w:rsidRDefault="00000000" w14:paraId="0000061C">
            <w:pPr>
              <w:spacing w:line="276" w:lineRule="auto"/>
              <w:rPr>
                <w:color w:val="0563c1"/>
                <w:sz w:val="20"/>
                <w:szCs w:val="20"/>
                <w:u w:val="single"/>
              </w:rPr>
            </w:pPr>
            <w:r w:rsidRPr="00000000" w:rsidDel="00000000" w:rsidR="00000000">
              <w:rPr>
                <w:color w:val="0563c1"/>
                <w:sz w:val="20"/>
                <w:szCs w:val="20"/>
                <w:u w:val="single"/>
                <w:rtl w:val="0"/>
              </w:rPr>
              <w:t xml:space="preserve">https://confluence.toolsfdg.net/display/BD/Block+Tracer+Risk+Score+API+User+Guide </w:t>
            </w:r>
          </w:p>
        </w:tc>
      </w:tr>
      <w:tr>
        <w:trPr>
          <w:cantSplit w:val="0"/>
          <w:tblHeader w:val="0"/>
        </w:trPr>
        <w:tc>
          <w:tcPr>
            <w:tcMar>
              <w:top w:w="43.2" w:type="dxa"/>
              <w:left w:w="43.2" w:type="dxa"/>
              <w:bottom w:w="43.2" w:type="dxa"/>
              <w:right w:w="43.2" w:type="dxa"/>
            </w:tcMar>
            <w:vAlign w:val="center"/>
          </w:tcPr>
          <w:p w:rsidRPr="00000000" w:rsidR="00000000" w:rsidDel="00000000" w:rsidP="00000000" w:rsidRDefault="00000000" w14:paraId="0000061D">
            <w:pPr>
              <w:keepNext w:val="0"/>
              <w:keepLines w:val="0"/>
              <w:pageBreakBefore w:val="0"/>
              <w:widowControl w:val="1"/>
              <w:numPr>
                <w:ilvl w:val="0"/>
                <w:numId w:val="24"/>
              </w:numPr>
              <w:pBdr>
                <w:top w:val="nil" w:sz="0" w:space="0"/>
                <w:left w:val="nil" w:sz="0" w:space="0"/>
                <w:bottom w:val="nil" w:sz="0" w:space="0"/>
                <w:right w:val="nil" w:sz="0" w:space="0"/>
                <w:between w:val="nil" w:sz="0" w:space="0"/>
              </w:pBdr>
              <w:shd w:val="clear" w:fill="auto"/>
              <w:spacing w:before="0" w:after="200" w:line="276" w:lineRule="auto"/>
              <w:ind w:left="360" w:right="0" w:hanging="360"/>
              <w:jc w:val="left"/>
              <w:rPr>
                <w:b w:val="0"/>
                <w:bCs w:val="0"/>
                <w:i w:val="0"/>
                <w:iCs w:val="0"/>
                <w:smallCaps w:val="0"/>
                <w:strike w:val="0"/>
                <w:color w:val="000000"/>
                <w:sz w:val="20"/>
                <w:szCs w:val="20"/>
                <w:shd w:val="clear" w:fill="auto"/>
                <w:vertAlign w:val="baseline"/>
              </w:rPr>
            </w:pPr>
            <w:r w:rsidRPr="00000000" w:rsidDel="00000000" w:rsidR="00000000">
              <w:rPr>
                <w:rtl w:val="0"/>
              </w:rPr>
            </w:r>
          </w:p>
        </w:tc>
        <w:tc>
          <w:tcPr>
            <w:tcMar>
              <w:top w:w="43.2" w:type="dxa"/>
              <w:left w:w="43.2" w:type="dxa"/>
              <w:bottom w:w="43.2" w:type="dxa"/>
              <w:right w:w="43.2" w:type="dxa"/>
            </w:tcMar>
            <w:vAlign w:val="center"/>
          </w:tcPr>
          <w:p w:rsidRPr="00000000" w:rsidR="00000000" w:rsidDel="00000000" w:rsidP="00000000" w:rsidRDefault="00000000" w14:paraId="0000061E">
            <w:pPr>
              <w:spacing w:line="276" w:lineRule="auto"/>
              <w:rPr>
                <w:sz w:val="20"/>
                <w:szCs w:val="20"/>
              </w:rPr>
            </w:pPr>
            <w:r w:rsidRPr="00000000" w:rsidDel="00000000" w:rsidR="00000000">
              <w:rPr>
                <w:sz w:val="20"/>
                <w:szCs w:val="20"/>
                <w:rtl w:val="0"/>
              </w:rPr>
              <w:t xml:space="preserve">FCI Offboarding Standards and Guidelines</w:t>
            </w:r>
          </w:p>
        </w:tc>
        <w:tc>
          <w:tcPr>
            <w:tcMar>
              <w:top w:w="43.2" w:type="dxa"/>
              <w:left w:w="43.2" w:type="dxa"/>
              <w:bottom w:w="43.2" w:type="dxa"/>
              <w:right w:w="43.2" w:type="dxa"/>
            </w:tcMar>
            <w:vAlign w:val="center"/>
          </w:tcPr>
          <w:p w:rsidRPr="00000000" w:rsidR="00000000" w:rsidDel="00000000" w:rsidP="00000000" w:rsidRDefault="00000000" w14:paraId="0000061F">
            <w:pPr>
              <w:spacing w:line="276" w:lineRule="auto"/>
              <w:rPr>
                <w:color w:val="0563c1"/>
                <w:sz w:val="20"/>
                <w:szCs w:val="20"/>
                <w:u w:val="single"/>
              </w:rPr>
            </w:pPr>
            <w:hyperlink r:id="rId76">
              <w:r w:rsidRPr="00000000" w:rsidDel="00000000" w:rsidR="00000000">
                <w:rPr>
                  <w:color w:val="1155cc"/>
                  <w:sz w:val="20"/>
                  <w:szCs w:val="20"/>
                  <w:u w:val="single"/>
                  <w:rtl w:val="0"/>
                </w:rPr>
                <w:t xml:space="preserve">https://confluence.toolsfdg.net/display/CMPL/FCI+Compliance+Framework?preview=/269025987/379547211/FCI%20Offboarding%20Standards%20and%20Guidelines%20v2.0%20(05%20Feb%202025).pdf</w:t>
              </w:r>
            </w:hyperlink>
            <w:r w:rsidRPr="00000000" w:rsidDel="00000000" w:rsidR="00000000">
              <w:rPr>
                <w:color w:val="0563c1"/>
                <w:sz w:val="20"/>
                <w:szCs w:val="20"/>
                <w:u w:val="single"/>
                <w:rtl w:val="0"/>
              </w:rPr>
              <w:t xml:space="preserve"> </w:t>
            </w:r>
          </w:p>
        </w:tc>
      </w:tr>
      <w:tr>
        <w:trPr>
          <w:cantSplit w:val="0"/>
          <w:tblHeader w:val="0"/>
        </w:trPr>
        <w:tc>
          <w:tcPr>
            <w:tcMar>
              <w:top w:w="43.2" w:type="dxa"/>
              <w:left w:w="43.2" w:type="dxa"/>
              <w:bottom w:w="43.2" w:type="dxa"/>
              <w:right w:w="43.2" w:type="dxa"/>
            </w:tcMar>
            <w:vAlign w:val="center"/>
          </w:tcPr>
          <w:p w:rsidRPr="00000000" w:rsidR="00000000" w:rsidDel="00000000" w:rsidP="00000000" w:rsidRDefault="00000000" w14:paraId="00000620">
            <w:pPr>
              <w:keepNext w:val="0"/>
              <w:keepLines w:val="0"/>
              <w:pageBreakBefore w:val="0"/>
              <w:widowControl w:val="1"/>
              <w:numPr>
                <w:ilvl w:val="0"/>
                <w:numId w:val="24"/>
              </w:numPr>
              <w:pBdr>
                <w:top w:val="nil" w:sz="0" w:space="0"/>
                <w:left w:val="nil" w:sz="0" w:space="0"/>
                <w:bottom w:val="nil" w:sz="0" w:space="0"/>
                <w:right w:val="nil" w:sz="0" w:space="0"/>
                <w:between w:val="nil" w:sz="0" w:space="0"/>
              </w:pBdr>
              <w:shd w:val="clear" w:fill="auto"/>
              <w:spacing w:before="0" w:after="200" w:line="276" w:lineRule="auto"/>
              <w:ind w:left="360" w:right="0" w:hanging="360"/>
              <w:jc w:val="left"/>
              <w:rPr>
                <w:b w:val="0"/>
                <w:bCs w:val="0"/>
                <w:i w:val="0"/>
                <w:iCs w:val="0"/>
                <w:smallCaps w:val="0"/>
                <w:strike w:val="0"/>
                <w:color w:val="000000"/>
                <w:sz w:val="20"/>
                <w:szCs w:val="20"/>
                <w:shd w:val="clear" w:fill="auto"/>
                <w:vertAlign w:val="baseline"/>
              </w:rPr>
            </w:pPr>
            <w:r w:rsidRPr="00000000" w:rsidDel="00000000" w:rsidR="00000000">
              <w:rPr>
                <w:rtl w:val="0"/>
              </w:rPr>
            </w:r>
          </w:p>
        </w:tc>
        <w:tc>
          <w:tcPr>
            <w:tcMar>
              <w:top w:w="43.2" w:type="dxa"/>
              <w:left w:w="43.2" w:type="dxa"/>
              <w:bottom w:w="43.2" w:type="dxa"/>
              <w:right w:w="43.2" w:type="dxa"/>
            </w:tcMar>
            <w:vAlign w:val="center"/>
          </w:tcPr>
          <w:p w:rsidRPr="00000000" w:rsidR="00000000" w:rsidDel="00000000" w:rsidP="00000000" w:rsidRDefault="00000000" w14:paraId="00000621">
            <w:pPr>
              <w:spacing w:line="276" w:lineRule="auto"/>
              <w:rPr>
                <w:sz w:val="20"/>
                <w:szCs w:val="20"/>
              </w:rPr>
            </w:pPr>
            <w:r w:rsidRPr="00000000" w:rsidDel="00000000" w:rsidR="00000000">
              <w:rPr>
                <w:sz w:val="20"/>
                <w:szCs w:val="20"/>
                <w:rtl w:val="0"/>
              </w:rPr>
              <w:t xml:space="preserve">MLRO Escalation Requirements Matrix</w:t>
            </w:r>
          </w:p>
        </w:tc>
        <w:tc>
          <w:tcPr>
            <w:tcMar>
              <w:top w:w="43.2" w:type="dxa"/>
              <w:left w:w="43.2" w:type="dxa"/>
              <w:bottom w:w="43.2" w:type="dxa"/>
              <w:right w:w="43.2" w:type="dxa"/>
            </w:tcMar>
            <w:vAlign w:val="center"/>
          </w:tcPr>
          <w:p w:rsidRPr="00000000" w:rsidR="00000000" w:rsidDel="00000000" w:rsidP="00000000" w:rsidRDefault="00000000" w14:paraId="00000622">
            <w:pPr>
              <w:spacing w:line="276" w:lineRule="auto"/>
              <w:rPr>
                <w:color w:val="0563c1"/>
                <w:sz w:val="20"/>
                <w:szCs w:val="20"/>
                <w:u w:val="single"/>
              </w:rPr>
            </w:pPr>
            <w:hyperlink r:id="rId77">
              <w:r w:rsidRPr="00000000" w:rsidDel="00000000" w:rsidR="00000000">
                <w:rPr>
                  <w:color w:val="1155cc"/>
                  <w:sz w:val="20"/>
                  <w:szCs w:val="20"/>
                  <w:u w:val="single"/>
                  <w:rtl w:val="0"/>
                </w:rPr>
                <w:t xml:space="preserve">https://docs.google.com/spreadsheets/d/1ee9-XwjACJaNvuqo2llaE0k2ukCYOWuTwD4-MMywCpg/edit?pli=1&amp;gid=0#gid=0</w:t>
              </w:r>
            </w:hyperlink>
            <w:r w:rsidRPr="00000000" w:rsidDel="00000000" w:rsidR="00000000">
              <w:rPr>
                <w:color w:val="0563c1"/>
                <w:sz w:val="20"/>
                <w:szCs w:val="20"/>
                <w:u w:val="single"/>
                <w:rtl w:val="0"/>
              </w:rPr>
              <w:t xml:space="preserve"> </w:t>
            </w:r>
          </w:p>
        </w:tc>
      </w:tr>
      <w:tr>
        <w:trPr>
          <w:cantSplit w:val="0"/>
          <w:tblHeader w:val="0"/>
        </w:trPr>
        <w:tc>
          <w:tcPr>
            <w:tcMar>
              <w:top w:w="43.2" w:type="dxa"/>
              <w:left w:w="43.2" w:type="dxa"/>
              <w:bottom w:w="43.2" w:type="dxa"/>
              <w:right w:w="43.2" w:type="dxa"/>
            </w:tcMar>
            <w:vAlign w:val="center"/>
          </w:tcPr>
          <w:p w:rsidRPr="00000000" w:rsidR="00000000" w:rsidDel="00000000" w:rsidP="00000000" w:rsidRDefault="00000000" w14:paraId="00000623">
            <w:pPr>
              <w:keepNext w:val="0"/>
              <w:keepLines w:val="0"/>
              <w:pageBreakBefore w:val="0"/>
              <w:widowControl w:val="1"/>
              <w:numPr>
                <w:ilvl w:val="0"/>
                <w:numId w:val="24"/>
              </w:numPr>
              <w:pBdr>
                <w:top w:val="nil" w:sz="0" w:space="0"/>
                <w:left w:val="nil" w:sz="0" w:space="0"/>
                <w:bottom w:val="nil" w:sz="0" w:space="0"/>
                <w:right w:val="nil" w:sz="0" w:space="0"/>
                <w:between w:val="nil" w:sz="0" w:space="0"/>
              </w:pBdr>
              <w:shd w:val="clear" w:fill="auto"/>
              <w:spacing w:before="0" w:after="200" w:line="276" w:lineRule="auto"/>
              <w:ind w:left="360" w:right="0" w:hanging="360"/>
              <w:jc w:val="left"/>
              <w:rPr>
                <w:b w:val="0"/>
                <w:bCs w:val="0"/>
                <w:i w:val="0"/>
                <w:iCs w:val="0"/>
                <w:smallCaps w:val="0"/>
                <w:strike w:val="0"/>
                <w:color w:val="000000"/>
                <w:sz w:val="20"/>
                <w:szCs w:val="20"/>
                <w:shd w:val="clear" w:fill="auto"/>
                <w:vertAlign w:val="baseline"/>
              </w:rPr>
            </w:pPr>
            <w:r w:rsidRPr="00000000" w:rsidDel="00000000" w:rsidR="00000000">
              <w:rPr>
                <w:rtl w:val="0"/>
              </w:rPr>
            </w:r>
          </w:p>
        </w:tc>
        <w:tc>
          <w:tcPr>
            <w:tcMar>
              <w:top w:w="43.2" w:type="dxa"/>
              <w:left w:w="43.2" w:type="dxa"/>
              <w:bottom w:w="43.2" w:type="dxa"/>
              <w:right w:w="43.2" w:type="dxa"/>
            </w:tcMar>
            <w:vAlign w:val="center"/>
          </w:tcPr>
          <w:p w:rsidRPr="00000000" w:rsidR="00000000" w:rsidDel="00000000" w:rsidP="00000000" w:rsidRDefault="00000000" w14:paraId="00000624">
            <w:pPr>
              <w:spacing w:line="276" w:lineRule="auto"/>
              <w:rPr>
                <w:sz w:val="20"/>
                <w:szCs w:val="20"/>
              </w:rPr>
            </w:pPr>
            <w:r w:rsidRPr="00000000" w:rsidDel="00000000" w:rsidR="00000000">
              <w:rPr>
                <w:sz w:val="20"/>
                <w:szCs w:val="20"/>
                <w:rtl w:val="0"/>
              </w:rPr>
              <w:t xml:space="preserve">Internal FCI escalation </w:t>
            </w:r>
          </w:p>
          <w:p w:rsidRPr="00000000" w:rsidR="00000000" w:rsidDel="00000000" w:rsidP="00000000" w:rsidRDefault="00000000" w14:paraId="00000625">
            <w:pPr>
              <w:spacing w:line="276" w:lineRule="auto"/>
              <w:rPr>
                <w:sz w:val="20"/>
                <w:szCs w:val="20"/>
              </w:rPr>
            </w:pPr>
            <w:r w:rsidRPr="00000000" w:rsidDel="00000000" w:rsidR="00000000">
              <w:rPr>
                <w:sz w:val="20"/>
                <w:szCs w:val="20"/>
                <w:rtl w:val="0"/>
              </w:rPr>
              <w:t xml:space="preserve">(Binance admin) </w:t>
            </w:r>
          </w:p>
        </w:tc>
        <w:tc>
          <w:tcPr>
            <w:tcMar>
              <w:top w:w="43.2" w:type="dxa"/>
              <w:left w:w="43.2" w:type="dxa"/>
              <w:bottom w:w="43.2" w:type="dxa"/>
              <w:right w:w="43.2" w:type="dxa"/>
            </w:tcMar>
            <w:vAlign w:val="center"/>
          </w:tcPr>
          <w:p w:rsidRPr="00000000" w:rsidR="00000000" w:rsidDel="00000000" w:rsidP="00000000" w:rsidRDefault="00000000" w14:paraId="00000626">
            <w:pPr>
              <w:spacing w:line="276" w:lineRule="auto"/>
              <w:rPr>
                <w:color w:val="0563c1"/>
                <w:sz w:val="20"/>
                <w:szCs w:val="20"/>
                <w:u w:val="single"/>
              </w:rPr>
            </w:pPr>
            <w:hyperlink r:id="rId78">
              <w:r w:rsidRPr="00000000" w:rsidDel="00000000" w:rsidR="00000000">
                <w:rPr>
                  <w:color w:val="0563c1"/>
                  <w:sz w:val="20"/>
                  <w:szCs w:val="20"/>
                  <w:u w:val="single"/>
                  <w:rtl w:val="0"/>
                </w:rPr>
                <w:t xml:space="preserve">https://ba.blsdkrgjf.io/#/users/user-report</w:t>
              </w:r>
            </w:hyperlink>
            <w:r w:rsidRPr="00000000" w:rsidDel="00000000" w:rsidR="00000000">
              <w:rPr>
                <w:rtl w:val="0"/>
              </w:rPr>
            </w:r>
          </w:p>
        </w:tc>
      </w:tr>
      <w:tr>
        <w:trPr>
          <w:cantSplit w:val="0"/>
          <w:tblHeader w:val="0"/>
        </w:trPr>
        <w:tc>
          <w:tcPr>
            <w:tcMar>
              <w:top w:w="43.2" w:type="dxa"/>
              <w:left w:w="43.2" w:type="dxa"/>
              <w:bottom w:w="43.2" w:type="dxa"/>
              <w:right w:w="43.2" w:type="dxa"/>
            </w:tcMar>
            <w:vAlign w:val="center"/>
          </w:tcPr>
          <w:p w:rsidRPr="00000000" w:rsidR="00000000" w:rsidDel="00000000" w:rsidP="00000000" w:rsidRDefault="00000000" w14:paraId="00000627">
            <w:pPr>
              <w:spacing w:line="276" w:lineRule="auto"/>
              <w:rPr>
                <w:sz w:val="20"/>
                <w:szCs w:val="20"/>
              </w:rPr>
            </w:pPr>
            <w:r w:rsidRPr="00000000" w:rsidDel="00000000" w:rsidR="00000000">
              <w:rPr>
                <w:sz w:val="20"/>
                <w:szCs w:val="20"/>
                <w:rtl w:val="0"/>
              </w:rPr>
              <w:t xml:space="preserve">i)</w:t>
            </w:r>
          </w:p>
        </w:tc>
        <w:tc>
          <w:tcPr>
            <w:tcMar>
              <w:top w:w="43.2" w:type="dxa"/>
              <w:left w:w="43.2" w:type="dxa"/>
              <w:bottom w:w="43.2" w:type="dxa"/>
              <w:right w:w="43.2" w:type="dxa"/>
            </w:tcMar>
            <w:vAlign w:val="center"/>
          </w:tcPr>
          <w:p w:rsidRPr="00000000" w:rsidR="00000000" w:rsidDel="00000000" w:rsidP="00000000" w:rsidRDefault="00000000" w14:paraId="00000628">
            <w:pPr>
              <w:spacing w:line="276" w:lineRule="auto"/>
              <w:rPr>
                <w:sz w:val="20"/>
                <w:szCs w:val="20"/>
              </w:rPr>
            </w:pPr>
            <w:r w:rsidRPr="00000000" w:rsidDel="00000000" w:rsidR="00000000">
              <w:rPr>
                <w:sz w:val="20"/>
                <w:szCs w:val="20"/>
                <w:rtl w:val="0"/>
              </w:rPr>
              <w:t xml:space="preserve">FCI Transaction Monitoring Investigations procedures</w:t>
            </w:r>
          </w:p>
        </w:tc>
        <w:tc>
          <w:tcPr>
            <w:tcMar>
              <w:top w:w="43.2" w:type="dxa"/>
              <w:left w:w="43.2" w:type="dxa"/>
              <w:bottom w:w="43.2" w:type="dxa"/>
              <w:right w:w="43.2" w:type="dxa"/>
            </w:tcMar>
            <w:vAlign w:val="center"/>
          </w:tcPr>
          <w:p w:rsidRPr="00000000" w:rsidR="00000000" w:rsidDel="00000000" w:rsidP="00000000" w:rsidRDefault="00000000" w14:paraId="00000629">
            <w:pPr>
              <w:spacing w:line="276" w:lineRule="auto"/>
              <w:rPr>
                <w:sz w:val="20"/>
                <w:szCs w:val="20"/>
              </w:rPr>
            </w:pPr>
            <w:hyperlink r:id="rId79">
              <w:r w:rsidRPr="00000000" w:rsidDel="00000000" w:rsidR="00000000">
                <w:rPr>
                  <w:color w:val="1155cc"/>
                  <w:sz w:val="20"/>
                  <w:szCs w:val="20"/>
                  <w:u w:val="single"/>
                  <w:rtl w:val="0"/>
                </w:rPr>
                <w:t xml:space="preserve">https://confluence.toolsfdg.net/display/CMPL/FCI+Compliance+Framework?preview=/269025987/416008526/TM%20Unusual%20Activities%20Investigations%20Procedure%20_%20v2.1%20_%2026%20May%202025.pdf</w:t>
              </w:r>
            </w:hyperlink>
            <w:r w:rsidRPr="00000000" w:rsidDel="00000000" w:rsidR="00000000">
              <w:rPr>
                <w:sz w:val="20"/>
                <w:szCs w:val="20"/>
                <w:rtl w:val="0"/>
              </w:rPr>
              <w:t xml:space="preserve"> </w:t>
            </w:r>
          </w:p>
        </w:tc>
      </w:tr>
      <w:tr>
        <w:trPr>
          <w:cantSplit w:val="0"/>
          <w:tblHeader w:val="0"/>
        </w:trPr>
        <w:tc>
          <w:tcPr>
            <w:tcMar>
              <w:top w:w="43.2" w:type="dxa"/>
              <w:left w:w="43.2" w:type="dxa"/>
              <w:bottom w:w="43.2" w:type="dxa"/>
              <w:right w:w="43.2" w:type="dxa"/>
            </w:tcMar>
            <w:vAlign w:val="center"/>
          </w:tcPr>
          <w:p w:rsidRPr="00000000" w:rsidR="00000000" w:rsidDel="00000000" w:rsidP="00000000" w:rsidRDefault="00000000" w14:paraId="0000062A">
            <w:pPr>
              <w:spacing w:line="276" w:lineRule="auto"/>
              <w:rPr>
                <w:sz w:val="20"/>
                <w:szCs w:val="20"/>
              </w:rPr>
            </w:pPr>
            <w:r w:rsidRPr="00000000" w:rsidDel="00000000" w:rsidR="00000000">
              <w:rPr>
                <w:sz w:val="20"/>
                <w:szCs w:val="20"/>
                <w:rtl w:val="0"/>
              </w:rPr>
              <w:t xml:space="preserve">ii)</w:t>
            </w:r>
          </w:p>
        </w:tc>
        <w:tc>
          <w:tcPr>
            <w:tcMar>
              <w:top w:w="43.2" w:type="dxa"/>
              <w:left w:w="43.2" w:type="dxa"/>
              <w:bottom w:w="43.2" w:type="dxa"/>
              <w:right w:w="43.2" w:type="dxa"/>
            </w:tcMar>
            <w:vAlign w:val="center"/>
          </w:tcPr>
          <w:p w:rsidRPr="00000000" w:rsidR="00000000" w:rsidDel="00000000" w:rsidP="00000000" w:rsidRDefault="00000000" w14:paraId="0000062B">
            <w:pPr>
              <w:spacing w:line="276" w:lineRule="auto"/>
              <w:rPr>
                <w:sz w:val="20"/>
                <w:szCs w:val="20"/>
              </w:rPr>
            </w:pPr>
            <w:r w:rsidRPr="00000000" w:rsidDel="00000000" w:rsidR="00000000">
              <w:rPr>
                <w:sz w:val="20"/>
                <w:szCs w:val="20"/>
                <w:rtl w:val="0"/>
              </w:rPr>
              <w:t xml:space="preserve">Global FCI Guidelines and Procedures </w:t>
            </w:r>
          </w:p>
        </w:tc>
        <w:tc>
          <w:tcPr>
            <w:tcMar>
              <w:top w:w="43.2" w:type="dxa"/>
              <w:left w:w="43.2" w:type="dxa"/>
              <w:bottom w:w="43.2" w:type="dxa"/>
              <w:right w:w="43.2" w:type="dxa"/>
            </w:tcMar>
            <w:vAlign w:val="center"/>
          </w:tcPr>
          <w:p w:rsidRPr="00000000" w:rsidR="00000000" w:rsidDel="00000000" w:rsidP="00000000" w:rsidRDefault="00000000" w14:paraId="0000062C">
            <w:pPr>
              <w:spacing w:line="276" w:lineRule="auto"/>
              <w:rPr>
                <w:sz w:val="20"/>
                <w:szCs w:val="20"/>
              </w:rPr>
            </w:pPr>
            <w:hyperlink r:id="rId80">
              <w:r w:rsidRPr="00000000" w:rsidDel="00000000" w:rsidR="00000000">
                <w:rPr>
                  <w:color w:val="1155cc"/>
                  <w:sz w:val="20"/>
                  <w:szCs w:val="20"/>
                  <w:u w:val="single"/>
                  <w:rtl w:val="0"/>
                </w:rPr>
                <w:t xml:space="preserve">https://confluence.toolsfdg.net/display/CMPL/FCI+Compliance+Framework</w:t>
              </w:r>
            </w:hyperlink>
            <w:r w:rsidRPr="00000000" w:rsidDel="00000000" w:rsidR="00000000">
              <w:rPr>
                <w:color w:val="0563c1"/>
                <w:sz w:val="20"/>
                <w:szCs w:val="20"/>
                <w:u w:val="single"/>
                <w:rtl w:val="0"/>
              </w:rPr>
              <w:t xml:space="preserve"> </w:t>
            </w:r>
            <w:r w:rsidRPr="00000000" w:rsidDel="00000000" w:rsidR="00000000">
              <w:rPr>
                <w:rtl w:val="0"/>
              </w:rPr>
            </w:r>
          </w:p>
        </w:tc>
      </w:tr>
      <w:tr>
        <w:trPr>
          <w:cantSplit w:val="0"/>
          <w:tblHeader w:val="0"/>
        </w:trPr>
        <w:tc>
          <w:tcPr>
            <w:tcMar>
              <w:top w:w="43.2" w:type="dxa"/>
              <w:left w:w="43.2" w:type="dxa"/>
              <w:bottom w:w="43.2" w:type="dxa"/>
              <w:right w:w="43.2" w:type="dxa"/>
            </w:tcMar>
            <w:vAlign w:val="center"/>
          </w:tcPr>
          <w:p w:rsidRPr="00000000" w:rsidR="00000000" w:rsidDel="00000000" w:rsidP="00000000" w:rsidRDefault="00000000" w14:paraId="0000062D">
            <w:pPr>
              <w:spacing w:line="276" w:lineRule="auto"/>
              <w:rPr>
                <w:sz w:val="20"/>
                <w:szCs w:val="20"/>
              </w:rPr>
            </w:pPr>
            <w:r w:rsidRPr="00000000" w:rsidDel="00000000" w:rsidR="00000000">
              <w:rPr>
                <w:sz w:val="20"/>
                <w:szCs w:val="20"/>
                <w:rtl w:val="0"/>
              </w:rPr>
              <w:t xml:space="preserve">iii)</w:t>
            </w:r>
          </w:p>
        </w:tc>
        <w:tc>
          <w:tcPr>
            <w:tcMar>
              <w:top w:w="43.2" w:type="dxa"/>
              <w:left w:w="43.2" w:type="dxa"/>
              <w:bottom w:w="43.2" w:type="dxa"/>
              <w:right w:w="43.2" w:type="dxa"/>
            </w:tcMar>
            <w:vAlign w:val="center"/>
          </w:tcPr>
          <w:p w:rsidRPr="00000000" w:rsidR="00000000" w:rsidDel="00000000" w:rsidP="00000000" w:rsidRDefault="00000000" w14:paraId="0000062E">
            <w:pPr>
              <w:spacing w:line="276" w:lineRule="auto"/>
              <w:rPr>
                <w:sz w:val="20"/>
                <w:szCs w:val="20"/>
              </w:rPr>
            </w:pPr>
            <w:r w:rsidRPr="00000000" w:rsidDel="00000000" w:rsidR="00000000">
              <w:rPr>
                <w:sz w:val="20"/>
                <w:szCs w:val="20"/>
                <w:rtl w:val="0"/>
              </w:rPr>
              <w:t xml:space="preserve">TM to HRC Referral Form</w:t>
            </w:r>
            <w:r w:rsidRPr="00000000" w:rsidDel="00000000" w:rsidR="00000000">
              <w:rPr>
                <w:rtl w:val="0"/>
              </w:rPr>
            </w:r>
          </w:p>
        </w:tc>
        <w:tc>
          <w:tcPr>
            <w:tcMar>
              <w:top w:w="43.2" w:type="dxa"/>
              <w:left w:w="43.2" w:type="dxa"/>
              <w:bottom w:w="43.2" w:type="dxa"/>
              <w:right w:w="43.2" w:type="dxa"/>
            </w:tcMar>
            <w:vAlign w:val="center"/>
          </w:tcPr>
          <w:p w:rsidRPr="00000000" w:rsidR="00000000" w:rsidDel="00000000" w:rsidP="00000000" w:rsidRDefault="00000000" w14:paraId="0000062F">
            <w:pPr>
              <w:spacing w:line="276" w:lineRule="auto"/>
              <w:rPr>
                <w:color w:val="0563c1"/>
                <w:sz w:val="20"/>
                <w:szCs w:val="20"/>
                <w:u w:val="single"/>
              </w:rPr>
            </w:pPr>
            <w:r w:rsidRPr="00000000" w:rsidDel="00000000" w:rsidR="00000000">
              <w:rPr>
                <w:color w:val="0563c1"/>
                <w:sz w:val="20"/>
                <w:szCs w:val="20"/>
                <w:u w:val="single"/>
                <w:rtl w:val="0"/>
              </w:rPr>
              <w:t xml:space="preserve">https://docs.google.com/forms/d/e/1FAIpQLSf6JrmsU4gwJJ0U78OTcNL_PsKiVB8KmnhexydE7ah92bbSew/viewform</w:t>
            </w:r>
          </w:p>
        </w:tc>
      </w:tr>
      <w:tr>
        <w:trPr>
          <w:cantSplit w:val="0"/>
          <w:tblHeader w:val="0"/>
        </w:trPr>
        <w:tc>
          <w:tcPr>
            <w:tcMar>
              <w:top w:w="43.2" w:type="dxa"/>
              <w:left w:w="43.2" w:type="dxa"/>
              <w:bottom w:w="43.2" w:type="dxa"/>
              <w:right w:w="43.2" w:type="dxa"/>
            </w:tcMar>
            <w:vAlign w:val="center"/>
          </w:tcPr>
          <w:p w:rsidRPr="00000000" w:rsidR="00000000" w:rsidDel="00000000" w:rsidP="00000000" w:rsidRDefault="00000000" w14:paraId="00000630">
            <w:pPr>
              <w:spacing w:line="276" w:lineRule="auto"/>
              <w:rPr>
                <w:sz w:val="20"/>
                <w:szCs w:val="20"/>
              </w:rPr>
            </w:pPr>
            <w:r w:rsidRPr="00000000" w:rsidDel="00000000" w:rsidR="00000000">
              <w:rPr>
                <w:sz w:val="20"/>
                <w:szCs w:val="20"/>
                <w:rtl w:val="0"/>
              </w:rPr>
              <w:t xml:space="preserve">iv)</w:t>
            </w:r>
          </w:p>
        </w:tc>
        <w:tc>
          <w:tcPr>
            <w:tcMar>
              <w:top w:w="43.2" w:type="dxa"/>
              <w:left w:w="43.2" w:type="dxa"/>
              <w:bottom w:w="43.2" w:type="dxa"/>
              <w:right w:w="43.2" w:type="dxa"/>
            </w:tcMar>
            <w:vAlign w:val="center"/>
          </w:tcPr>
          <w:p w:rsidRPr="00000000" w:rsidR="00000000" w:rsidDel="00000000" w:rsidP="00000000" w:rsidRDefault="00000000" w14:paraId="00000631">
            <w:pPr>
              <w:spacing w:line="276" w:lineRule="auto"/>
              <w:rPr>
                <w:sz w:val="20"/>
                <w:szCs w:val="20"/>
              </w:rPr>
            </w:pPr>
            <w:r w:rsidRPr="00000000" w:rsidDel="00000000" w:rsidR="00000000">
              <w:rPr>
                <w:sz w:val="20"/>
                <w:szCs w:val="20"/>
                <w:rtl w:val="0"/>
              </w:rPr>
              <w:t xml:space="preserve">Guide to On-Chain TM (Matrix)</w:t>
            </w:r>
          </w:p>
        </w:tc>
        <w:tc>
          <w:tcPr>
            <w:tcMar>
              <w:top w:w="43.2" w:type="dxa"/>
              <w:left w:w="43.2" w:type="dxa"/>
              <w:bottom w:w="43.2" w:type="dxa"/>
              <w:right w:w="43.2" w:type="dxa"/>
            </w:tcMar>
            <w:vAlign w:val="center"/>
          </w:tcPr>
          <w:p w:rsidRPr="00000000" w:rsidR="00000000" w:rsidDel="00000000" w:rsidP="00000000" w:rsidRDefault="00000000" w14:paraId="00000632">
            <w:pPr>
              <w:spacing w:line="276" w:lineRule="auto"/>
              <w:rPr>
                <w:color w:val="0563c1"/>
                <w:sz w:val="20"/>
                <w:szCs w:val="20"/>
                <w:u w:val="single"/>
              </w:rPr>
            </w:pPr>
            <w:r w:rsidRPr="00000000" w:rsidDel="00000000" w:rsidR="00000000">
              <w:rPr>
                <w:color w:val="0563c1"/>
                <w:sz w:val="20"/>
                <w:szCs w:val="20"/>
                <w:u w:val="single"/>
                <w:rtl w:val="0"/>
              </w:rPr>
              <w:t xml:space="preserve">https://docs.google.com/spreadsheets/d/1Sh58gsadUhiwciiEBO7Er8hdhx4EtfxeJqfdJ4dnkUM/edit?gid=395495887#gid=395495887</w:t>
            </w:r>
          </w:p>
        </w:tc>
      </w:tr>
      <w:tr>
        <w:trPr>
          <w:cantSplit w:val="0"/>
          <w:trHeight w:val="373.5546875" w:hRule="atLeast"/>
          <w:tblHeader w:val="0"/>
        </w:trPr>
        <w:tc>
          <w:tcPr>
            <w:gridSpan w:val="3"/>
            <w:shd w:val="clear" w:fill="b4c6e7"/>
            <w:tcMar>
              <w:top w:w="43.2" w:type="dxa"/>
              <w:left w:w="43.2" w:type="dxa"/>
              <w:bottom w:w="43.2" w:type="dxa"/>
              <w:right w:w="43.2" w:type="dxa"/>
            </w:tcMar>
            <w:vAlign w:val="center"/>
          </w:tcPr>
          <w:p w:rsidRPr="00000000" w:rsidR="00000000" w:rsidDel="00000000" w:rsidP="00000000" w:rsidRDefault="00000000" w14:paraId="00000633">
            <w:pPr>
              <w:spacing w:line="276" w:lineRule="auto"/>
              <w:rPr>
                <w:b w:val="1"/>
                <w:bCs w:val="1"/>
                <w:i w:val="1"/>
                <w:iCs w:val="1"/>
                <w:sz w:val="20"/>
                <w:szCs w:val="20"/>
              </w:rPr>
            </w:pPr>
            <w:r w:rsidRPr="00000000" w:rsidDel="00000000" w:rsidR="00000000">
              <w:rPr>
                <w:b w:val="1"/>
                <w:bCs w:val="1"/>
                <w:i w:val="1"/>
                <w:iCs w:val="1"/>
                <w:sz w:val="20"/>
                <w:szCs w:val="20"/>
                <w:rtl w:val="0"/>
              </w:rPr>
              <w:t xml:space="preserve">Other Global Policies and Reference Documents</w:t>
            </w:r>
          </w:p>
        </w:tc>
      </w:tr>
      <w:tr>
        <w:trPr>
          <w:cantSplit w:val="0"/>
          <w:tblHeader w:val="0"/>
        </w:trPr>
        <w:tc>
          <w:tcPr>
            <w:tcMar>
              <w:top w:w="43.2" w:type="dxa"/>
              <w:left w:w="43.2" w:type="dxa"/>
              <w:bottom w:w="43.2" w:type="dxa"/>
              <w:right w:w="43.2" w:type="dxa"/>
            </w:tcMar>
            <w:vAlign w:val="center"/>
          </w:tcPr>
          <w:p w:rsidRPr="00000000" w:rsidR="00000000" w:rsidDel="00000000" w:rsidP="00000000" w:rsidRDefault="00000000" w14:paraId="00000636">
            <w:pPr>
              <w:keepNext w:val="0"/>
              <w:keepLines w:val="0"/>
              <w:pageBreakBefore w:val="0"/>
              <w:widowControl w:val="1"/>
              <w:numPr>
                <w:ilvl w:val="0"/>
                <w:numId w:val="24"/>
              </w:numPr>
              <w:pBdr>
                <w:top w:val="nil" w:sz="0" w:space="0"/>
                <w:left w:val="nil" w:sz="0" w:space="0"/>
                <w:bottom w:val="nil" w:sz="0" w:space="0"/>
                <w:right w:val="nil" w:sz="0" w:space="0"/>
                <w:between w:val="nil" w:sz="0" w:space="0"/>
              </w:pBdr>
              <w:shd w:val="clear" w:fill="auto"/>
              <w:spacing w:before="0" w:after="200" w:line="276" w:lineRule="auto"/>
              <w:ind w:left="360" w:right="0" w:hanging="360"/>
              <w:jc w:val="left"/>
              <w:rPr>
                <w:b w:val="0"/>
                <w:bCs w:val="0"/>
                <w:i w:val="0"/>
                <w:iCs w:val="0"/>
                <w:smallCaps w:val="0"/>
                <w:strike w:val="0"/>
                <w:color w:val="000000"/>
                <w:sz w:val="20"/>
                <w:szCs w:val="20"/>
                <w:shd w:val="clear" w:fill="auto"/>
                <w:vertAlign w:val="baseline"/>
              </w:rPr>
            </w:pPr>
            <w:r w:rsidRPr="00000000" w:rsidDel="00000000" w:rsidR="00000000">
              <w:rPr>
                <w:rtl w:val="0"/>
              </w:rPr>
            </w:r>
          </w:p>
        </w:tc>
        <w:tc>
          <w:tcPr>
            <w:tcMar>
              <w:top w:w="43.2" w:type="dxa"/>
              <w:left w:w="43.2" w:type="dxa"/>
              <w:bottom w:w="43.2" w:type="dxa"/>
              <w:right w:w="43.2" w:type="dxa"/>
            </w:tcMar>
            <w:vAlign w:val="center"/>
          </w:tcPr>
          <w:p w:rsidRPr="00000000" w:rsidR="00000000" w:rsidDel="00000000" w:rsidP="00000000" w:rsidRDefault="00000000" w14:paraId="00000637">
            <w:pPr>
              <w:spacing w:line="276" w:lineRule="auto"/>
              <w:rPr>
                <w:sz w:val="20"/>
                <w:szCs w:val="20"/>
              </w:rPr>
            </w:pPr>
            <w:r w:rsidRPr="00000000" w:rsidDel="00000000" w:rsidR="00000000">
              <w:rPr>
                <w:sz w:val="20"/>
                <w:szCs w:val="20"/>
                <w:rtl w:val="0"/>
              </w:rPr>
              <w:t xml:space="preserve">Global Compliance Training Policy</w:t>
            </w:r>
          </w:p>
        </w:tc>
        <w:tc>
          <w:tcPr>
            <w:tcMar>
              <w:top w:w="43.2" w:type="dxa"/>
              <w:left w:w="43.2" w:type="dxa"/>
              <w:bottom w:w="43.2" w:type="dxa"/>
              <w:right w:w="43.2" w:type="dxa"/>
            </w:tcMar>
            <w:vAlign w:val="center"/>
          </w:tcPr>
          <w:p w:rsidRPr="00000000" w:rsidR="00000000" w:rsidDel="00000000" w:rsidP="00000000" w:rsidRDefault="00000000" w14:paraId="00000638">
            <w:pPr>
              <w:spacing w:line="276" w:lineRule="auto"/>
              <w:rPr>
                <w:color w:val="0563c1"/>
                <w:sz w:val="20"/>
                <w:szCs w:val="20"/>
                <w:u w:val="single"/>
              </w:rPr>
            </w:pPr>
            <w:hyperlink r:id="rId81">
              <w:r w:rsidRPr="00000000" w:rsidDel="00000000" w:rsidR="00000000">
                <w:rPr>
                  <w:color w:val="0563c1"/>
                  <w:sz w:val="20"/>
                  <w:szCs w:val="20"/>
                  <w:u w:val="single"/>
                  <w:rtl w:val="0"/>
                </w:rPr>
                <w:t xml:space="preserve">https://confluence.toolsfdg.net/display/CMPL/Global+Compliance+Training</w:t>
              </w:r>
            </w:hyperlink>
            <w:r w:rsidRPr="00000000" w:rsidDel="00000000" w:rsidR="00000000">
              <w:rPr>
                <w:rtl w:val="0"/>
              </w:rPr>
            </w:r>
          </w:p>
        </w:tc>
      </w:tr>
      <w:tr>
        <w:trPr>
          <w:cantSplit w:val="0"/>
          <w:tblHeader w:val="0"/>
        </w:trPr>
        <w:tc>
          <w:tcPr>
            <w:tcMar>
              <w:top w:w="43.2" w:type="dxa"/>
              <w:left w:w="43.2" w:type="dxa"/>
              <w:bottom w:w="43.2" w:type="dxa"/>
              <w:right w:w="43.2" w:type="dxa"/>
            </w:tcMar>
            <w:vAlign w:val="center"/>
          </w:tcPr>
          <w:p w:rsidRPr="00000000" w:rsidR="00000000" w:rsidDel="00000000" w:rsidP="00000000" w:rsidRDefault="00000000" w14:paraId="00000639">
            <w:pPr>
              <w:keepNext w:val="0"/>
              <w:keepLines w:val="0"/>
              <w:pageBreakBefore w:val="0"/>
              <w:widowControl w:val="1"/>
              <w:numPr>
                <w:ilvl w:val="0"/>
                <w:numId w:val="24"/>
              </w:numPr>
              <w:pBdr>
                <w:top w:val="nil" w:sz="0" w:space="0"/>
                <w:left w:val="nil" w:sz="0" w:space="0"/>
                <w:bottom w:val="nil" w:sz="0" w:space="0"/>
                <w:right w:val="nil" w:sz="0" w:space="0"/>
                <w:between w:val="nil" w:sz="0" w:space="0"/>
              </w:pBdr>
              <w:shd w:val="clear" w:fill="auto"/>
              <w:spacing w:before="0" w:after="200" w:line="276" w:lineRule="auto"/>
              <w:ind w:left="360" w:right="0" w:hanging="360"/>
              <w:jc w:val="left"/>
              <w:rPr>
                <w:b w:val="0"/>
                <w:bCs w:val="0"/>
                <w:i w:val="0"/>
                <w:iCs w:val="0"/>
                <w:smallCaps w:val="0"/>
                <w:strike w:val="0"/>
                <w:color w:val="000000"/>
                <w:sz w:val="20"/>
                <w:szCs w:val="20"/>
                <w:shd w:val="clear" w:fill="auto"/>
                <w:vertAlign w:val="baseline"/>
              </w:rPr>
            </w:pPr>
            <w:r w:rsidRPr="00000000" w:rsidDel="00000000" w:rsidR="00000000">
              <w:rPr>
                <w:rtl w:val="0"/>
              </w:rPr>
            </w:r>
          </w:p>
        </w:tc>
        <w:tc>
          <w:tcPr>
            <w:tcMar>
              <w:top w:w="43.2" w:type="dxa"/>
              <w:left w:w="43.2" w:type="dxa"/>
              <w:bottom w:w="43.2" w:type="dxa"/>
              <w:right w:w="43.2" w:type="dxa"/>
            </w:tcMar>
            <w:vAlign w:val="center"/>
          </w:tcPr>
          <w:p w:rsidRPr="00000000" w:rsidR="00000000" w:rsidDel="00000000" w:rsidP="00000000" w:rsidRDefault="00000000" w14:paraId="0000063A">
            <w:pPr>
              <w:spacing w:line="276" w:lineRule="auto"/>
              <w:rPr>
                <w:sz w:val="20"/>
                <w:szCs w:val="20"/>
              </w:rPr>
            </w:pPr>
            <w:r w:rsidRPr="00000000" w:rsidDel="00000000" w:rsidR="00000000">
              <w:rPr>
                <w:sz w:val="20"/>
                <w:szCs w:val="20"/>
                <w:rtl w:val="0"/>
              </w:rPr>
              <w:t xml:space="preserve">Global Country Risk Rating</w:t>
            </w:r>
          </w:p>
        </w:tc>
        <w:tc>
          <w:tcPr>
            <w:tcMar>
              <w:top w:w="43.2" w:type="dxa"/>
              <w:left w:w="43.2" w:type="dxa"/>
              <w:bottom w:w="43.2" w:type="dxa"/>
              <w:right w:w="43.2" w:type="dxa"/>
            </w:tcMar>
            <w:vAlign w:val="center"/>
          </w:tcPr>
          <w:p w:rsidRPr="00000000" w:rsidR="00000000" w:rsidDel="00000000" w:rsidP="00000000" w:rsidRDefault="00000000" w14:paraId="0000063B">
            <w:pPr>
              <w:spacing w:line="276" w:lineRule="auto"/>
              <w:rPr>
                <w:color w:val="0563c1"/>
                <w:sz w:val="20"/>
                <w:szCs w:val="20"/>
                <w:u w:val="single"/>
              </w:rPr>
            </w:pPr>
            <w:hyperlink r:id="rId82">
              <w:r w:rsidRPr="00000000" w:rsidDel="00000000" w:rsidR="00000000">
                <w:rPr>
                  <w:color w:val="0000ee"/>
                  <w:sz w:val="20"/>
                  <w:szCs w:val="20"/>
                  <w:u w:val="single"/>
                  <w:rtl w:val="0"/>
                </w:rPr>
                <w:t xml:space="preserve">Country RR validating sheet</w:t>
              </w:r>
            </w:hyperlink>
            <w:r w:rsidRPr="00000000" w:rsidDel="00000000" w:rsidR="00000000">
              <w:rPr>
                <w:rtl w:val="0"/>
              </w:rPr>
            </w:r>
          </w:p>
        </w:tc>
      </w:tr>
      <w:tr>
        <w:trPr>
          <w:cantSplit w:val="0"/>
          <w:tblHeader w:val="0"/>
        </w:trPr>
        <w:tc>
          <w:tcPr>
            <w:tcMar>
              <w:top w:w="43.2" w:type="dxa"/>
              <w:left w:w="43.2" w:type="dxa"/>
              <w:bottom w:w="43.2" w:type="dxa"/>
              <w:right w:w="43.2" w:type="dxa"/>
            </w:tcMar>
            <w:vAlign w:val="center"/>
          </w:tcPr>
          <w:p w:rsidRPr="00000000" w:rsidR="00000000" w:rsidDel="00000000" w:rsidP="00000000" w:rsidRDefault="00000000" w14:paraId="0000063C">
            <w:pPr>
              <w:keepNext w:val="0"/>
              <w:keepLines w:val="0"/>
              <w:pageBreakBefore w:val="0"/>
              <w:widowControl w:val="1"/>
              <w:numPr>
                <w:ilvl w:val="0"/>
                <w:numId w:val="24"/>
              </w:numPr>
              <w:pBdr>
                <w:top w:val="nil" w:sz="0" w:space="0"/>
                <w:left w:val="nil" w:sz="0" w:space="0"/>
                <w:bottom w:val="nil" w:sz="0" w:space="0"/>
                <w:right w:val="nil" w:sz="0" w:space="0"/>
                <w:between w:val="nil" w:sz="0" w:space="0"/>
              </w:pBdr>
              <w:shd w:val="clear" w:fill="auto"/>
              <w:spacing w:before="0" w:after="200" w:line="276" w:lineRule="auto"/>
              <w:ind w:left="360" w:right="0" w:hanging="360"/>
              <w:jc w:val="left"/>
              <w:rPr>
                <w:b w:val="0"/>
                <w:bCs w:val="0"/>
                <w:i w:val="0"/>
                <w:iCs w:val="0"/>
                <w:smallCaps w:val="0"/>
                <w:strike w:val="0"/>
                <w:color w:val="000000"/>
                <w:sz w:val="20"/>
                <w:szCs w:val="20"/>
                <w:shd w:val="clear" w:fill="auto"/>
                <w:vertAlign w:val="baseline"/>
              </w:rPr>
            </w:pPr>
            <w:r w:rsidRPr="00000000" w:rsidDel="00000000" w:rsidR="00000000">
              <w:rPr>
                <w:rtl w:val="0"/>
              </w:rPr>
            </w:r>
          </w:p>
        </w:tc>
        <w:tc>
          <w:tcPr>
            <w:tcMar>
              <w:top w:w="43.2" w:type="dxa"/>
              <w:left w:w="43.2" w:type="dxa"/>
              <w:bottom w:w="43.2" w:type="dxa"/>
              <w:right w:w="43.2" w:type="dxa"/>
            </w:tcMar>
            <w:vAlign w:val="center"/>
          </w:tcPr>
          <w:p w:rsidRPr="00000000" w:rsidR="00000000" w:rsidDel="00000000" w:rsidP="00000000" w:rsidRDefault="00000000" w14:paraId="0000063D">
            <w:pPr>
              <w:spacing w:line="276" w:lineRule="auto"/>
              <w:rPr>
                <w:sz w:val="20"/>
                <w:szCs w:val="20"/>
              </w:rPr>
            </w:pPr>
            <w:r w:rsidRPr="00000000" w:rsidDel="00000000" w:rsidR="00000000">
              <w:rPr>
                <w:sz w:val="20"/>
                <w:szCs w:val="20"/>
                <w:rtl w:val="0"/>
              </w:rPr>
              <w:t xml:space="preserve">Global Anti-Money Laundering and Countering Terrorism Financing Policy</w:t>
            </w:r>
          </w:p>
        </w:tc>
        <w:tc>
          <w:tcPr>
            <w:tcMar>
              <w:top w:w="43.2" w:type="dxa"/>
              <w:left w:w="43.2" w:type="dxa"/>
              <w:bottom w:w="43.2" w:type="dxa"/>
              <w:right w:w="43.2" w:type="dxa"/>
            </w:tcMar>
            <w:vAlign w:val="center"/>
          </w:tcPr>
          <w:p w:rsidRPr="00000000" w:rsidR="00000000" w:rsidDel="00000000" w:rsidP="00000000" w:rsidRDefault="00000000" w14:paraId="0000063E">
            <w:pPr>
              <w:spacing w:line="276" w:lineRule="auto"/>
              <w:rPr>
                <w:color w:val="0563c1"/>
                <w:sz w:val="20"/>
                <w:szCs w:val="20"/>
                <w:u w:val="single"/>
              </w:rPr>
            </w:pPr>
            <w:hyperlink r:id="rId83">
              <w:r w:rsidRPr="00000000" w:rsidDel="00000000" w:rsidR="00000000">
                <w:rPr>
                  <w:color w:val="1155cc"/>
                  <w:sz w:val="20"/>
                  <w:szCs w:val="20"/>
                  <w:u w:val="single"/>
                  <w:rtl w:val="0"/>
                </w:rPr>
                <w:t xml:space="preserve">https://confluence.toolsfdg.net/pages/viewpage.action?pageId=213527708</w:t>
              </w:r>
            </w:hyperlink>
            <w:r w:rsidRPr="00000000" w:rsidDel="00000000" w:rsidR="00000000">
              <w:rPr>
                <w:color w:val="0563c1"/>
                <w:sz w:val="20"/>
                <w:szCs w:val="20"/>
                <w:u w:val="single"/>
                <w:rtl w:val="0"/>
              </w:rPr>
              <w:t xml:space="preserve"> </w:t>
            </w:r>
          </w:p>
        </w:tc>
      </w:tr>
      <w:tr>
        <w:trPr>
          <w:cantSplit w:val="0"/>
          <w:tblHeader w:val="0"/>
        </w:trPr>
        <w:tc>
          <w:tcPr>
            <w:tcMar>
              <w:top w:w="43.2" w:type="dxa"/>
              <w:left w:w="43.2" w:type="dxa"/>
              <w:bottom w:w="43.2" w:type="dxa"/>
              <w:right w:w="43.2" w:type="dxa"/>
            </w:tcMar>
            <w:vAlign w:val="center"/>
          </w:tcPr>
          <w:p w:rsidRPr="00000000" w:rsidR="00000000" w:rsidDel="00000000" w:rsidP="00000000" w:rsidRDefault="00000000" w14:paraId="0000063F">
            <w:pPr>
              <w:keepNext w:val="0"/>
              <w:keepLines w:val="0"/>
              <w:pageBreakBefore w:val="0"/>
              <w:widowControl w:val="1"/>
              <w:numPr>
                <w:ilvl w:val="0"/>
                <w:numId w:val="24"/>
              </w:numPr>
              <w:pBdr>
                <w:top w:val="nil" w:sz="0" w:space="0"/>
                <w:left w:val="nil" w:sz="0" w:space="0"/>
                <w:bottom w:val="nil" w:sz="0" w:space="0"/>
                <w:right w:val="nil" w:sz="0" w:space="0"/>
                <w:between w:val="nil" w:sz="0" w:space="0"/>
              </w:pBdr>
              <w:shd w:val="clear" w:fill="auto"/>
              <w:spacing w:before="0" w:after="200" w:line="276" w:lineRule="auto"/>
              <w:ind w:left="360" w:right="0" w:hanging="360"/>
              <w:jc w:val="left"/>
              <w:rPr>
                <w:b w:val="0"/>
                <w:bCs w:val="0"/>
                <w:i w:val="0"/>
                <w:iCs w:val="0"/>
                <w:smallCaps w:val="0"/>
                <w:strike w:val="0"/>
                <w:color w:val="000000"/>
                <w:sz w:val="20"/>
                <w:szCs w:val="20"/>
                <w:shd w:val="clear" w:fill="auto"/>
                <w:vertAlign w:val="baseline"/>
              </w:rPr>
            </w:pPr>
            <w:r w:rsidRPr="00000000" w:rsidDel="00000000" w:rsidR="00000000">
              <w:rPr>
                <w:rtl w:val="0"/>
              </w:rPr>
            </w:r>
          </w:p>
        </w:tc>
        <w:tc>
          <w:tcPr>
            <w:tcMar>
              <w:top w:w="43.2" w:type="dxa"/>
              <w:left w:w="43.2" w:type="dxa"/>
              <w:bottom w:w="43.2" w:type="dxa"/>
              <w:right w:w="43.2" w:type="dxa"/>
            </w:tcMar>
            <w:vAlign w:val="center"/>
          </w:tcPr>
          <w:p w:rsidRPr="00000000" w:rsidR="00000000" w:rsidDel="00000000" w:rsidP="00000000" w:rsidRDefault="00000000" w14:paraId="00000640">
            <w:pPr>
              <w:spacing w:line="276" w:lineRule="auto"/>
              <w:rPr>
                <w:sz w:val="20"/>
                <w:szCs w:val="20"/>
              </w:rPr>
            </w:pPr>
            <w:r w:rsidRPr="00000000" w:rsidDel="00000000" w:rsidR="00000000">
              <w:rPr>
                <w:sz w:val="20"/>
                <w:szCs w:val="20"/>
                <w:rtl w:val="0"/>
              </w:rPr>
              <w:t xml:space="preserve">Politically Exposed Person (PEP) Guidance Document  </w:t>
            </w:r>
          </w:p>
        </w:tc>
        <w:tc>
          <w:tcPr>
            <w:tcMar>
              <w:top w:w="43.2" w:type="dxa"/>
              <w:left w:w="43.2" w:type="dxa"/>
              <w:bottom w:w="43.2" w:type="dxa"/>
              <w:right w:w="43.2" w:type="dxa"/>
            </w:tcMar>
            <w:vAlign w:val="center"/>
          </w:tcPr>
          <w:p w:rsidRPr="00000000" w:rsidR="00000000" w:rsidDel="00000000" w:rsidP="00000000" w:rsidRDefault="00000000" w14:paraId="00000641">
            <w:pPr>
              <w:spacing w:line="276" w:lineRule="auto"/>
              <w:rPr>
                <w:color w:val="0563c1"/>
                <w:sz w:val="20"/>
                <w:szCs w:val="20"/>
                <w:u w:val="single"/>
              </w:rPr>
            </w:pPr>
            <w:hyperlink r:id="rId84">
              <w:r w:rsidRPr="00000000" w:rsidDel="00000000" w:rsidR="00000000">
                <w:rPr>
                  <w:color w:val="1155cc"/>
                  <w:sz w:val="20"/>
                  <w:szCs w:val="20"/>
                  <w:u w:val="single"/>
                  <w:rtl w:val="0"/>
                </w:rPr>
                <w:t xml:space="preserve">https://confluence.toolsfdg.net/pages/viewpage.action?pageId=339137150&amp;preview=/339137150/396822726/Politically%20Exposed%20Person%20(PEP)%20Guidance%20Document%20v2.0.docx.pdf</w:t>
              </w:r>
            </w:hyperlink>
            <w:r w:rsidRPr="00000000" w:rsidDel="00000000" w:rsidR="00000000">
              <w:rPr>
                <w:color w:val="0563c1"/>
                <w:sz w:val="20"/>
                <w:szCs w:val="20"/>
                <w:u w:val="single"/>
                <w:rtl w:val="0"/>
              </w:rPr>
              <w:t xml:space="preserve"> </w:t>
            </w:r>
          </w:p>
        </w:tc>
      </w:tr>
      <w:tr>
        <w:trPr>
          <w:cantSplit w:val="0"/>
          <w:tblHeader w:val="0"/>
        </w:trPr>
        <w:tc>
          <w:tcPr>
            <w:tcMar>
              <w:top w:w="43.2" w:type="dxa"/>
              <w:left w:w="43.2" w:type="dxa"/>
              <w:bottom w:w="43.2" w:type="dxa"/>
              <w:right w:w="43.2" w:type="dxa"/>
            </w:tcMar>
            <w:vAlign w:val="center"/>
          </w:tcPr>
          <w:p w:rsidRPr="00000000" w:rsidR="00000000" w:rsidDel="00000000" w:rsidP="00000000" w:rsidRDefault="00000000" w14:paraId="00000642">
            <w:pPr>
              <w:keepNext w:val="0"/>
              <w:keepLines w:val="0"/>
              <w:pageBreakBefore w:val="0"/>
              <w:widowControl w:val="1"/>
              <w:numPr>
                <w:ilvl w:val="0"/>
                <w:numId w:val="24"/>
              </w:numPr>
              <w:pBdr>
                <w:top w:val="nil" w:sz="0" w:space="0"/>
                <w:left w:val="nil" w:sz="0" w:space="0"/>
                <w:bottom w:val="nil" w:sz="0" w:space="0"/>
                <w:right w:val="nil" w:sz="0" w:space="0"/>
                <w:between w:val="nil" w:sz="0" w:space="0"/>
              </w:pBdr>
              <w:shd w:val="clear" w:fill="auto"/>
              <w:spacing w:before="0" w:after="200" w:line="276" w:lineRule="auto"/>
              <w:ind w:left="360" w:right="0" w:hanging="360"/>
              <w:jc w:val="left"/>
              <w:rPr>
                <w:b w:val="0"/>
                <w:bCs w:val="0"/>
                <w:i w:val="0"/>
                <w:iCs w:val="0"/>
                <w:smallCaps w:val="0"/>
                <w:strike w:val="0"/>
                <w:color w:val="000000"/>
                <w:sz w:val="20"/>
                <w:szCs w:val="20"/>
                <w:shd w:val="clear" w:fill="auto"/>
                <w:vertAlign w:val="baseline"/>
              </w:rPr>
            </w:pPr>
            <w:r w:rsidRPr="00000000" w:rsidDel="00000000" w:rsidR="00000000">
              <w:rPr>
                <w:rtl w:val="0"/>
              </w:rPr>
            </w:r>
          </w:p>
        </w:tc>
        <w:tc>
          <w:tcPr>
            <w:tcMar>
              <w:top w:w="43.2" w:type="dxa"/>
              <w:left w:w="43.2" w:type="dxa"/>
              <w:bottom w:w="43.2" w:type="dxa"/>
              <w:right w:w="43.2" w:type="dxa"/>
            </w:tcMar>
            <w:vAlign w:val="center"/>
          </w:tcPr>
          <w:p w:rsidRPr="00000000" w:rsidR="00000000" w:rsidDel="00000000" w:rsidP="00000000" w:rsidRDefault="00000000" w14:paraId="00000643">
            <w:pPr>
              <w:spacing w:line="276" w:lineRule="auto"/>
              <w:rPr>
                <w:sz w:val="20"/>
                <w:szCs w:val="20"/>
              </w:rPr>
            </w:pPr>
            <w:r w:rsidRPr="00000000" w:rsidDel="00000000" w:rsidR="00000000">
              <w:rPr>
                <w:sz w:val="20"/>
                <w:szCs w:val="20"/>
                <w:rtl w:val="0"/>
              </w:rPr>
              <w:t xml:space="preserve">Blockchain Analytics Default Risk Statement</w:t>
            </w:r>
          </w:p>
        </w:tc>
        <w:tc>
          <w:tcPr>
            <w:tcMar>
              <w:top w:w="43.2" w:type="dxa"/>
              <w:left w:w="43.2" w:type="dxa"/>
              <w:bottom w:w="43.2" w:type="dxa"/>
              <w:right w:w="43.2" w:type="dxa"/>
            </w:tcMar>
            <w:vAlign w:val="center"/>
          </w:tcPr>
          <w:p w:rsidRPr="00000000" w:rsidR="00000000" w:rsidDel="00000000" w:rsidP="00000000" w:rsidRDefault="00000000" w14:paraId="00000644">
            <w:pPr>
              <w:spacing w:line="276" w:lineRule="auto"/>
              <w:rPr>
                <w:color w:val="0563c1"/>
                <w:sz w:val="20"/>
                <w:szCs w:val="20"/>
                <w:u w:val="single"/>
              </w:rPr>
            </w:pPr>
            <w:r w:rsidRPr="00000000" w:rsidDel="00000000" w:rsidR="00000000">
              <w:rPr>
                <w:color w:val="0563c1"/>
                <w:sz w:val="20"/>
                <w:szCs w:val="20"/>
                <w:u w:val="single"/>
                <w:rtl w:val="0"/>
              </w:rPr>
              <w:t xml:space="preserve">https://confluence.toolsfdg.net/display/CMPL/Transaction+Monitoring+Compliance+Framework?preview=/213527725/341701638/Blockchain%20Analytics%20Default%20Risk%20Statement.pdf</w:t>
            </w:r>
          </w:p>
        </w:tc>
      </w:tr>
      <w:tr>
        <w:trPr>
          <w:cantSplit w:val="0"/>
          <w:tblHeader w:val="0"/>
        </w:trPr>
        <w:tc>
          <w:tcPr>
            <w:tcMar>
              <w:top w:w="43.2" w:type="dxa"/>
              <w:left w:w="43.2" w:type="dxa"/>
              <w:bottom w:w="43.2" w:type="dxa"/>
              <w:right w:w="43.2" w:type="dxa"/>
            </w:tcMar>
            <w:vAlign w:val="center"/>
          </w:tcPr>
          <w:p w:rsidRPr="00000000" w:rsidR="00000000" w:rsidDel="00000000" w:rsidP="00000000" w:rsidRDefault="00000000" w14:paraId="00000645">
            <w:pPr>
              <w:keepNext w:val="0"/>
              <w:keepLines w:val="0"/>
              <w:pageBreakBefore w:val="0"/>
              <w:widowControl w:val="1"/>
              <w:numPr>
                <w:ilvl w:val="0"/>
                <w:numId w:val="24"/>
              </w:numPr>
              <w:pBdr>
                <w:top w:val="nil" w:sz="0" w:space="0"/>
                <w:left w:val="nil" w:sz="0" w:space="0"/>
                <w:bottom w:val="nil" w:sz="0" w:space="0"/>
                <w:right w:val="nil" w:sz="0" w:space="0"/>
                <w:between w:val="nil" w:sz="0" w:space="0"/>
              </w:pBdr>
              <w:shd w:val="clear" w:fill="auto"/>
              <w:spacing w:before="0" w:after="200" w:line="276" w:lineRule="auto"/>
              <w:ind w:left="360" w:right="0" w:hanging="360"/>
              <w:jc w:val="left"/>
              <w:rPr>
                <w:b w:val="0"/>
                <w:bCs w:val="0"/>
                <w:i w:val="0"/>
                <w:iCs w:val="0"/>
                <w:smallCaps w:val="0"/>
                <w:strike w:val="0"/>
                <w:color w:val="000000"/>
                <w:sz w:val="20"/>
                <w:szCs w:val="20"/>
                <w:shd w:val="clear" w:fill="auto"/>
                <w:vertAlign w:val="baseline"/>
              </w:rPr>
            </w:pPr>
            <w:r w:rsidRPr="00000000" w:rsidDel="00000000" w:rsidR="00000000">
              <w:rPr>
                <w:rtl w:val="0"/>
              </w:rPr>
            </w:r>
          </w:p>
        </w:tc>
        <w:tc>
          <w:tcPr>
            <w:tcMar>
              <w:top w:w="43.2" w:type="dxa"/>
              <w:left w:w="43.2" w:type="dxa"/>
              <w:bottom w:w="43.2" w:type="dxa"/>
              <w:right w:w="43.2" w:type="dxa"/>
            </w:tcMar>
            <w:vAlign w:val="center"/>
          </w:tcPr>
          <w:p w:rsidRPr="00000000" w:rsidR="00000000" w:rsidDel="00000000" w:rsidP="00000000" w:rsidRDefault="00000000" w14:paraId="00000646">
            <w:pPr>
              <w:spacing w:line="276" w:lineRule="auto"/>
              <w:rPr>
                <w:sz w:val="20"/>
                <w:szCs w:val="20"/>
              </w:rPr>
            </w:pPr>
            <w:r w:rsidRPr="00000000" w:rsidDel="00000000" w:rsidR="00000000">
              <w:rPr>
                <w:sz w:val="20"/>
                <w:szCs w:val="20"/>
                <w:rtl w:val="0"/>
              </w:rPr>
              <w:t xml:space="preserve">Blockchain Monitoring Product Analysis &amp; Comparison</w:t>
            </w:r>
          </w:p>
        </w:tc>
        <w:tc>
          <w:tcPr>
            <w:tcMar>
              <w:top w:w="43.2" w:type="dxa"/>
              <w:left w:w="43.2" w:type="dxa"/>
              <w:bottom w:w="43.2" w:type="dxa"/>
              <w:right w:w="43.2" w:type="dxa"/>
            </w:tcMar>
            <w:vAlign w:val="center"/>
          </w:tcPr>
          <w:p w:rsidRPr="00000000" w:rsidR="00000000" w:rsidDel="00000000" w:rsidP="00000000" w:rsidRDefault="00000000" w14:paraId="00000647">
            <w:pPr>
              <w:spacing w:line="276" w:lineRule="auto"/>
              <w:rPr>
                <w:color w:val="0563c1"/>
                <w:sz w:val="20"/>
                <w:szCs w:val="20"/>
                <w:u w:val="single"/>
              </w:rPr>
            </w:pPr>
            <w:r w:rsidRPr="00000000" w:rsidDel="00000000" w:rsidR="00000000">
              <w:rPr>
                <w:color w:val="0563c1"/>
                <w:sz w:val="20"/>
                <w:szCs w:val="20"/>
                <w:u w:val="single"/>
                <w:rtl w:val="0"/>
              </w:rPr>
              <w:t xml:space="preserve">https://confluence.toolsfdg.net/display/CMPL/Transaction+Monitoring+Compliance+Framework?preview=/213527725/341701674/Elliptic%20Vendor%20Analysis.pdf</w:t>
            </w:r>
          </w:p>
        </w:tc>
      </w:tr>
      <w:tr>
        <w:trPr>
          <w:cantSplit w:val="0"/>
          <w:trHeight w:val="660" w:hRule="atLeast"/>
          <w:tblHeader w:val="0"/>
        </w:trPr>
        <w:tc>
          <w:tcPr>
            <w:tcMar>
              <w:top w:w="43.2" w:type="dxa"/>
              <w:left w:w="43.2" w:type="dxa"/>
              <w:bottom w:w="43.2" w:type="dxa"/>
              <w:right w:w="43.2" w:type="dxa"/>
            </w:tcMar>
            <w:vAlign w:val="center"/>
          </w:tcPr>
          <w:p w:rsidRPr="00000000" w:rsidR="00000000" w:rsidDel="00000000" w:rsidP="00000000" w:rsidRDefault="00000000" w14:paraId="00000648">
            <w:pPr>
              <w:keepNext w:val="0"/>
              <w:keepLines w:val="0"/>
              <w:pageBreakBefore w:val="0"/>
              <w:widowControl w:val="1"/>
              <w:numPr>
                <w:ilvl w:val="0"/>
                <w:numId w:val="24"/>
              </w:numPr>
              <w:pBdr>
                <w:top w:val="nil" w:sz="0" w:space="0"/>
                <w:left w:val="nil" w:sz="0" w:space="0"/>
                <w:bottom w:val="nil" w:sz="0" w:space="0"/>
                <w:right w:val="nil" w:sz="0" w:space="0"/>
                <w:between w:val="nil" w:sz="0" w:space="0"/>
              </w:pBdr>
              <w:shd w:val="clear" w:fill="auto"/>
              <w:spacing w:before="0" w:after="200" w:line="276" w:lineRule="auto"/>
              <w:ind w:left="360" w:right="0" w:hanging="360"/>
              <w:jc w:val="left"/>
              <w:rPr>
                <w:b w:val="0"/>
                <w:bCs w:val="0"/>
                <w:i w:val="0"/>
                <w:iCs w:val="0"/>
                <w:smallCaps w:val="0"/>
                <w:strike w:val="0"/>
                <w:color w:val="000000"/>
                <w:sz w:val="20"/>
                <w:szCs w:val="20"/>
                <w:shd w:val="clear" w:fill="auto"/>
                <w:vertAlign w:val="baseline"/>
              </w:rPr>
            </w:pPr>
            <w:r w:rsidRPr="00000000" w:rsidDel="00000000" w:rsidR="00000000">
              <w:rPr>
                <w:rtl w:val="0"/>
              </w:rPr>
            </w:r>
          </w:p>
        </w:tc>
        <w:tc>
          <w:tcPr>
            <w:tcMar>
              <w:top w:w="43.2" w:type="dxa"/>
              <w:left w:w="43.2" w:type="dxa"/>
              <w:bottom w:w="43.2" w:type="dxa"/>
              <w:right w:w="43.2" w:type="dxa"/>
            </w:tcMar>
            <w:vAlign w:val="center"/>
          </w:tcPr>
          <w:p w:rsidRPr="00000000" w:rsidR="00000000" w:rsidDel="00000000" w:rsidP="00000000" w:rsidRDefault="00000000" w14:paraId="00000649">
            <w:pPr>
              <w:spacing w:line="276" w:lineRule="auto"/>
              <w:rPr>
                <w:sz w:val="20"/>
                <w:szCs w:val="20"/>
              </w:rPr>
            </w:pPr>
            <w:r w:rsidRPr="00000000" w:rsidDel="00000000" w:rsidR="00000000">
              <w:rPr>
                <w:sz w:val="20"/>
                <w:szCs w:val="20"/>
                <w:rtl w:val="0"/>
              </w:rPr>
              <w:t xml:space="preserve">Global Sanctions Policy</w:t>
            </w:r>
          </w:p>
        </w:tc>
        <w:tc>
          <w:tcPr>
            <w:tcMar>
              <w:top w:w="43.2" w:type="dxa"/>
              <w:left w:w="43.2" w:type="dxa"/>
              <w:bottom w:w="43.2" w:type="dxa"/>
              <w:right w:w="43.2" w:type="dxa"/>
            </w:tcMar>
            <w:vAlign w:val="center"/>
          </w:tcPr>
          <w:p w:rsidRPr="00000000" w:rsidR="00000000" w:rsidDel="00000000" w:rsidP="00000000" w:rsidRDefault="00000000" w14:paraId="0000064A">
            <w:pPr>
              <w:spacing w:line="276" w:lineRule="auto"/>
              <w:rPr>
                <w:color w:val="0563c1"/>
                <w:sz w:val="20"/>
                <w:szCs w:val="20"/>
                <w:u w:val="single"/>
              </w:rPr>
            </w:pPr>
            <w:r w:rsidRPr="00000000" w:rsidDel="00000000" w:rsidR="00000000">
              <w:rPr>
                <w:color w:val="0563c1"/>
                <w:sz w:val="20"/>
                <w:szCs w:val="20"/>
                <w:u w:val="single"/>
                <w:rtl w:val="0"/>
              </w:rPr>
              <w:t xml:space="preserve">https://confluence.toolsfdg.net/display/CMPL/Sanctions+Compliance+Framework</w:t>
            </w:r>
          </w:p>
        </w:tc>
      </w:tr>
      <w:tr>
        <w:trPr>
          <w:cantSplit w:val="0"/>
          <w:tblHeader w:val="0"/>
        </w:trPr>
        <w:tc>
          <w:tcPr>
            <w:tcMar>
              <w:top w:w="43.2" w:type="dxa"/>
              <w:left w:w="43.2" w:type="dxa"/>
              <w:bottom w:w="43.2" w:type="dxa"/>
              <w:right w:w="43.2" w:type="dxa"/>
            </w:tcMar>
            <w:vAlign w:val="center"/>
          </w:tcPr>
          <w:p w:rsidRPr="00000000" w:rsidR="00000000" w:rsidDel="00000000" w:rsidP="00000000" w:rsidRDefault="00000000" w14:paraId="0000064B">
            <w:pPr>
              <w:keepNext w:val="0"/>
              <w:keepLines w:val="0"/>
              <w:pageBreakBefore w:val="0"/>
              <w:widowControl w:val="1"/>
              <w:numPr>
                <w:ilvl w:val="0"/>
                <w:numId w:val="24"/>
              </w:numPr>
              <w:pBdr>
                <w:top w:val="nil" w:sz="0" w:space="0"/>
                <w:left w:val="nil" w:sz="0" w:space="0"/>
                <w:bottom w:val="nil" w:sz="0" w:space="0"/>
                <w:right w:val="nil" w:sz="0" w:space="0"/>
                <w:between w:val="nil" w:sz="0" w:space="0"/>
              </w:pBdr>
              <w:shd w:val="clear" w:fill="auto"/>
              <w:spacing w:before="0" w:after="200" w:line="276" w:lineRule="auto"/>
              <w:ind w:left="360" w:right="0" w:hanging="360"/>
              <w:jc w:val="left"/>
              <w:rPr>
                <w:b w:val="0"/>
                <w:bCs w:val="0"/>
                <w:i w:val="0"/>
                <w:iCs w:val="0"/>
                <w:smallCaps w:val="0"/>
                <w:strike w:val="0"/>
                <w:color w:val="000000"/>
                <w:sz w:val="20"/>
                <w:szCs w:val="20"/>
                <w:shd w:val="clear" w:fill="auto"/>
                <w:vertAlign w:val="baseline"/>
              </w:rPr>
            </w:pPr>
            <w:r w:rsidRPr="00000000" w:rsidDel="00000000" w:rsidR="00000000">
              <w:rPr>
                <w:rtl w:val="0"/>
              </w:rPr>
            </w:r>
          </w:p>
        </w:tc>
        <w:tc>
          <w:tcPr>
            <w:tcMar>
              <w:top w:w="43.2" w:type="dxa"/>
              <w:left w:w="43.2" w:type="dxa"/>
              <w:bottom w:w="43.2" w:type="dxa"/>
              <w:right w:w="43.2" w:type="dxa"/>
            </w:tcMar>
            <w:vAlign w:val="center"/>
          </w:tcPr>
          <w:p w:rsidRPr="00000000" w:rsidR="00000000" w:rsidDel="00000000" w:rsidP="00000000" w:rsidRDefault="00000000" w14:paraId="0000064C">
            <w:pPr>
              <w:pBdr>
                <w:top w:val="none" w:color="000000" w:sz="0" w:space="0"/>
                <w:left w:val="none" w:color="000000" w:sz="0" w:space="0"/>
                <w:bottom w:val="none" w:color="000000" w:sz="0" w:space="0"/>
                <w:right w:val="none" w:color="000000" w:sz="0" w:space="0"/>
              </w:pBdr>
              <w:spacing w:line="276" w:lineRule="auto"/>
              <w:rPr>
                <w:sz w:val="20"/>
                <w:szCs w:val="20"/>
              </w:rPr>
            </w:pPr>
            <w:r w:rsidRPr="00000000" w:rsidDel="00000000" w:rsidR="00000000">
              <w:rPr>
                <w:sz w:val="20"/>
                <w:szCs w:val="20"/>
                <w:rtl w:val="0"/>
              </w:rPr>
              <w:t xml:space="preserve">Binance Group - Data Protection Policy</w:t>
            </w:r>
          </w:p>
          <w:p w:rsidRPr="00000000" w:rsidR="00000000" w:rsidDel="00000000" w:rsidP="00000000" w:rsidRDefault="00000000" w14:paraId="0000064D">
            <w:pPr>
              <w:spacing w:line="276" w:lineRule="auto"/>
              <w:rPr>
                <w:sz w:val="20"/>
                <w:szCs w:val="20"/>
              </w:rPr>
            </w:pPr>
            <w:r w:rsidRPr="00000000" w:rsidDel="00000000" w:rsidR="00000000">
              <w:rPr>
                <w:rtl w:val="0"/>
              </w:rPr>
            </w:r>
          </w:p>
        </w:tc>
        <w:tc>
          <w:tcPr>
            <w:tcMar>
              <w:top w:w="43.2" w:type="dxa"/>
              <w:left w:w="43.2" w:type="dxa"/>
              <w:bottom w:w="43.2" w:type="dxa"/>
              <w:right w:w="43.2" w:type="dxa"/>
            </w:tcMar>
            <w:vAlign w:val="center"/>
          </w:tcPr>
          <w:p w:rsidRPr="00000000" w:rsidR="00000000" w:rsidDel="00000000" w:rsidP="00000000" w:rsidRDefault="00000000" w14:paraId="0000064E">
            <w:pPr>
              <w:spacing w:line="276" w:lineRule="auto"/>
              <w:rPr>
                <w:color w:val="0563c1"/>
                <w:sz w:val="20"/>
                <w:szCs w:val="20"/>
                <w:u w:val="single"/>
              </w:rPr>
            </w:pPr>
            <w:r w:rsidRPr="00000000" w:rsidDel="00000000" w:rsidR="00000000">
              <w:rPr>
                <w:color w:val="0563c1"/>
                <w:sz w:val="20"/>
                <w:szCs w:val="20"/>
                <w:u w:val="single"/>
                <w:rtl w:val="0"/>
              </w:rPr>
              <w:t xml:space="preserve">https://boffice.toolsfdg.net/Products/Files/DocEditor.aspx?fileid=1838304&amp;doc=YU1JZDM0QUU2S2pSZS9SVjdYV2Y3Yy9RbnF3RGNRa3JnYzVLd1I3Mm1BOD0_IntcImVudHJ5XCI6XCIxODM4MzA0XCIsXCJsaW5rXCI6XCJiMmVlZWU4ZS1lM2VhLTQ5NWUtODhiNy01NzgyOTE0NjQ1YjhcIn0i0</w:t>
            </w:r>
          </w:p>
        </w:tc>
      </w:tr>
      <w:tr>
        <w:trPr>
          <w:cantSplit w:val="0"/>
          <w:tblHeader w:val="0"/>
        </w:trPr>
        <w:tc>
          <w:tcPr>
            <w:tcMar>
              <w:top w:w="43.2" w:type="dxa"/>
              <w:left w:w="43.2" w:type="dxa"/>
              <w:bottom w:w="43.2" w:type="dxa"/>
              <w:right w:w="43.2" w:type="dxa"/>
            </w:tcMar>
            <w:vAlign w:val="center"/>
          </w:tcPr>
          <w:p w:rsidRPr="00000000" w:rsidR="00000000" w:rsidDel="00000000" w:rsidP="00000000" w:rsidRDefault="00000000" w14:paraId="0000064F">
            <w:pPr>
              <w:keepNext w:val="0"/>
              <w:keepLines w:val="0"/>
              <w:pageBreakBefore w:val="0"/>
              <w:widowControl w:val="1"/>
              <w:numPr>
                <w:ilvl w:val="0"/>
                <w:numId w:val="24"/>
              </w:numPr>
              <w:pBdr>
                <w:top w:val="nil" w:sz="0" w:space="0"/>
                <w:left w:val="nil" w:sz="0" w:space="0"/>
                <w:bottom w:val="nil" w:sz="0" w:space="0"/>
                <w:right w:val="nil" w:sz="0" w:space="0"/>
                <w:between w:val="nil" w:sz="0" w:space="0"/>
              </w:pBdr>
              <w:shd w:val="clear" w:fill="auto"/>
              <w:spacing w:before="0" w:after="200" w:line="276" w:lineRule="auto"/>
              <w:ind w:left="360" w:right="0" w:hanging="360"/>
              <w:jc w:val="left"/>
              <w:rPr>
                <w:b w:val="0"/>
                <w:bCs w:val="0"/>
                <w:i w:val="0"/>
                <w:iCs w:val="0"/>
                <w:smallCaps w:val="0"/>
                <w:strike w:val="0"/>
                <w:color w:val="000000"/>
                <w:sz w:val="20"/>
                <w:szCs w:val="20"/>
                <w:shd w:val="clear" w:fill="auto"/>
                <w:vertAlign w:val="baseline"/>
              </w:rPr>
            </w:pPr>
            <w:r w:rsidRPr="00000000" w:rsidDel="00000000" w:rsidR="00000000">
              <w:rPr>
                <w:rtl w:val="0"/>
              </w:rPr>
            </w:r>
          </w:p>
        </w:tc>
        <w:tc>
          <w:tcPr>
            <w:tcMar>
              <w:top w:w="43.2" w:type="dxa"/>
              <w:left w:w="43.2" w:type="dxa"/>
              <w:bottom w:w="43.2" w:type="dxa"/>
              <w:right w:w="43.2" w:type="dxa"/>
            </w:tcMar>
            <w:vAlign w:val="center"/>
          </w:tcPr>
          <w:p w:rsidRPr="00000000" w:rsidR="00000000" w:rsidDel="00000000" w:rsidP="00000000" w:rsidRDefault="00000000" w14:paraId="00000650">
            <w:pPr>
              <w:spacing w:line="276" w:lineRule="auto"/>
              <w:rPr>
                <w:sz w:val="20"/>
                <w:szCs w:val="20"/>
              </w:rPr>
            </w:pPr>
            <w:r w:rsidRPr="00000000" w:rsidDel="00000000" w:rsidR="00000000">
              <w:rPr>
                <w:sz w:val="20"/>
                <w:szCs w:val="20"/>
                <w:rtl w:val="0"/>
              </w:rPr>
              <w:t xml:space="preserve">End-to-End Transaction Rule Calibration Standard Operating Procedure</w:t>
            </w:r>
          </w:p>
        </w:tc>
        <w:tc>
          <w:tcPr>
            <w:tcMar>
              <w:top w:w="43.2" w:type="dxa"/>
              <w:left w:w="43.2" w:type="dxa"/>
              <w:bottom w:w="43.2" w:type="dxa"/>
              <w:right w:w="43.2" w:type="dxa"/>
            </w:tcMar>
            <w:vAlign w:val="center"/>
          </w:tcPr>
          <w:p w:rsidRPr="00000000" w:rsidR="00000000" w:rsidDel="00000000" w:rsidP="00000000" w:rsidRDefault="00000000" w14:paraId="00000651">
            <w:pPr>
              <w:spacing w:line="276" w:lineRule="auto"/>
              <w:rPr>
                <w:color w:val="0563c1"/>
                <w:sz w:val="20"/>
                <w:szCs w:val="20"/>
                <w:u w:val="single"/>
              </w:rPr>
            </w:pPr>
            <w:hyperlink r:id="rId85">
              <w:r w:rsidRPr="00000000" w:rsidDel="00000000" w:rsidR="00000000">
                <w:rPr>
                  <w:color w:val="1155cc"/>
                  <w:sz w:val="20"/>
                  <w:szCs w:val="20"/>
                  <w:u w:val="single"/>
                  <w:rtl w:val="0"/>
                </w:rPr>
                <w:t xml:space="preserve">https://confluence.toolsfdg.net/display/CMPL/Transaction+Monitoring+Compliance+Framework?preview=/213527725/396826339/End-to-End%20Transaction%20Rule%20Calibration%20SOP%20v1.0.pdf</w:t>
              </w:r>
            </w:hyperlink>
            <w:r w:rsidRPr="00000000" w:rsidDel="00000000" w:rsidR="00000000">
              <w:rPr>
                <w:color w:val="0563c1"/>
                <w:sz w:val="20"/>
                <w:szCs w:val="20"/>
                <w:u w:val="single"/>
                <w:rtl w:val="0"/>
              </w:rPr>
              <w:t xml:space="preserve"> </w:t>
            </w:r>
          </w:p>
        </w:tc>
      </w:tr>
      <w:tr>
        <w:trPr>
          <w:cantSplit w:val="0"/>
          <w:tblHeader w:val="0"/>
        </w:trPr>
        <w:tc>
          <w:tcPr>
            <w:tcMar>
              <w:top w:w="43.2" w:type="dxa"/>
              <w:left w:w="43.2" w:type="dxa"/>
              <w:bottom w:w="43.2" w:type="dxa"/>
              <w:right w:w="43.2" w:type="dxa"/>
            </w:tcMar>
            <w:vAlign w:val="center"/>
          </w:tcPr>
          <w:p w:rsidRPr="00000000" w:rsidR="00000000" w:rsidDel="00000000" w:rsidP="00000000" w:rsidRDefault="00000000" w14:paraId="00000652">
            <w:pPr>
              <w:keepNext w:val="0"/>
              <w:keepLines w:val="0"/>
              <w:pageBreakBefore w:val="0"/>
              <w:widowControl w:val="1"/>
              <w:numPr>
                <w:ilvl w:val="0"/>
                <w:numId w:val="24"/>
              </w:numPr>
              <w:pBdr>
                <w:top w:val="nil" w:sz="0" w:space="0"/>
                <w:left w:val="nil" w:sz="0" w:space="0"/>
                <w:bottom w:val="nil" w:sz="0" w:space="0"/>
                <w:right w:val="nil" w:sz="0" w:space="0"/>
                <w:between w:val="nil" w:sz="0" w:space="0"/>
              </w:pBdr>
              <w:shd w:val="clear" w:fill="auto"/>
              <w:spacing w:before="0" w:after="200" w:line="276" w:lineRule="auto"/>
              <w:ind w:left="360" w:right="0" w:hanging="360"/>
              <w:jc w:val="left"/>
              <w:rPr>
                <w:b w:val="0"/>
                <w:bCs w:val="0"/>
                <w:i w:val="0"/>
                <w:iCs w:val="0"/>
                <w:smallCaps w:val="0"/>
                <w:strike w:val="0"/>
                <w:color w:val="000000"/>
                <w:sz w:val="20"/>
                <w:szCs w:val="20"/>
                <w:shd w:val="clear" w:fill="auto"/>
                <w:vertAlign w:val="baseline"/>
              </w:rPr>
            </w:pPr>
            <w:r w:rsidRPr="00000000" w:rsidDel="00000000" w:rsidR="00000000">
              <w:rPr>
                <w:rtl w:val="0"/>
              </w:rPr>
            </w:r>
          </w:p>
        </w:tc>
        <w:tc>
          <w:tcPr>
            <w:tcMar>
              <w:top w:w="43.2" w:type="dxa"/>
              <w:left w:w="43.2" w:type="dxa"/>
              <w:bottom w:w="43.2" w:type="dxa"/>
              <w:right w:w="43.2" w:type="dxa"/>
            </w:tcMar>
            <w:vAlign w:val="center"/>
          </w:tcPr>
          <w:p w:rsidRPr="00000000" w:rsidR="00000000" w:rsidDel="00000000" w:rsidP="00000000" w:rsidRDefault="00000000" w14:paraId="00000653">
            <w:pPr>
              <w:spacing w:line="276" w:lineRule="auto"/>
              <w:rPr>
                <w:sz w:val="20"/>
                <w:szCs w:val="20"/>
              </w:rPr>
            </w:pPr>
            <w:r w:rsidRPr="00000000" w:rsidDel="00000000" w:rsidR="00000000">
              <w:rPr>
                <w:sz w:val="20"/>
                <w:szCs w:val="20"/>
                <w:rtl w:val="0"/>
              </w:rPr>
              <w:t xml:space="preserve">Global Sanctions Operating Framework </w:t>
            </w:r>
          </w:p>
        </w:tc>
        <w:tc>
          <w:tcPr>
            <w:tcMar>
              <w:top w:w="43.2" w:type="dxa"/>
              <w:left w:w="43.2" w:type="dxa"/>
              <w:bottom w:w="43.2" w:type="dxa"/>
              <w:right w:w="43.2" w:type="dxa"/>
            </w:tcMar>
            <w:vAlign w:val="center"/>
          </w:tcPr>
          <w:p w:rsidRPr="00000000" w:rsidR="00000000" w:rsidDel="00000000" w:rsidP="00000000" w:rsidRDefault="00000000" w14:paraId="00000654">
            <w:pPr>
              <w:spacing w:line="276" w:lineRule="auto"/>
              <w:rPr>
                <w:color w:val="0563c1"/>
                <w:sz w:val="20"/>
                <w:szCs w:val="20"/>
                <w:u w:val="single"/>
              </w:rPr>
            </w:pPr>
            <w:r w:rsidRPr="00000000" w:rsidDel="00000000" w:rsidR="00000000">
              <w:rPr>
                <w:color w:val="0563c1"/>
                <w:sz w:val="20"/>
                <w:szCs w:val="20"/>
                <w:u w:val="single"/>
                <w:rtl w:val="0"/>
              </w:rPr>
              <w:t xml:space="preserve">https://confluence.toolsfdg.net/display/CMPL/Sanctions+Compliance+Framework</w:t>
            </w:r>
            <w:r w:rsidRPr="00000000" w:rsidDel="00000000" w:rsidR="00000000">
              <w:rPr>
                <w:rtl w:val="0"/>
              </w:rPr>
            </w:r>
          </w:p>
        </w:tc>
      </w:tr>
      <w:tr>
        <w:trPr>
          <w:cantSplit w:val="0"/>
          <w:tblHeader w:val="0"/>
        </w:trPr>
        <w:tc>
          <w:tcPr>
            <w:tcMar>
              <w:top w:w="43.2" w:type="dxa"/>
              <w:left w:w="43.2" w:type="dxa"/>
              <w:bottom w:w="43.2" w:type="dxa"/>
              <w:right w:w="43.2" w:type="dxa"/>
            </w:tcMar>
            <w:vAlign w:val="center"/>
          </w:tcPr>
          <w:p w:rsidRPr="00000000" w:rsidR="00000000" w:rsidDel="00000000" w:rsidP="00000000" w:rsidRDefault="00000000" w14:paraId="00000655">
            <w:pPr>
              <w:keepNext w:val="0"/>
              <w:keepLines w:val="0"/>
              <w:pageBreakBefore w:val="0"/>
              <w:widowControl w:val="1"/>
              <w:numPr>
                <w:ilvl w:val="0"/>
                <w:numId w:val="24"/>
              </w:numPr>
              <w:pBdr>
                <w:top w:val="nil" w:sz="0" w:space="0"/>
                <w:left w:val="nil" w:sz="0" w:space="0"/>
                <w:bottom w:val="nil" w:sz="0" w:space="0"/>
                <w:right w:val="nil" w:sz="0" w:space="0"/>
                <w:between w:val="nil" w:sz="0" w:space="0"/>
              </w:pBdr>
              <w:shd w:val="clear" w:fill="auto"/>
              <w:spacing w:before="0" w:after="200" w:line="276" w:lineRule="auto"/>
              <w:ind w:left="360" w:right="0" w:hanging="360"/>
              <w:jc w:val="left"/>
              <w:rPr>
                <w:b w:val="0"/>
                <w:bCs w:val="0"/>
                <w:i w:val="0"/>
                <w:iCs w:val="0"/>
                <w:smallCaps w:val="0"/>
                <w:strike w:val="0"/>
                <w:color w:val="000000"/>
                <w:sz w:val="20"/>
                <w:szCs w:val="20"/>
                <w:shd w:val="clear" w:fill="auto"/>
                <w:vertAlign w:val="baseline"/>
              </w:rPr>
            </w:pPr>
            <w:r w:rsidRPr="00000000" w:rsidDel="00000000" w:rsidR="00000000">
              <w:rPr>
                <w:rtl w:val="0"/>
              </w:rPr>
            </w:r>
          </w:p>
        </w:tc>
        <w:tc>
          <w:tcPr>
            <w:tcMar>
              <w:top w:w="43.2" w:type="dxa"/>
              <w:left w:w="43.2" w:type="dxa"/>
              <w:bottom w:w="43.2" w:type="dxa"/>
              <w:right w:w="43.2" w:type="dxa"/>
            </w:tcMar>
            <w:vAlign w:val="center"/>
          </w:tcPr>
          <w:p w:rsidRPr="00000000" w:rsidR="00000000" w:rsidDel="00000000" w:rsidP="00000000" w:rsidRDefault="00000000" w14:paraId="00000656">
            <w:pPr>
              <w:spacing w:line="276" w:lineRule="auto"/>
              <w:rPr>
                <w:sz w:val="20"/>
                <w:szCs w:val="20"/>
              </w:rPr>
            </w:pPr>
            <w:r w:rsidRPr="00000000" w:rsidDel="00000000" w:rsidR="00000000">
              <w:rPr>
                <w:sz w:val="20"/>
                <w:szCs w:val="20"/>
                <w:rtl w:val="0"/>
              </w:rPr>
              <w:t xml:space="preserve">Code of Conduct</w:t>
            </w:r>
          </w:p>
        </w:tc>
        <w:tc>
          <w:tcPr>
            <w:tcMar>
              <w:top w:w="43.2" w:type="dxa"/>
              <w:left w:w="43.2" w:type="dxa"/>
              <w:bottom w:w="43.2" w:type="dxa"/>
              <w:right w:w="43.2" w:type="dxa"/>
            </w:tcMar>
            <w:vAlign w:val="center"/>
          </w:tcPr>
          <w:p w:rsidRPr="00000000" w:rsidR="00000000" w:rsidDel="00000000" w:rsidP="00000000" w:rsidRDefault="00000000" w14:paraId="00000657">
            <w:pPr>
              <w:spacing w:line="276" w:lineRule="auto"/>
              <w:rPr>
                <w:sz w:val="20"/>
                <w:szCs w:val="20"/>
              </w:rPr>
            </w:pPr>
            <w:hyperlink r:id="rId86">
              <w:r w:rsidRPr="00000000" w:rsidDel="00000000" w:rsidR="00000000">
                <w:rPr>
                  <w:color w:val="1155cc"/>
                  <w:sz w:val="20"/>
                  <w:szCs w:val="20"/>
                  <w:u w:val="single"/>
                  <w:rtl w:val="0"/>
                </w:rPr>
                <w:t xml:space="preserve">https://boffice.toolsfdg.net/Products/Files/DocEditor.aspx?fileid=1262041</w:t>
              </w:r>
            </w:hyperlink>
            <w:r w:rsidRPr="00000000" w:rsidDel="00000000" w:rsidR="00000000">
              <w:rPr>
                <w:sz w:val="20"/>
                <w:szCs w:val="20"/>
                <w:rtl w:val="0"/>
              </w:rPr>
              <w:t xml:space="preserve"> </w:t>
            </w:r>
            <w:r w:rsidRPr="00000000" w:rsidDel="00000000" w:rsidR="00000000">
              <w:rPr>
                <w:rtl w:val="0"/>
              </w:rPr>
            </w:r>
          </w:p>
        </w:tc>
      </w:tr>
      <w:tr>
        <w:trPr>
          <w:cantSplit w:val="0"/>
          <w:tblHeader w:val="0"/>
        </w:trPr>
        <w:tc>
          <w:tcPr>
            <w:tcMar>
              <w:top w:w="43.2" w:type="dxa"/>
              <w:left w:w="43.2" w:type="dxa"/>
              <w:bottom w:w="43.2" w:type="dxa"/>
              <w:right w:w="43.2" w:type="dxa"/>
            </w:tcMar>
            <w:vAlign w:val="center"/>
          </w:tcPr>
          <w:p w:rsidRPr="00000000" w:rsidR="00000000" w:rsidDel="00000000" w:rsidP="00000000" w:rsidRDefault="00000000" w14:paraId="00000658">
            <w:pPr>
              <w:keepNext w:val="0"/>
              <w:keepLines w:val="0"/>
              <w:pageBreakBefore w:val="0"/>
              <w:widowControl w:val="1"/>
              <w:numPr>
                <w:ilvl w:val="0"/>
                <w:numId w:val="24"/>
              </w:numPr>
              <w:pBdr>
                <w:top w:val="nil" w:sz="0" w:space="0"/>
                <w:left w:val="nil" w:sz="0" w:space="0"/>
                <w:bottom w:val="nil" w:sz="0" w:space="0"/>
                <w:right w:val="nil" w:sz="0" w:space="0"/>
                <w:between w:val="nil" w:sz="0" w:space="0"/>
              </w:pBdr>
              <w:shd w:val="clear" w:fill="auto"/>
              <w:spacing w:before="0" w:after="200" w:line="276" w:lineRule="auto"/>
              <w:ind w:left="360" w:right="0" w:hanging="360"/>
              <w:jc w:val="left"/>
              <w:rPr>
                <w:b w:val="0"/>
                <w:bCs w:val="0"/>
                <w:i w:val="0"/>
                <w:iCs w:val="0"/>
                <w:smallCaps w:val="0"/>
                <w:strike w:val="0"/>
                <w:color w:val="000000"/>
                <w:sz w:val="20"/>
                <w:szCs w:val="20"/>
                <w:shd w:val="clear" w:fill="auto"/>
                <w:vertAlign w:val="baseline"/>
              </w:rPr>
            </w:pPr>
            <w:r w:rsidRPr="00000000" w:rsidDel="00000000" w:rsidR="00000000">
              <w:rPr>
                <w:rtl w:val="0"/>
              </w:rPr>
            </w:r>
          </w:p>
        </w:tc>
        <w:tc>
          <w:tcPr>
            <w:tcMar>
              <w:top w:w="43.2" w:type="dxa"/>
              <w:left w:w="43.2" w:type="dxa"/>
              <w:bottom w:w="43.2" w:type="dxa"/>
              <w:right w:w="43.2" w:type="dxa"/>
            </w:tcMar>
            <w:vAlign w:val="center"/>
          </w:tcPr>
          <w:p w:rsidRPr="00000000" w:rsidR="00000000" w:rsidDel="00000000" w:rsidP="00000000" w:rsidRDefault="00000000" w14:paraId="00000659">
            <w:pPr>
              <w:spacing w:line="276" w:lineRule="auto"/>
              <w:rPr>
                <w:sz w:val="20"/>
                <w:szCs w:val="20"/>
              </w:rPr>
            </w:pPr>
            <w:r w:rsidRPr="00000000" w:rsidDel="00000000" w:rsidR="00000000">
              <w:rPr>
                <w:sz w:val="20"/>
                <w:szCs w:val="20"/>
                <w:rtl w:val="0"/>
              </w:rPr>
              <w:t xml:space="preserve">Conflict of Interest Management Procedure</w:t>
            </w:r>
          </w:p>
        </w:tc>
        <w:tc>
          <w:tcPr>
            <w:tcMar>
              <w:top w:w="43.2" w:type="dxa"/>
              <w:left w:w="43.2" w:type="dxa"/>
              <w:bottom w:w="43.2" w:type="dxa"/>
              <w:right w:w="43.2" w:type="dxa"/>
            </w:tcMar>
            <w:vAlign w:val="center"/>
          </w:tcPr>
          <w:p w:rsidRPr="00000000" w:rsidR="00000000" w:rsidDel="00000000" w:rsidP="00000000" w:rsidRDefault="00000000" w14:paraId="0000065A">
            <w:pPr>
              <w:spacing w:line="276" w:lineRule="auto"/>
              <w:rPr>
                <w:sz w:val="20"/>
                <w:szCs w:val="20"/>
              </w:rPr>
            </w:pPr>
            <w:hyperlink r:id="rId87">
              <w:r w:rsidRPr="00000000" w:rsidDel="00000000" w:rsidR="00000000">
                <w:rPr>
                  <w:color w:val="1155cc"/>
                  <w:sz w:val="20"/>
                  <w:szCs w:val="20"/>
                  <w:u w:val="single"/>
                  <w:rtl w:val="0"/>
                </w:rPr>
                <w:t xml:space="preserve">https://boffice.toolsfdg.net/Products/Files/DocEditor.aspx?fileid=3365734</w:t>
              </w:r>
            </w:hyperlink>
            <w:r w:rsidRPr="00000000" w:rsidDel="00000000" w:rsidR="00000000">
              <w:rPr>
                <w:sz w:val="20"/>
                <w:szCs w:val="20"/>
                <w:rtl w:val="0"/>
              </w:rPr>
              <w:t xml:space="preserve"> </w:t>
            </w:r>
            <w:r w:rsidRPr="00000000" w:rsidDel="00000000" w:rsidR="00000000">
              <w:rPr>
                <w:rtl w:val="0"/>
              </w:rPr>
            </w:r>
          </w:p>
        </w:tc>
      </w:tr>
      <w:tr>
        <w:trPr>
          <w:cantSplit w:val="0"/>
          <w:tblHeader w:val="0"/>
        </w:trPr>
        <w:tc>
          <w:tcPr>
            <w:tcMar>
              <w:top w:w="43.2" w:type="dxa"/>
              <w:left w:w="43.2" w:type="dxa"/>
              <w:bottom w:w="43.2" w:type="dxa"/>
              <w:right w:w="43.2" w:type="dxa"/>
            </w:tcMar>
            <w:vAlign w:val="center"/>
          </w:tcPr>
          <w:p w:rsidRPr="00000000" w:rsidR="00000000" w:rsidDel="00000000" w:rsidP="00000000" w:rsidRDefault="00000000" w14:paraId="0000065B">
            <w:pPr>
              <w:keepNext w:val="0"/>
              <w:keepLines w:val="0"/>
              <w:pageBreakBefore w:val="0"/>
              <w:widowControl w:val="1"/>
              <w:numPr>
                <w:ilvl w:val="0"/>
                <w:numId w:val="24"/>
              </w:numPr>
              <w:pBdr>
                <w:top w:val="nil" w:sz="0" w:space="0"/>
                <w:left w:val="nil" w:sz="0" w:space="0"/>
                <w:bottom w:val="nil" w:sz="0" w:space="0"/>
                <w:right w:val="nil" w:sz="0" w:space="0"/>
                <w:between w:val="nil" w:sz="0" w:space="0"/>
              </w:pBdr>
              <w:shd w:val="clear" w:fill="auto"/>
              <w:spacing w:before="0" w:after="200" w:line="276" w:lineRule="auto"/>
              <w:ind w:left="360" w:right="0" w:hanging="360"/>
              <w:jc w:val="left"/>
              <w:rPr>
                <w:b w:val="0"/>
                <w:bCs w:val="0"/>
                <w:i w:val="0"/>
                <w:iCs w:val="0"/>
                <w:smallCaps w:val="0"/>
                <w:strike w:val="0"/>
                <w:color w:val="000000"/>
                <w:sz w:val="20"/>
                <w:szCs w:val="20"/>
                <w:shd w:val="clear" w:fill="auto"/>
                <w:vertAlign w:val="baseline"/>
              </w:rPr>
            </w:pPr>
            <w:r w:rsidRPr="00000000" w:rsidDel="00000000" w:rsidR="00000000">
              <w:rPr>
                <w:rtl w:val="0"/>
              </w:rPr>
            </w:r>
          </w:p>
        </w:tc>
        <w:tc>
          <w:tcPr>
            <w:tcMar>
              <w:top w:w="43.2" w:type="dxa"/>
              <w:left w:w="43.2" w:type="dxa"/>
              <w:bottom w:w="43.2" w:type="dxa"/>
              <w:right w:w="43.2" w:type="dxa"/>
            </w:tcMar>
            <w:vAlign w:val="center"/>
          </w:tcPr>
          <w:p w:rsidRPr="00000000" w:rsidR="00000000" w:rsidDel="00000000" w:rsidP="00000000" w:rsidRDefault="00000000" w14:paraId="0000065C">
            <w:pPr>
              <w:spacing w:line="276" w:lineRule="auto"/>
              <w:rPr>
                <w:sz w:val="20"/>
                <w:szCs w:val="20"/>
              </w:rPr>
            </w:pPr>
            <w:r w:rsidRPr="00000000" w:rsidDel="00000000" w:rsidR="00000000">
              <w:rPr>
                <w:sz w:val="20"/>
                <w:szCs w:val="20"/>
                <w:rtl w:val="0"/>
              </w:rPr>
              <w:t xml:space="preserve">Global Transaction Steering Committee Terms of Reference</w:t>
            </w:r>
          </w:p>
        </w:tc>
        <w:tc>
          <w:tcPr>
            <w:tcMar>
              <w:top w:w="43.2" w:type="dxa"/>
              <w:left w:w="43.2" w:type="dxa"/>
              <w:bottom w:w="43.2" w:type="dxa"/>
              <w:right w:w="43.2" w:type="dxa"/>
            </w:tcMar>
            <w:vAlign w:val="center"/>
          </w:tcPr>
          <w:p w:rsidRPr="00000000" w:rsidR="00000000" w:rsidDel="00000000" w:rsidP="00000000" w:rsidRDefault="00000000" w14:paraId="0000065D">
            <w:pPr>
              <w:spacing w:line="276" w:lineRule="auto"/>
              <w:rPr>
                <w:sz w:val="20"/>
                <w:szCs w:val="20"/>
              </w:rPr>
            </w:pPr>
            <w:hyperlink r:id="rId88">
              <w:r w:rsidRPr="00000000" w:rsidDel="00000000" w:rsidR="00000000">
                <w:rPr>
                  <w:color w:val="1155cc"/>
                  <w:sz w:val="20"/>
                  <w:szCs w:val="20"/>
                  <w:u w:val="single"/>
                  <w:rtl w:val="0"/>
                </w:rPr>
                <w:t xml:space="preserve">https://confluence.toolsfdg.net/display/CMPL/Compliance+Committees?preview=/429694895/432600187/Global%20Transaction%20Steering%20Committee%20TOR%20v%201.4.pdf</w:t>
              </w:r>
            </w:hyperlink>
            <w:r w:rsidRPr="00000000" w:rsidDel="00000000" w:rsidR="00000000">
              <w:rPr>
                <w:sz w:val="20"/>
                <w:szCs w:val="20"/>
                <w:rtl w:val="0"/>
              </w:rPr>
              <w:t xml:space="preserve"> </w:t>
            </w:r>
            <w:r w:rsidRPr="00000000" w:rsidDel="00000000" w:rsidR="00000000">
              <w:rPr>
                <w:rtl w:val="0"/>
              </w:rPr>
            </w:r>
          </w:p>
        </w:tc>
      </w:tr>
      <w:tr>
        <w:trPr>
          <w:cantSplit w:val="0"/>
          <w:tblHeader w:val="0"/>
        </w:trPr>
        <w:tc>
          <w:tcPr>
            <w:tcMar>
              <w:top w:w="43.2" w:type="dxa"/>
              <w:left w:w="43.2" w:type="dxa"/>
              <w:bottom w:w="43.2" w:type="dxa"/>
              <w:right w:w="43.2" w:type="dxa"/>
            </w:tcMar>
            <w:vAlign w:val="center"/>
          </w:tcPr>
          <w:p w:rsidRPr="00000000" w:rsidR="00000000" w:rsidDel="00000000" w:rsidP="00000000" w:rsidRDefault="00000000" w14:paraId="0000065E">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00" w:line="276" w:lineRule="auto"/>
              <w:ind w:left="360" w:right="0" w:hanging="360"/>
              <w:jc w:val="left"/>
              <w:rPr>
                <w:i w:val="0"/>
                <w:iCs w:val="0"/>
                <w:smallCaps w:val="0"/>
                <w:strike w:val="0"/>
                <w:color w:val="000000"/>
                <w:sz w:val="20"/>
                <w:szCs w:val="20"/>
                <w:u w:val="none"/>
                <w:shd w:val="clear" w:fill="auto"/>
                <w:vertAlign w:val="baseline"/>
              </w:rPr>
            </w:pPr>
            <w:r w:rsidRPr="00000000" w:rsidDel="00000000" w:rsidR="00000000">
              <w:rPr>
                <w:sz w:val="20"/>
                <w:szCs w:val="20"/>
                <w:rtl w:val="0"/>
              </w:rPr>
              <w:t xml:space="preserve">T.</w:t>
            </w:r>
            <w:r w:rsidRPr="00000000" w:rsidDel="00000000" w:rsidR="00000000">
              <w:rPr>
                <w:rtl w:val="0"/>
              </w:rPr>
            </w:r>
          </w:p>
        </w:tc>
        <w:tc>
          <w:tcPr>
            <w:tcMar>
              <w:top w:w="43.2" w:type="dxa"/>
              <w:left w:w="43.2" w:type="dxa"/>
              <w:bottom w:w="43.2" w:type="dxa"/>
              <w:right w:w="43.2" w:type="dxa"/>
            </w:tcMar>
            <w:vAlign w:val="center"/>
          </w:tcPr>
          <w:p w:rsidRPr="00000000" w:rsidR="00000000" w:rsidDel="00000000" w:rsidP="00000000" w:rsidRDefault="00000000" w14:paraId="0000065F">
            <w:pPr>
              <w:widowControl w:val="0"/>
              <w:spacing w:line="276" w:lineRule="auto"/>
              <w:rPr>
                <w:sz w:val="20"/>
                <w:szCs w:val="20"/>
              </w:rPr>
            </w:pPr>
            <w:r w:rsidRPr="00000000" w:rsidDel="00000000" w:rsidR="00000000">
              <w:rPr>
                <w:sz w:val="20"/>
                <w:szCs w:val="20"/>
                <w:rtl w:val="0"/>
              </w:rPr>
              <w:t xml:space="preserve">High Risk Customer PEP &amp; Retail Standard Operating Procedure</w:t>
            </w:r>
          </w:p>
        </w:tc>
        <w:tc>
          <w:tcPr>
            <w:tcMar>
              <w:top w:w="43.2" w:type="dxa"/>
              <w:left w:w="43.2" w:type="dxa"/>
              <w:bottom w:w="43.2" w:type="dxa"/>
              <w:right w:w="43.2" w:type="dxa"/>
            </w:tcMar>
            <w:vAlign w:val="center"/>
          </w:tcPr>
          <w:p w:rsidRPr="00000000" w:rsidR="00000000" w:rsidDel="00000000" w:rsidP="00000000" w:rsidRDefault="00000000" w14:paraId="00000660">
            <w:pPr>
              <w:spacing w:line="276" w:lineRule="auto"/>
              <w:rPr>
                <w:sz w:val="20"/>
                <w:szCs w:val="20"/>
              </w:rPr>
            </w:pPr>
            <w:hyperlink r:id="rId89">
              <w:r w:rsidRPr="00000000" w:rsidDel="00000000" w:rsidR="00000000">
                <w:rPr>
                  <w:color w:val="1155cc"/>
                  <w:sz w:val="20"/>
                  <w:szCs w:val="20"/>
                  <w:u w:val="single"/>
                  <w:rtl w:val="0"/>
                </w:rPr>
                <w:t xml:space="preserve">https://confluence.toolsfdg.net/pages/viewpage.action?pageId=339137150</w:t>
              </w:r>
            </w:hyperlink>
            <w:r w:rsidRPr="00000000" w:rsidDel="00000000" w:rsidR="00000000">
              <w:rPr>
                <w:sz w:val="20"/>
                <w:szCs w:val="20"/>
                <w:rtl w:val="0"/>
              </w:rPr>
              <w:t xml:space="preserve"> </w:t>
            </w:r>
          </w:p>
        </w:tc>
      </w:tr>
      <w:tr>
        <w:trPr>
          <w:cantSplit w:val="0"/>
          <w:tblHeader w:val="0"/>
        </w:trPr>
        <w:tc>
          <w:tcPr>
            <w:tcMar>
              <w:top w:w="43.2" w:type="dxa"/>
              <w:left w:w="43.2" w:type="dxa"/>
              <w:bottom w:w="43.2" w:type="dxa"/>
              <w:right w:w="43.2" w:type="dxa"/>
            </w:tcMar>
            <w:vAlign w:val="center"/>
          </w:tcPr>
          <w:p w:rsidRPr="00000000" w:rsidR="00000000" w:rsidDel="00000000" w:rsidP="00000000" w:rsidRDefault="00000000" w14:paraId="00000661">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00" w:line="276" w:lineRule="auto"/>
              <w:ind w:left="360" w:right="0" w:hanging="360"/>
              <w:jc w:val="left"/>
              <w:rPr>
                <w:sz w:val="20"/>
                <w:szCs w:val="20"/>
              </w:rPr>
            </w:pPr>
            <w:r w:rsidRPr="00000000" w:rsidDel="00000000" w:rsidR="00000000">
              <w:rPr>
                <w:sz w:val="20"/>
                <w:szCs w:val="20"/>
                <w:rtl w:val="0"/>
              </w:rPr>
              <w:t xml:space="preserve">U.</w:t>
            </w:r>
          </w:p>
        </w:tc>
        <w:tc>
          <w:tcPr>
            <w:tcMar>
              <w:top w:w="43.2" w:type="dxa"/>
              <w:left w:w="43.2" w:type="dxa"/>
              <w:bottom w:w="43.2" w:type="dxa"/>
              <w:right w:w="43.2" w:type="dxa"/>
            </w:tcMar>
            <w:vAlign w:val="center"/>
          </w:tcPr>
          <w:p w:rsidRPr="00000000" w:rsidR="00000000" w:rsidDel="00000000" w:rsidP="00000000" w:rsidRDefault="00000000" w14:paraId="00000662">
            <w:pPr>
              <w:spacing w:line="276" w:lineRule="auto"/>
              <w:rPr>
                <w:sz w:val="20"/>
                <w:szCs w:val="20"/>
              </w:rPr>
            </w:pPr>
            <w:r w:rsidRPr="00000000" w:rsidDel="00000000" w:rsidR="00000000">
              <w:rPr>
                <w:sz w:val="20"/>
                <w:szCs w:val="20"/>
                <w:rtl w:val="0"/>
              </w:rPr>
              <w:t xml:space="preserve">Off-Chain Transaction Monitoring Machine Learning Quality Assurance Procedures</w:t>
            </w:r>
          </w:p>
        </w:tc>
        <w:tc>
          <w:tcPr>
            <w:tcMar>
              <w:top w:w="43.2" w:type="dxa"/>
              <w:left w:w="43.2" w:type="dxa"/>
              <w:bottom w:w="43.2" w:type="dxa"/>
              <w:right w:w="43.2" w:type="dxa"/>
            </w:tcMar>
            <w:vAlign w:val="center"/>
          </w:tcPr>
          <w:p w:rsidRPr="00000000" w:rsidR="00000000" w:rsidDel="00000000" w:rsidP="00000000" w:rsidRDefault="00000000" w14:paraId="00000663">
            <w:pPr>
              <w:widowControl w:val="0"/>
              <w:spacing w:line="276" w:lineRule="auto"/>
              <w:rPr>
                <w:sz w:val="20"/>
                <w:szCs w:val="20"/>
              </w:rPr>
            </w:pPr>
            <w:hyperlink r:id="rId90">
              <w:r w:rsidRPr="00000000" w:rsidDel="00000000" w:rsidR="00000000">
                <w:rPr>
                  <w:color w:val="1155cc"/>
                  <w:sz w:val="20"/>
                  <w:szCs w:val="20"/>
                  <w:u w:val="single"/>
                  <w:rtl w:val="0"/>
                </w:rPr>
                <w:t xml:space="preserve">https://confluence.toolsfdg.net/display/CMPL/Quality+Assurance?preview=/243630006/458201152/QA%20Procedure%20-%20Off-Chain%20Transaction%20Monitoring%20Machine%20Learning%20v1.1.pdf</w:t>
              </w:r>
            </w:hyperlink>
            <w:r w:rsidRPr="00000000" w:rsidDel="00000000" w:rsidR="00000000">
              <w:rPr>
                <w:sz w:val="20"/>
                <w:szCs w:val="20"/>
                <w:rtl w:val="0"/>
              </w:rPr>
              <w:t xml:space="preserve"> </w:t>
            </w:r>
          </w:p>
        </w:tc>
      </w:tr>
    </w:tbl>
    <w:p w:rsidRPr="00000000" w:rsidR="00000000" w:rsidDel="00000000" w:rsidP="00000000" w:rsidRDefault="00000000" w14:paraId="00000664">
      <w:pPr>
        <w:pBdr>
          <w:top w:val="none" w:color="000000" w:sz="0" w:space="0"/>
          <w:left w:val="none" w:color="000000" w:sz="0" w:space="0"/>
          <w:bottom w:val="none" w:color="000000" w:sz="0" w:space="0"/>
          <w:right w:val="none" w:color="000000" w:sz="0" w:space="0"/>
        </w:pBdr>
        <w:spacing w:after="0" w:lineRule="auto"/>
        <w:rPr>
          <w:shd w:val="clear" w:fill="d3d3d3"/>
        </w:rPr>
      </w:pPr>
      <w:r w:rsidRPr="00000000" w:rsidDel="00000000" w:rsidR="00000000">
        <w:rPr>
          <w:rtl w:val="0"/>
        </w:rPr>
      </w:r>
    </w:p>
    <w:p w:rsidRPr="00000000" w:rsidR="00000000" w:rsidDel="00000000" w:rsidP="00000000" w:rsidRDefault="00000000" w14:paraId="00000665">
      <w:pPr>
        <w:pBdr>
          <w:top w:val="none" w:color="000000" w:sz="0" w:space="0"/>
          <w:left w:val="none" w:color="000000" w:sz="0" w:space="0"/>
          <w:bottom w:val="none" w:color="000000" w:sz="0" w:space="0"/>
          <w:right w:val="none" w:color="000000" w:sz="0" w:space="0"/>
        </w:pBdr>
        <w:spacing w:after="0" w:lineRule="auto"/>
        <w:rPr>
          <w:b w:val="1"/>
          <w:bCs w:val="1"/>
          <w:i w:val="1"/>
          <w:iCs w:val="1"/>
          <w:shd w:val="clear" w:fill="d3d3d3"/>
        </w:rPr>
      </w:pPr>
      <w:r w:rsidRPr="00000000" w:rsidDel="00000000" w:rsidR="00000000">
        <w:rPr>
          <w:b w:val="1"/>
          <w:bCs w:val="1"/>
          <w:i w:val="1"/>
          <w:iCs w:val="1"/>
          <w:shd w:val="clear" w:fill="d3d3d3"/>
          <w:rtl w:val="0"/>
        </w:rPr>
        <w:t xml:space="preserve"> </w:t>
      </w:r>
    </w:p>
    <w:p w:rsidRPr="00000000" w:rsidR="00000000" w:rsidDel="00000000" w:rsidP="00000000" w:rsidRDefault="00000000" w14:paraId="00000666">
      <w:pPr>
        <w:spacing w:after="0" w:lineRule="auto"/>
        <w:rPr>
          <w:shd w:val="clear" w:fill="fff2cc"/>
        </w:rPr>
      </w:pPr>
      <w:r w:rsidRPr="00000000" w:rsidDel="00000000" w:rsidR="00000000">
        <w:rPr>
          <w:rtl w:val="0"/>
        </w:rPr>
      </w:r>
    </w:p>
    <w:sectPr>
      <w:headerReference w:type="default" r:id="rId91"/>
      <w:headerReference w:type="first" r:id="rId92"/>
      <w:headerReference w:type="even" r:id="rId93"/>
      <w:footerReference w:type="default" r:id="rId94"/>
      <w:footerReference w:type="first" r:id="rId95"/>
      <w:footerReference w:type="even" r:id="rId96"/>
      <w:pgSz w:w="11906" w:h="16838" w:orient="portrait"/>
      <w:pgMar w:top="1137" w:right="1440" w:bottom="1137" w:lef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679">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7143"/>
        <w:tab w:val="right" w:leader="none" w:pos="14287"/>
      </w:tabs>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67A">
    <w:pPr>
      <w:spacing w:after="0" w:line="240" w:lineRule="auto"/>
      <w:jc w:val="right"/>
      <w:rPr>
        <w:sz w:val="4"/>
        <w:szCs w:val="4"/>
      </w:rPr>
    </w:pPr>
    <w:r w:rsidRPr="00000000" w:rsidDel="00000000" w:rsidR="00000000">
      <w:rPr>
        <w:rtl w:val="0"/>
      </w:rPr>
    </w:r>
  </w:p>
  <w:sdt>
    <w:sdtPr>
      <w:lock w:val="contentLocked"/>
      <w:id w:val="53541367"/>
      <w:tag w:val="goog_rdk_8"/>
    </w:sdtPr>
    <w:sdtContent>
      <w:tbl>
        <w:tblPr>
          <w:tblStyle w:val="Table28"/>
          <w:tblW w:w="10455.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1440"/>
          <w:gridCol w:w="7620"/>
          <w:gridCol w:w="1395"/>
          <w:tblGridChange w:id="0">
            <w:tblGrid>
              <w:gridCol w:w="1440"/>
              <w:gridCol w:w="7620"/>
              <w:gridCol w:w="1395"/>
            </w:tblGrid>
          </w:tblGridChange>
        </w:tblGrid>
        <w:tr>
          <w:trPr>
            <w:cantSplit w:val="0"/>
            <w:trHeight w:val="274.98046875" w:hRule="atLeast"/>
            <w:tblHeader w:val="0"/>
          </w:trPr>
          <w:tc>
            <w:tcPr>
              <w:tcBorders>
                <w:left w:val="nil" w:color="000000" w:sz="0" w:space="0"/>
                <w:bottom w:val="nil" w:color="000000" w:sz="0" w:space="0"/>
                <w:right w:val="nil" w:color="000000" w:sz="0" w:space="0"/>
              </w:tcBorders>
              <w:shd w:val="clear" w:fill="auto"/>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67B">
              <w:pPr>
                <w:widowControl w:val="0"/>
                <w:spacing w:after="0" w:line="240" w:lineRule="auto"/>
                <w:rPr>
                  <w:sz w:val="20"/>
                  <w:szCs w:val="20"/>
                </w:rPr>
              </w:pPr>
              <w:r w:rsidRPr="00000000" w:rsidDel="00000000" w:rsidR="00000000">
                <w:rPr>
                  <w:sz w:val="20"/>
                  <w:szCs w:val="20"/>
                  <w:rtl w:val="0"/>
                </w:rPr>
                <w:t xml:space="preserve">INTERNAL</w:t>
              </w:r>
            </w:p>
          </w:tc>
          <w:tc>
            <w:tcPr>
              <w:tcBorders>
                <w:left w:val="nil" w:color="000000" w:sz="0" w:space="0"/>
                <w:bottom w:val="nil" w:color="000000" w:sz="0" w:space="0"/>
                <w:right w:val="nil" w:color="000000" w:sz="0" w:space="0"/>
              </w:tcBorders>
              <w:shd w:val="clear" w:fill="auto"/>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67C">
              <w:pPr>
                <w:widowControl w:val="0"/>
                <w:spacing w:after="0" w:line="240" w:lineRule="auto"/>
                <w:jc w:val="center"/>
                <w:rPr>
                  <w:sz w:val="20"/>
                  <w:szCs w:val="20"/>
                </w:rPr>
              </w:pPr>
              <w:r w:rsidRPr="00000000" w:rsidDel="00000000" w:rsidR="00000000">
                <w:rPr>
                  <w:sz w:val="20"/>
                  <w:szCs w:val="20"/>
                  <w:rtl w:val="0"/>
                </w:rPr>
                <w:t xml:space="preserve">Global TM Operating Procedures | V1.1 | Sep 2025</w:t>
              </w:r>
            </w:p>
          </w:tc>
          <w:tc>
            <w:tcPr>
              <w:tcBorders>
                <w:left w:val="nil" w:color="000000" w:sz="0" w:space="0"/>
                <w:bottom w:val="nil" w:color="000000" w:sz="0" w:space="0"/>
                <w:right w:val="nil" w:color="000000" w:sz="0" w:space="0"/>
              </w:tcBorders>
              <w:shd w:val="clear" w:fill="auto"/>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67D">
              <w:pPr>
                <w:widowControl w:val="0"/>
                <w:spacing w:after="0" w:line="240" w:lineRule="auto"/>
                <w:jc w:val="right"/>
                <w:rPr>
                  <w:sz w:val="20"/>
                  <w:szCs w:val="20"/>
                </w:rPr>
              </w:pPr>
              <w:r w:rsidRPr="00000000" w:rsidDel="00000000" w:rsidR="00000000">
                <w:rPr>
                  <w:sz w:val="20"/>
                  <w:szCs w:val="20"/>
                  <w:rtl w:val="0"/>
                </w:rPr>
                <w:t xml:space="preserve">Page </w:t>
              </w:r>
              <w:r w:rsidRPr="00000000" w:rsidDel="00000000" w:rsidR="00000000">
                <w:rPr>
                  <w:sz w:val="20"/>
                  <w:szCs w:val="20"/>
                </w:rPr>
                <w:fldChar w:fldCharType="begin"/>
                <w:instrText xml:space="preserve">PAGE</w:instrText>
                <w:fldChar w:fldCharType="separate"/>
                <w:fldChar w:fldCharType="end"/>
              </w:r>
              <w:r w:rsidRPr="00000000" w:rsidDel="00000000" w:rsidR="00000000">
                <w:rPr>
                  <w:sz w:val="20"/>
                  <w:szCs w:val="20"/>
                  <w:rtl w:val="0"/>
                </w:rPr>
                <w:t xml:space="preserve"> of </w:t>
              </w:r>
              <w:r w:rsidRPr="00000000" w:rsidDel="00000000" w:rsidR="00000000">
                <w:rPr>
                  <w:sz w:val="20"/>
                  <w:szCs w:val="20"/>
                </w:rPr>
                <w:fldChar w:fldCharType="begin"/>
                <w:instrText xml:space="preserve">NUMPAGES</w:instrText>
                <w:fldChar w:fldCharType="separate"/>
                <w:fldChar w:fldCharType="end"/>
              </w:r>
              <w:r w:rsidRPr="00000000" w:rsidDel="00000000" w:rsidR="00000000">
                <w:rPr>
                  <w:rtl w:val="0"/>
                </w:rPr>
              </w:r>
            </w:p>
          </w:tc>
        </w:tr>
      </w:tbl>
    </w:sdtContent>
  </w:sdt>
  <w:p w:rsidRPr="00000000" w:rsidR="00000000" w:rsidDel="00000000" w:rsidP="00000000" w:rsidRDefault="00000000" w14:paraId="0000067E">
    <w:pPr>
      <w:spacing w:after="0" w:line="240" w:lineRule="auto"/>
      <w:rPr>
        <w:rFonts w:ascii="Calibri" w:hAnsi="Calibri" w:eastAsia="Calibri" w:cs="Calibri"/>
        <w:sz w:val="2"/>
        <w:szCs w:val="2"/>
      </w:rPr>
    </w:pPr>
    <w:r w:rsidRPr="00000000" w:rsidDel="00000000" w:rsid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67F">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7143"/>
        <w:tab w:val="right" w:leader="none" w:pos="14287"/>
      </w:tabs>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otnote w:id="0">
    <w:p w:rsidRPr="00000000" w:rsidR="00000000" w:rsidDel="00000000" w:rsidP="00000000" w:rsidRDefault="00000000" w14:paraId="00000667">
      <w:pPr>
        <w:spacing w:after="0" w:line="240" w:lineRule="auto"/>
        <w:rPr>
          <w:sz w:val="18"/>
          <w:szCs w:val="18"/>
        </w:rPr>
      </w:pPr>
      <w:r w:rsidRPr="00000000" w:rsidDel="00000000" w:rsidR="00000000">
        <w:rPr>
          <w:rStyle w:val="FootnoteReference"/>
          <w:vertAlign w:val="superscript"/>
        </w:rPr>
        <w:footnoteRef/>
      </w:r>
      <w:r w:rsidRPr="00000000" w:rsidDel="00000000" w:rsidR="00000000">
        <w:rPr>
          <w:rFonts w:ascii="Calibri" w:hAnsi="Calibri" w:eastAsia="Calibri" w:cs="Calibri"/>
          <w:sz w:val="18"/>
          <w:szCs w:val="18"/>
          <w:rtl w:val="0"/>
        </w:rPr>
        <w:t xml:space="preserve"> </w:t>
      </w:r>
      <w:r w:rsidRPr="00000000" w:rsidDel="00000000" w:rsidR="00000000">
        <w:rPr>
          <w:sz w:val="18"/>
          <w:szCs w:val="18"/>
          <w:rtl w:val="0"/>
        </w:rPr>
        <w:t xml:space="preserve">See Blocktracer API User Flow Guide, which is located at the Confluence Directory:  </w:t>
      </w:r>
      <w:hyperlink r:id="rId1">
        <w:r w:rsidRPr="00000000" w:rsidDel="00000000" w:rsidR="00000000">
          <w:rPr>
            <w:color w:val="0563c1"/>
            <w:sz w:val="18"/>
            <w:szCs w:val="18"/>
            <w:u w:val="single"/>
            <w:rtl w:val="0"/>
          </w:rPr>
          <w:t xml:space="preserve">https://confluence.toolsfdg.net/display/BD/Block+Tracer+Risk+Score+API+User+Guide</w:t>
        </w:r>
      </w:hyperlink>
      <w:r w:rsidRPr="00000000" w:rsidDel="00000000" w:rsidR="00000000">
        <w:rPr>
          <w:sz w:val="18"/>
          <w:szCs w:val="18"/>
          <w:rtl w:val="0"/>
        </w:rPr>
        <w:t xml:space="preserve"> </w:t>
      </w:r>
    </w:p>
  </w:footnote>
  <w:footnote w:id="3">
    <w:p w:rsidRPr="00000000" w:rsidR="00000000" w:rsidDel="00000000" w:rsidP="00000000" w:rsidRDefault="00000000" w14:paraId="00000668">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18"/>
          <w:szCs w:val="18"/>
          <w:u w:val="none"/>
          <w:shd w:val="clear" w:fill="auto"/>
          <w:vertAlign w:val="baseline"/>
        </w:rPr>
      </w:pPr>
      <w:r w:rsidRPr="00000000" w:rsidDel="00000000" w:rsidR="00000000">
        <w:rPr>
          <w:rStyle w:val="FootnoteReference"/>
          <w:vertAlign w:val="superscript"/>
        </w:rPr>
        <w:footnoteRef/>
      </w:r>
      <w:r w:rsidRPr="00000000" w:rsidDel="00000000" w:rsidR="00000000">
        <w:rPr>
          <w:rFonts w:ascii="Calibri" w:hAnsi="Calibri" w:eastAsia="Calibri" w:cs="Calibri"/>
          <w:b w:val="0"/>
          <w:bCs w:val="0"/>
          <w:i w:val="0"/>
          <w:iCs w:val="0"/>
          <w:smallCaps w:val="0"/>
          <w:strike w:val="0"/>
          <w:color w:val="000000"/>
          <w:sz w:val="18"/>
          <w:szCs w:val="18"/>
          <w:u w:val="none"/>
          <w:shd w:val="clear" w:fill="auto"/>
          <w:vertAlign w:val="baseline"/>
          <w:rtl w:val="0"/>
        </w:rPr>
        <w:t xml:space="preserve"> Generally, the following are indicators of higher risk countries from a ML/TF perspective:</w:t>
      </w:r>
    </w:p>
    <w:p w:rsidRPr="00000000" w:rsidR="00000000" w:rsidDel="00000000" w:rsidP="00000000" w:rsidRDefault="00000000" w14:paraId="00000669">
      <w:pPr>
        <w:keepNext w:val="0"/>
        <w:keepLines w:val="0"/>
        <w:pageBreakBefore w:val="0"/>
        <w:widowControl w:val="1"/>
        <w:numPr>
          <w:ilvl w:val="0"/>
          <w:numId w:val="30"/>
        </w:numPr>
        <w:pBdr>
          <w:top w:val="nil" w:sz="0" w:space="0"/>
          <w:left w:val="nil" w:sz="0" w:space="0"/>
          <w:bottom w:val="nil" w:sz="0" w:space="0"/>
          <w:right w:val="nil" w:sz="0" w:space="0"/>
          <w:between w:val="nil" w:sz="0" w:space="0"/>
        </w:pBdr>
        <w:shd w:val="clear" w:fill="auto"/>
        <w:spacing w:before="0" w:after="0" w:line="240" w:lineRule="auto"/>
        <w:ind w:left="450" w:right="0" w:hanging="270"/>
        <w:jc w:val="left"/>
        <w:rPr>
          <w:rFonts w:ascii="Calibri" w:hAnsi="Calibri" w:eastAsia="Calibri" w:cs="Calibri"/>
          <w:b w:val="0"/>
          <w:bCs w:val="0"/>
          <w:i w:val="0"/>
          <w:iCs w:val="0"/>
          <w:smallCaps w:val="0"/>
          <w:strike w:val="0"/>
          <w:color w:val="000000"/>
          <w:sz w:val="18"/>
          <w:szCs w:val="18"/>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18"/>
          <w:szCs w:val="18"/>
          <w:u w:val="none"/>
          <w:shd w:val="clear" w:fill="auto"/>
          <w:vertAlign w:val="baseline"/>
          <w:rtl w:val="0"/>
        </w:rPr>
        <w:t xml:space="preserve">Countries or geographic areas identified by credible sources as providing funding or support for terrorist activities or that have designated terrorist organisations operating within them;</w:t>
      </w:r>
    </w:p>
    <w:p w:rsidRPr="00000000" w:rsidR="00000000" w:rsidDel="00000000" w:rsidP="00000000" w:rsidRDefault="00000000" w14:paraId="0000066A">
      <w:pPr>
        <w:keepNext w:val="0"/>
        <w:keepLines w:val="0"/>
        <w:pageBreakBefore w:val="0"/>
        <w:widowControl w:val="1"/>
        <w:numPr>
          <w:ilvl w:val="0"/>
          <w:numId w:val="30"/>
        </w:numPr>
        <w:pBdr>
          <w:top w:val="nil" w:sz="0" w:space="0"/>
          <w:left w:val="nil" w:sz="0" w:space="0"/>
          <w:bottom w:val="nil" w:sz="0" w:space="0"/>
          <w:right w:val="nil" w:sz="0" w:space="0"/>
          <w:between w:val="nil" w:sz="0" w:space="0"/>
        </w:pBdr>
        <w:shd w:val="clear" w:fill="auto"/>
        <w:spacing w:before="0" w:after="0" w:line="240" w:lineRule="auto"/>
        <w:ind w:left="450" w:right="0" w:hanging="270"/>
        <w:jc w:val="left"/>
        <w:rPr>
          <w:rFonts w:ascii="Calibri" w:hAnsi="Calibri" w:eastAsia="Calibri" w:cs="Calibri"/>
          <w:b w:val="0"/>
          <w:bCs w:val="0"/>
          <w:i w:val="0"/>
          <w:iCs w:val="0"/>
          <w:smallCaps w:val="0"/>
          <w:strike w:val="0"/>
          <w:color w:val="000000"/>
          <w:sz w:val="18"/>
          <w:szCs w:val="18"/>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18"/>
          <w:szCs w:val="18"/>
          <w:u w:val="none"/>
          <w:shd w:val="clear" w:fill="auto"/>
          <w:vertAlign w:val="baseline"/>
          <w:rtl w:val="0"/>
        </w:rPr>
        <w:t xml:space="preserve">Countries identified by credible sources as having significant levels of organized crime, corruption, or other criminal activity, including source or transit countries for illegal drugs, human trafficking, smuggling, and illegal gambling;</w:t>
      </w:r>
    </w:p>
    <w:p w:rsidRPr="00000000" w:rsidR="00000000" w:rsidDel="00000000" w:rsidP="00000000" w:rsidRDefault="00000000" w14:paraId="0000066B">
      <w:pPr>
        <w:keepNext w:val="0"/>
        <w:keepLines w:val="0"/>
        <w:pageBreakBefore w:val="0"/>
        <w:widowControl w:val="1"/>
        <w:numPr>
          <w:ilvl w:val="0"/>
          <w:numId w:val="30"/>
        </w:numPr>
        <w:pBdr>
          <w:top w:val="nil" w:sz="0" w:space="0"/>
          <w:left w:val="nil" w:sz="0" w:space="0"/>
          <w:bottom w:val="nil" w:sz="0" w:space="0"/>
          <w:right w:val="nil" w:sz="0" w:space="0"/>
          <w:between w:val="nil" w:sz="0" w:space="0"/>
        </w:pBdr>
        <w:shd w:val="clear" w:fill="auto"/>
        <w:spacing w:before="0" w:after="0" w:line="240" w:lineRule="auto"/>
        <w:ind w:left="450" w:right="0" w:hanging="270"/>
        <w:jc w:val="left"/>
        <w:rPr>
          <w:rFonts w:ascii="Calibri" w:hAnsi="Calibri" w:eastAsia="Calibri" w:cs="Calibri"/>
          <w:b w:val="0"/>
          <w:bCs w:val="0"/>
          <w:i w:val="0"/>
          <w:iCs w:val="0"/>
          <w:smallCaps w:val="0"/>
          <w:strike w:val="0"/>
          <w:color w:val="000000"/>
          <w:sz w:val="18"/>
          <w:szCs w:val="18"/>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18"/>
          <w:szCs w:val="18"/>
          <w:u w:val="none"/>
          <w:shd w:val="clear" w:fill="auto"/>
          <w:vertAlign w:val="baseline"/>
          <w:rtl w:val="0"/>
        </w:rPr>
        <w:t xml:space="preserve">Countries that are subject to sanctions, embargoes, or similar measures issued by international organisations such as the United Nations; and</w:t>
      </w:r>
    </w:p>
    <w:p w:rsidRPr="00000000" w:rsidR="00000000" w:rsidDel="00000000" w:rsidP="00000000" w:rsidRDefault="00000000" w14:paraId="0000066C">
      <w:pPr>
        <w:keepNext w:val="0"/>
        <w:keepLines w:val="0"/>
        <w:pageBreakBefore w:val="0"/>
        <w:widowControl w:val="1"/>
        <w:numPr>
          <w:ilvl w:val="0"/>
          <w:numId w:val="30"/>
        </w:numPr>
        <w:pBdr>
          <w:top w:val="nil" w:sz="0" w:space="0"/>
          <w:left w:val="nil" w:sz="0" w:space="0"/>
          <w:bottom w:val="nil" w:sz="0" w:space="0"/>
          <w:right w:val="nil" w:sz="0" w:space="0"/>
          <w:between w:val="nil" w:sz="0" w:space="0"/>
        </w:pBdr>
        <w:shd w:val="clear" w:fill="auto"/>
        <w:spacing w:before="0" w:after="0" w:line="240" w:lineRule="auto"/>
        <w:ind w:left="450" w:right="0" w:hanging="270"/>
        <w:jc w:val="left"/>
        <w:rPr>
          <w:rFonts w:ascii="Calibri" w:hAnsi="Calibri" w:eastAsia="Calibri" w:cs="Calibri"/>
          <w:b w:val="0"/>
          <w:bCs w:val="0"/>
          <w:i w:val="0"/>
          <w:iCs w:val="0"/>
          <w:smallCaps w:val="0"/>
          <w:strike w:val="0"/>
          <w:color w:val="000000"/>
          <w:sz w:val="18"/>
          <w:szCs w:val="18"/>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18"/>
          <w:szCs w:val="18"/>
          <w:u w:val="none"/>
          <w:shd w:val="clear" w:fill="auto"/>
          <w:vertAlign w:val="baseline"/>
          <w:rtl w:val="0"/>
        </w:rPr>
        <w:t xml:space="preserve">Countries identified by credible sources as having weak governance, law enforcement, and regulatory regimes, including countries identified by the FATF statements as having weak AML/CFT regimes, and for which virtual asset service providers should give special attention to business </w:t>
      </w:r>
      <w:r w:rsidRPr="00000000" w:rsidDel="00000000" w:rsidR="00000000">
        <w:rPr>
          <w:rFonts w:ascii="Calibri" w:hAnsi="Calibri" w:eastAsia="Calibri" w:cs="Calibri"/>
          <w:sz w:val="18"/>
          <w:szCs w:val="18"/>
          <w:rtl w:val="0"/>
        </w:rPr>
        <w:t xml:space="preserve">relationships</w:t>
      </w:r>
      <w:r w:rsidRPr="00000000" w:rsidDel="00000000" w:rsidR="00000000">
        <w:rPr>
          <w:rFonts w:ascii="Calibri" w:hAnsi="Calibri" w:eastAsia="Calibri" w:cs="Calibri"/>
          <w:b w:val="0"/>
          <w:bCs w:val="0"/>
          <w:i w:val="0"/>
          <w:iCs w:val="0"/>
          <w:smallCaps w:val="0"/>
          <w:strike w:val="0"/>
          <w:color w:val="000000"/>
          <w:sz w:val="18"/>
          <w:szCs w:val="18"/>
          <w:u w:val="none"/>
          <w:shd w:val="clear" w:fill="auto"/>
          <w:vertAlign w:val="baseline"/>
          <w:rtl w:val="0"/>
        </w:rPr>
        <w:t xml:space="preserve"> and transactions.</w:t>
      </w:r>
    </w:p>
  </w:footnote>
  <w:footnote w:id="4">
    <w:p w:rsidRPr="00000000" w:rsidR="00000000" w:rsidDel="00000000" w:rsidP="00000000" w:rsidRDefault="00000000" w14:paraId="0000066D">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40" w:line="240" w:lineRule="auto"/>
        <w:ind w:left="0" w:right="0" w:firstLine="0"/>
        <w:jc w:val="left"/>
        <w:rPr>
          <w:i w:val="0"/>
          <w:iCs w:val="0"/>
          <w:smallCaps w:val="0"/>
          <w:strike w:val="0"/>
          <w:color w:val="000000"/>
          <w:sz w:val="18"/>
          <w:szCs w:val="18"/>
          <w:u w:val="none"/>
          <w:shd w:val="clear" w:fill="auto"/>
          <w:vertAlign w:val="baseline"/>
        </w:rPr>
      </w:pPr>
      <w:r w:rsidRPr="00000000" w:rsidDel="00000000" w:rsidR="00000000">
        <w:rPr>
          <w:rStyle w:val="FootnoteReference"/>
          <w:vertAlign w:val="superscript"/>
        </w:rPr>
        <w:footnoteRef/>
      </w:r>
      <w:r w:rsidRPr="00000000" w:rsidDel="00000000" w:rsidR="00000000">
        <w:rPr>
          <w:i w:val="0"/>
          <w:iCs w:val="0"/>
          <w:smallCaps w:val="0"/>
          <w:strike w:val="0"/>
          <w:color w:val="000000"/>
          <w:sz w:val="18"/>
          <w:szCs w:val="18"/>
          <w:u w:val="none"/>
          <w:shd w:val="clear" w:fill="auto"/>
          <w:vertAlign w:val="baseline"/>
          <w:rtl w:val="0"/>
        </w:rPr>
        <w:t xml:space="preserve"> See 2023 typologies report from Elliptic for further information on current cryptocurrency crime typologies: </w:t>
      </w:r>
      <w:hyperlink r:id="rId2">
        <w:r w:rsidRPr="00000000" w:rsidDel="00000000" w:rsidR="00000000">
          <w:rPr>
            <w:i w:val="0"/>
            <w:iCs w:val="0"/>
            <w:smallCaps w:val="0"/>
            <w:strike w:val="0"/>
            <w:color w:val="0563c1"/>
            <w:sz w:val="18"/>
            <w:szCs w:val="18"/>
            <w:u w:val="single"/>
            <w:shd w:val="clear" w:fill="auto"/>
            <w:vertAlign w:val="baseline"/>
            <w:rtl w:val="0"/>
          </w:rPr>
          <w:t xml:space="preserve">https://www.elliptic.co/blog/analysis/the-top-ten-latest-crypto-crime-typologies</w:t>
        </w:r>
      </w:hyperlink>
      <w:r w:rsidRPr="00000000" w:rsidDel="00000000" w:rsidR="00000000">
        <w:rPr>
          <w:i w:val="0"/>
          <w:iCs w:val="0"/>
          <w:smallCaps w:val="0"/>
          <w:strike w:val="0"/>
          <w:color w:val="000000"/>
          <w:sz w:val="18"/>
          <w:szCs w:val="18"/>
          <w:u w:val="none"/>
          <w:shd w:val="clear" w:fill="auto"/>
          <w:vertAlign w:val="baseline"/>
          <w:rtl w:val="0"/>
        </w:rPr>
        <w:t xml:space="preserve"> </w:t>
      </w:r>
    </w:p>
  </w:footnote>
  <w:footnote w:id="5">
    <w:p w:rsidRPr="00000000" w:rsidR="00000000" w:rsidDel="00000000" w:rsidP="00000000" w:rsidRDefault="00000000" w14:paraId="0000066E">
      <w:pPr>
        <w:spacing w:before="20" w:after="200" w:line="240" w:lineRule="auto"/>
        <w:rPr>
          <w:sz w:val="18"/>
          <w:szCs w:val="18"/>
        </w:rPr>
      </w:pPr>
      <w:r w:rsidRPr="00000000" w:rsidDel="00000000" w:rsidR="00000000">
        <w:rPr>
          <w:rStyle w:val="FootnoteReference"/>
          <w:vertAlign w:val="superscript"/>
        </w:rPr>
        <w:footnoteRef/>
      </w:r>
      <w:r w:rsidRPr="00000000" w:rsidDel="00000000" w:rsidR="00000000">
        <w:rPr>
          <w:sz w:val="18"/>
          <w:szCs w:val="18"/>
          <w:rtl w:val="0"/>
        </w:rPr>
        <w:t xml:space="preserve"> Authorized Traders and Authorized Persons who can operate the account or trade on behalf of the company</w:t>
      </w:r>
    </w:p>
  </w:footnote>
  <w:footnote w:id="6">
    <w:p w:rsidRPr="00000000" w:rsidR="00000000" w:rsidDel="00000000" w:rsidP="00000000" w:rsidRDefault="00000000" w14:paraId="0000066F">
      <w:pPr>
        <w:spacing w:after="200" w:line="240" w:lineRule="auto"/>
        <w:ind w:right="-690"/>
        <w:rPr>
          <w:sz w:val="18"/>
          <w:szCs w:val="18"/>
        </w:rPr>
      </w:pPr>
      <w:r w:rsidRPr="00000000" w:rsidDel="00000000" w:rsidR="00000000">
        <w:rPr>
          <w:rStyle w:val="FootnoteReference"/>
          <w:vertAlign w:val="superscript"/>
        </w:rPr>
        <w:footnoteRef/>
      </w:r>
      <w:hyperlink r:id="rId3">
        <w:r w:rsidRPr="00000000" w:rsidDel="00000000" w:rsidR="00000000">
          <w:rPr>
            <w:color w:val="1155cc"/>
            <w:sz w:val="18"/>
            <w:szCs w:val="18"/>
            <w:u w:val="single"/>
            <w:rtl w:val="0"/>
          </w:rPr>
          <w:t xml:space="preserve">https://docs.google.com/forms/d/e/1FAIpQLSf6JrmsU4gwJJ0U78OTcNL_PsKiVB8KmnhexydE7ah92bbSew/viewform</w:t>
        </w:r>
      </w:hyperlink>
      <w:r w:rsidRPr="00000000" w:rsidDel="00000000" w:rsidR="00000000">
        <w:rPr>
          <w:sz w:val="18"/>
          <w:szCs w:val="18"/>
          <w:rtl w:val="0"/>
        </w:rPr>
        <w:t xml:space="preserve"> </w:t>
      </w:r>
    </w:p>
  </w:footnote>
  <w:footnote w:id="7">
    <w:p w:rsidRPr="00000000" w:rsidR="00000000" w:rsidDel="00000000" w:rsidP="00000000" w:rsidRDefault="00000000" w14:paraId="00000670">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40" w:line="240" w:lineRule="auto"/>
        <w:ind w:left="0" w:right="0" w:firstLine="0"/>
        <w:jc w:val="left"/>
        <w:rPr>
          <w:i w:val="0"/>
          <w:iCs w:val="0"/>
          <w:smallCaps w:val="0"/>
          <w:strike w:val="0"/>
          <w:color w:val="000000"/>
          <w:sz w:val="18"/>
          <w:szCs w:val="18"/>
          <w:u w:val="none"/>
          <w:shd w:val="clear" w:fill="auto"/>
          <w:vertAlign w:val="baseline"/>
        </w:rPr>
      </w:pPr>
      <w:r w:rsidRPr="00000000" w:rsidDel="00000000" w:rsidR="00000000">
        <w:rPr>
          <w:rStyle w:val="FootnoteReference"/>
          <w:vertAlign w:val="superscript"/>
        </w:rPr>
        <w:footnoteRef/>
      </w:r>
      <w:r w:rsidRPr="00000000" w:rsidDel="00000000" w:rsidR="00000000">
        <w:rPr>
          <w:rFonts w:ascii="Calibri" w:hAnsi="Calibri" w:eastAsia="Calibri" w:cs="Calibri"/>
          <w:b w:val="0"/>
          <w:bCs w:val="0"/>
          <w:i w:val="0"/>
          <w:iCs w:val="0"/>
          <w:smallCaps w:val="0"/>
          <w:strike w:val="0"/>
          <w:color w:val="000000"/>
          <w:sz w:val="18"/>
          <w:szCs w:val="18"/>
          <w:u w:val="none"/>
          <w:shd w:val="clear" w:fill="auto"/>
          <w:vertAlign w:val="baseline"/>
          <w:rtl w:val="0"/>
        </w:rPr>
        <w:t xml:space="preserve"> </w:t>
      </w:r>
      <w:r w:rsidRPr="00000000" w:rsidDel="00000000" w:rsidR="00000000">
        <w:rPr>
          <w:i w:val="0"/>
          <w:iCs w:val="0"/>
          <w:smallCaps w:val="0"/>
          <w:strike w:val="0"/>
          <w:color w:val="000000"/>
          <w:sz w:val="18"/>
          <w:szCs w:val="18"/>
          <w:u w:val="none"/>
          <w:shd w:val="clear" w:fill="auto"/>
          <w:vertAlign w:val="baseline"/>
          <w:rtl w:val="0"/>
        </w:rPr>
        <w:t xml:space="preserve">The number of Alerts is set out as follows:</w:t>
      </w:r>
    </w:p>
    <w:p w:rsidRPr="00000000" w:rsidR="00000000" w:rsidDel="00000000" w:rsidP="00000000" w:rsidRDefault="00000000" w14:paraId="00000671">
      <w:pPr>
        <w:keepNext w:val="0"/>
        <w:keepLines w:val="0"/>
        <w:pageBreakBefore w:val="0"/>
        <w:widowControl w:val="1"/>
        <w:numPr>
          <w:ilvl w:val="0"/>
          <w:numId w:val="20"/>
        </w:numPr>
        <w:pBdr>
          <w:top w:val="nil" w:sz="0" w:space="0"/>
          <w:left w:val="nil" w:sz="0" w:space="0"/>
          <w:bottom w:val="nil" w:sz="0" w:space="0"/>
          <w:right w:val="nil" w:sz="0" w:space="0"/>
          <w:between w:val="nil" w:sz="0" w:space="0"/>
        </w:pBdr>
        <w:shd w:val="clear" w:fill="auto"/>
        <w:spacing w:before="0" w:after="40" w:line="240" w:lineRule="auto"/>
        <w:ind w:left="720" w:right="0" w:hanging="360"/>
        <w:jc w:val="left"/>
        <w:rPr>
          <w:rFonts w:ascii="Arial" w:hAnsi="Arial" w:eastAsia="Arial" w:cs="Arial"/>
          <w:i w:val="0"/>
          <w:iCs w:val="0"/>
          <w:smallCaps w:val="0"/>
          <w:strike w:val="0"/>
          <w:color w:val="000000"/>
          <w:sz w:val="18"/>
          <w:szCs w:val="18"/>
          <w:shd w:val="clear" w:fill="auto"/>
          <w:vertAlign w:val="baseline"/>
        </w:rPr>
      </w:pPr>
      <w:r w:rsidRPr="00000000" w:rsidDel="00000000" w:rsidR="00000000">
        <w:rPr>
          <w:i w:val="0"/>
          <w:iCs w:val="0"/>
          <w:smallCaps w:val="0"/>
          <w:strike w:val="0"/>
          <w:color w:val="000000"/>
          <w:sz w:val="18"/>
          <w:szCs w:val="18"/>
          <w:u w:val="none"/>
          <w:shd w:val="clear" w:fill="auto"/>
          <w:vertAlign w:val="baseline"/>
          <w:rtl w:val="0"/>
        </w:rPr>
        <w:t xml:space="preserve">A1: 0 - 10 (S1 - Junior)</w:t>
      </w:r>
    </w:p>
    <w:p w:rsidRPr="00000000" w:rsidR="00000000" w:rsidDel="00000000" w:rsidP="00000000" w:rsidRDefault="00000000" w14:paraId="00000672">
      <w:pPr>
        <w:keepNext w:val="0"/>
        <w:keepLines w:val="0"/>
        <w:pageBreakBefore w:val="0"/>
        <w:widowControl w:val="1"/>
        <w:numPr>
          <w:ilvl w:val="0"/>
          <w:numId w:val="20"/>
        </w:numPr>
        <w:pBdr>
          <w:top w:val="nil" w:sz="0" w:space="0"/>
          <w:left w:val="nil" w:sz="0" w:space="0"/>
          <w:bottom w:val="nil" w:sz="0" w:space="0"/>
          <w:right w:val="nil" w:sz="0" w:space="0"/>
          <w:between w:val="nil" w:sz="0" w:space="0"/>
        </w:pBdr>
        <w:shd w:val="clear" w:fill="auto"/>
        <w:spacing w:before="0" w:after="40" w:line="240" w:lineRule="auto"/>
        <w:ind w:left="720" w:right="0" w:hanging="360"/>
        <w:jc w:val="left"/>
        <w:rPr>
          <w:rFonts w:ascii="Arial" w:hAnsi="Arial" w:eastAsia="Arial" w:cs="Arial"/>
          <w:i w:val="0"/>
          <w:iCs w:val="0"/>
          <w:smallCaps w:val="0"/>
          <w:strike w:val="0"/>
          <w:color w:val="000000"/>
          <w:sz w:val="18"/>
          <w:szCs w:val="18"/>
          <w:shd w:val="clear" w:fill="auto"/>
          <w:vertAlign w:val="baseline"/>
        </w:rPr>
      </w:pPr>
      <w:r w:rsidRPr="00000000" w:rsidDel="00000000" w:rsidR="00000000">
        <w:rPr>
          <w:i w:val="0"/>
          <w:iCs w:val="0"/>
          <w:smallCaps w:val="0"/>
          <w:strike w:val="0"/>
          <w:color w:val="000000"/>
          <w:sz w:val="18"/>
          <w:szCs w:val="18"/>
          <w:u w:val="none"/>
          <w:shd w:val="clear" w:fill="auto"/>
          <w:vertAlign w:val="baseline"/>
          <w:rtl w:val="0"/>
        </w:rPr>
        <w:t xml:space="preserve">A2: 11 - 20 (S2 - Intermediate)</w:t>
      </w:r>
    </w:p>
    <w:p w:rsidRPr="00000000" w:rsidR="00000000" w:rsidDel="00000000" w:rsidP="00000000" w:rsidRDefault="00000000" w14:paraId="00000673">
      <w:pPr>
        <w:keepNext w:val="0"/>
        <w:keepLines w:val="0"/>
        <w:pageBreakBefore w:val="0"/>
        <w:widowControl w:val="1"/>
        <w:numPr>
          <w:ilvl w:val="0"/>
          <w:numId w:val="20"/>
        </w:numPr>
        <w:pBdr>
          <w:top w:val="nil" w:sz="0" w:space="0"/>
          <w:left w:val="nil" w:sz="0" w:space="0"/>
          <w:bottom w:val="nil" w:sz="0" w:space="0"/>
          <w:right w:val="nil" w:sz="0" w:space="0"/>
          <w:between w:val="nil" w:sz="0" w:space="0"/>
        </w:pBdr>
        <w:shd w:val="clear" w:fill="auto"/>
        <w:spacing w:before="0" w:after="40" w:line="240" w:lineRule="auto"/>
        <w:ind w:left="720" w:right="0" w:hanging="360"/>
        <w:jc w:val="left"/>
        <w:rPr>
          <w:rFonts w:ascii="Arial" w:hAnsi="Arial" w:eastAsia="Arial" w:cs="Arial"/>
          <w:i w:val="0"/>
          <w:iCs w:val="0"/>
          <w:smallCaps w:val="0"/>
          <w:strike w:val="0"/>
          <w:color w:val="000000"/>
          <w:sz w:val="18"/>
          <w:szCs w:val="18"/>
          <w:shd w:val="clear" w:fill="auto"/>
          <w:vertAlign w:val="baseline"/>
        </w:rPr>
      </w:pPr>
      <w:r w:rsidRPr="00000000" w:rsidDel="00000000" w:rsidR="00000000">
        <w:rPr>
          <w:i w:val="0"/>
          <w:iCs w:val="0"/>
          <w:smallCaps w:val="0"/>
          <w:strike w:val="0"/>
          <w:color w:val="000000"/>
          <w:sz w:val="18"/>
          <w:szCs w:val="18"/>
          <w:u w:val="none"/>
          <w:shd w:val="clear" w:fill="auto"/>
          <w:vertAlign w:val="baseline"/>
          <w:rtl w:val="0"/>
        </w:rPr>
        <w:t xml:space="preserve">A3: 21 - 50 (S3 - Advanced)</w:t>
      </w:r>
    </w:p>
    <w:p w:rsidRPr="00000000" w:rsidR="00000000" w:rsidDel="00000000" w:rsidP="00000000" w:rsidRDefault="00000000" w14:paraId="00000674">
      <w:pPr>
        <w:keepNext w:val="0"/>
        <w:keepLines w:val="0"/>
        <w:pageBreakBefore w:val="0"/>
        <w:widowControl w:val="1"/>
        <w:numPr>
          <w:ilvl w:val="0"/>
          <w:numId w:val="20"/>
        </w:numPr>
        <w:pBdr>
          <w:top w:val="nil" w:sz="0" w:space="0"/>
          <w:left w:val="nil" w:sz="0" w:space="0"/>
          <w:bottom w:val="nil" w:sz="0" w:space="0"/>
          <w:right w:val="nil" w:sz="0" w:space="0"/>
          <w:between w:val="nil" w:sz="0" w:space="0"/>
        </w:pBdr>
        <w:shd w:val="clear" w:fill="auto"/>
        <w:spacing w:before="0" w:after="40" w:line="240" w:lineRule="auto"/>
        <w:ind w:left="720" w:right="0" w:hanging="360"/>
        <w:jc w:val="left"/>
        <w:rPr>
          <w:rFonts w:ascii="Arial" w:hAnsi="Arial" w:eastAsia="Arial" w:cs="Arial"/>
          <w:i w:val="0"/>
          <w:iCs w:val="0"/>
          <w:smallCaps w:val="0"/>
          <w:strike w:val="0"/>
          <w:color w:val="000000"/>
          <w:sz w:val="18"/>
          <w:szCs w:val="18"/>
          <w:shd w:val="clear" w:fill="auto"/>
          <w:vertAlign w:val="baseline"/>
        </w:rPr>
      </w:pPr>
      <w:r w:rsidRPr="00000000" w:rsidDel="00000000" w:rsidR="00000000">
        <w:rPr>
          <w:i w:val="0"/>
          <w:iCs w:val="0"/>
          <w:smallCaps w:val="0"/>
          <w:strike w:val="0"/>
          <w:color w:val="000000"/>
          <w:sz w:val="18"/>
          <w:szCs w:val="18"/>
          <w:u w:val="none"/>
          <w:shd w:val="clear" w:fill="auto"/>
          <w:vertAlign w:val="baseline"/>
          <w:rtl w:val="0"/>
        </w:rPr>
        <w:t xml:space="preserve">A4: 51 - 100 (S4 - Senior)</w:t>
      </w:r>
    </w:p>
    <w:p w:rsidRPr="00000000" w:rsidR="00000000" w:rsidDel="00000000" w:rsidP="00000000" w:rsidRDefault="00000000" w14:paraId="00000675">
      <w:pPr>
        <w:keepNext w:val="0"/>
        <w:keepLines w:val="0"/>
        <w:pageBreakBefore w:val="0"/>
        <w:widowControl w:val="1"/>
        <w:numPr>
          <w:ilvl w:val="0"/>
          <w:numId w:val="20"/>
        </w:numPr>
        <w:pBdr>
          <w:top w:val="nil" w:sz="0" w:space="0"/>
          <w:left w:val="nil" w:sz="0" w:space="0"/>
          <w:bottom w:val="nil" w:sz="0" w:space="0"/>
          <w:right w:val="nil" w:sz="0" w:space="0"/>
          <w:between w:val="nil" w:sz="0" w:space="0"/>
        </w:pBdr>
        <w:shd w:val="clear" w:fill="auto"/>
        <w:spacing w:before="0" w:after="40" w:line="240" w:lineRule="auto"/>
        <w:ind w:left="720" w:right="0" w:hanging="360"/>
        <w:jc w:val="left"/>
        <w:rPr>
          <w:rFonts w:ascii="Arial" w:hAnsi="Arial" w:eastAsia="Arial" w:cs="Arial"/>
          <w:i w:val="0"/>
          <w:iCs w:val="0"/>
          <w:smallCaps w:val="0"/>
          <w:strike w:val="0"/>
          <w:color w:val="000000"/>
          <w:sz w:val="18"/>
          <w:szCs w:val="18"/>
          <w:shd w:val="clear" w:fill="auto"/>
          <w:vertAlign w:val="baseline"/>
        </w:rPr>
      </w:pPr>
      <w:r w:rsidRPr="00000000" w:rsidDel="00000000" w:rsidR="00000000">
        <w:rPr>
          <w:i w:val="0"/>
          <w:iCs w:val="0"/>
          <w:smallCaps w:val="0"/>
          <w:strike w:val="0"/>
          <w:color w:val="000000"/>
          <w:sz w:val="18"/>
          <w:szCs w:val="18"/>
          <w:u w:val="none"/>
          <w:shd w:val="clear" w:fill="auto"/>
          <w:vertAlign w:val="baseline"/>
          <w:rtl w:val="0"/>
        </w:rPr>
        <w:t xml:space="preserve">A5: More than 100 (S4 - Senior)</w:t>
      </w:r>
    </w:p>
  </w:footnote>
  <w:footnote w:id="1">
    <w:p w:rsidRPr="00000000" w:rsidR="00000000" w:rsidDel="00000000" w:rsidP="00000000" w:rsidRDefault="00000000" w14:paraId="00000680">
      <w:pPr>
        <w:spacing w:after="200" w:line="240" w:lineRule="auto"/>
        <w:rPr>
          <w:sz w:val="18"/>
          <w:szCs w:val="18"/>
        </w:rPr>
      </w:pPr>
      <w:r w:rsidRPr="00000000" w:rsidDel="00000000" w:rsidR="00000000">
        <w:rPr>
          <w:rStyle w:val="FootnoteReference"/>
          <w:vertAlign w:val="superscript"/>
        </w:rPr>
        <w:footnoteRef/>
      </w:r>
      <w:hyperlink r:id="rId4">
        <w:r w:rsidRPr="00000000" w:rsidDel="00000000" w:rsidR="00000000">
          <w:rPr>
            <w:color w:val="1155cc"/>
            <w:sz w:val="18"/>
            <w:szCs w:val="18"/>
            <w:u w:val="single"/>
            <w:rtl w:val="0"/>
          </w:rPr>
          <w:t xml:space="preserve">https://confluence.toolsfdg.net/pages/viewpage.action?pageId=213527717</w:t>
        </w:r>
      </w:hyperlink>
      <w:r w:rsidRPr="00000000" w:rsidDel="00000000" w:rsidR="00000000">
        <w:rPr>
          <w:sz w:val="18"/>
          <w:szCs w:val="18"/>
          <w:rtl w:val="0"/>
        </w:rPr>
        <w:t xml:space="preserve"> </w:t>
      </w:r>
    </w:p>
  </w:footnote>
  <w:footnote w:id="2">
    <w:p w:rsidRPr="00000000" w:rsidR="00000000" w:rsidDel="00000000" w:rsidP="00000000" w:rsidRDefault="00000000" w14:paraId="00000681">
      <w:pPr>
        <w:spacing w:after="200" w:line="240" w:lineRule="auto"/>
        <w:rPr>
          <w:sz w:val="20"/>
          <w:szCs w:val="20"/>
        </w:rPr>
      </w:pPr>
      <w:r w:rsidRPr="00000000" w:rsidDel="00000000" w:rsidR="00000000">
        <w:rPr>
          <w:rStyle w:val="FootnoteReference"/>
          <w:vertAlign w:val="superscript"/>
        </w:rPr>
        <w:footnoteRef/>
      </w:r>
      <w:r w:rsidRPr="00000000" w:rsidDel="00000000" w:rsidR="00000000">
        <w:rPr>
          <w:sz w:val="20"/>
          <w:szCs w:val="20"/>
          <w:rtl w:val="0"/>
        </w:rPr>
        <w:t xml:space="preserve"> </w:t>
      </w:r>
      <w:hyperlink r:id="rId5">
        <w:r w:rsidRPr="00000000" w:rsidDel="00000000" w:rsidR="00000000">
          <w:rPr>
            <w:color w:val="0000ee"/>
            <w:sz w:val="20"/>
            <w:szCs w:val="20"/>
            <w:u w:val="single"/>
            <w:rtl w:val="0"/>
          </w:rPr>
          <w:t xml:space="preserve">Country Risk, Average Cost of Living and Average Salary (open-source research)</w:t>
        </w:r>
      </w:hyperlink>
      <w:r w:rsidRPr="00000000" w:rsidDel="00000000" w:rsidR="00000000">
        <w:rPr>
          <w:rtl w:val="0"/>
        </w:rPr>
      </w:r>
    </w:p>
  </w:footnote>
  <w:footnote w:id="8">
    <w:p w:rsidRPr="00000000" w:rsidR="00000000" w:rsidDel="00000000" w:rsidP="00000000" w:rsidRDefault="00000000" w14:paraId="00000682">
      <w:pPr>
        <w:spacing w:after="0" w:line="240" w:lineRule="auto"/>
        <w:rPr>
          <w:rFonts w:ascii="Calibri" w:hAnsi="Calibri" w:eastAsia="Calibri" w:cs="Calibri"/>
          <w:sz w:val="18"/>
          <w:szCs w:val="18"/>
        </w:rPr>
      </w:pPr>
      <w:r w:rsidRPr="00000000" w:rsidDel="00000000" w:rsidR="00000000">
        <w:rPr>
          <w:rStyle w:val="FootnoteReference"/>
          <w:vertAlign w:val="superscript"/>
        </w:rPr>
        <w:footnoteRef/>
      </w:r>
      <w:r w:rsidRPr="00000000" w:rsidDel="00000000" w:rsidR="00000000">
        <w:rPr>
          <w:rFonts w:ascii="Calibri" w:hAnsi="Calibri" w:eastAsia="Calibri" w:cs="Calibri"/>
          <w:sz w:val="18"/>
          <w:szCs w:val="18"/>
          <w:rtl w:val="0"/>
        </w:rPr>
        <w:t xml:space="preserve"> Different sampling applies for the analysts who work as external contractors (20% and 50%)</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676">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7143"/>
        <w:tab w:val="right" w:leader="none" w:pos="14287"/>
      </w:tabs>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6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7143"/>
        <w:tab w:val="right" w:leader="none" w:pos="14287"/>
      </w:tabs>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678">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7143"/>
        <w:tab w:val="right" w:leader="none" w:pos="14287"/>
      </w:tabs>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4">
    <w:lvl w:ilvl="0">
      <w:start w:val="1"/>
      <w:numFmt w:val="bullet"/>
      <w:lvlText w:val="●"/>
      <w:lvlJc w:val="left"/>
      <w:pPr>
        <w:ind w:left="1080" w:hanging="360"/>
      </w:pPr>
      <w:rPr>
        <w:rFonts w:ascii="Noto Sans Symbols" w:cs="Noto Sans Symbols" w:eastAsia="Noto Sans Symbols" w:hAnsi="Noto Sans Symbols"/>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5">
    <w:lvl w:ilvl="0">
      <w:start w:val="1"/>
      <w:numFmt w:val="bullet"/>
      <w:lvlText w:val="●"/>
      <w:lvlJc w:val="left"/>
      <w:pPr>
        <w:ind w:left="360" w:hanging="360"/>
      </w:pPr>
      <w:rPr>
        <w:rFonts w:ascii="Noto Sans Symbols" w:cs="Noto Sans Symbols" w:eastAsia="Noto Sans Symbols" w:hAnsi="Noto Sans Symbols"/>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4">
    <w:lvl w:ilvl="0">
      <w:start w:val="1"/>
      <w:numFmt w:val="upp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5">
    <w:lvl w:ilvl="0">
      <w:start w:val="1"/>
      <w:numFmt w:val="decimal"/>
      <w:lvlText w:val="%1."/>
      <w:lvlJc w:val="left"/>
      <w:pPr>
        <w:ind w:left="720" w:hanging="720"/>
      </w:pPr>
      <w:rPr>
        <w:rFonts w:ascii="Arial" w:cs="Arial" w:eastAsia="Arial" w:hAnsi="Arial"/>
        <w:b w:val="1"/>
        <w:bCs w:val="1"/>
        <w:i w:val="0"/>
        <w:iCs w:val="0"/>
        <w:smallCaps w:val="0"/>
        <w:color w:val="000000"/>
        <w:sz w:val="28"/>
        <w:szCs w:val="28"/>
        <w:u w:val="none"/>
      </w:rPr>
    </w:lvl>
    <w:lvl w:ilvl="1">
      <w:start w:val="1"/>
      <w:numFmt w:val="decimal"/>
      <w:lvlText w:val="%1.%2"/>
      <w:lvlJc w:val="left"/>
      <w:pPr>
        <w:ind w:left="720" w:hanging="720"/>
      </w:pPr>
      <w:rPr>
        <w:rFonts w:ascii="Arial" w:cs="Arial" w:eastAsia="Arial" w:hAnsi="Arial"/>
        <w:b w:val="1"/>
        <w:bCs w:val="1"/>
        <w:i w:val="0"/>
        <w:iCs w:val="0"/>
        <w:smallCaps w:val="0"/>
        <w:color w:val="000000"/>
        <w:sz w:val="24"/>
        <w:szCs w:val="24"/>
        <w:u w:val="none"/>
      </w:rPr>
    </w:lvl>
    <w:lvl w:ilvl="2">
      <w:start w:val="1"/>
      <w:numFmt w:val="decimal"/>
      <w:lvlText w:val="%1.%2.%3"/>
      <w:lvlJc w:val="left"/>
      <w:pPr>
        <w:ind w:left="720" w:hanging="720"/>
      </w:pPr>
      <w:rPr>
        <w:rFonts w:ascii="Arial" w:cs="Arial" w:eastAsia="Arial" w:hAnsi="Arial"/>
        <w:b w:val="0"/>
        <w:bCs w:val="0"/>
        <w:smallCaps w:val="0"/>
        <w:color w:val="000000"/>
        <w:sz w:val="20"/>
        <w:szCs w:val="20"/>
        <w:u w:val="none"/>
      </w:rPr>
    </w:lvl>
    <w:lvl w:ilvl="3">
      <w:start w:val="1"/>
      <w:numFmt w:val="lowerLetter"/>
      <w:lvlText w:val="(%4)"/>
      <w:lvlJc w:val="left"/>
      <w:pPr>
        <w:ind w:left="2160" w:hanging="720"/>
      </w:pPr>
      <w:rPr>
        <w:b w:val="0"/>
        <w:bCs w:val="0"/>
        <w:i w:val="0"/>
        <w:iCs w:val="0"/>
        <w:smallCaps w:val="0"/>
        <w:color w:val="000000"/>
        <w:u w:val="none"/>
      </w:rPr>
    </w:lvl>
    <w:lvl w:ilvl="4">
      <w:start w:val="1"/>
      <w:numFmt w:val="lowerRoman"/>
      <w:lvlText w:val="(%5)"/>
      <w:lvlJc w:val="left"/>
      <w:pPr>
        <w:ind w:left="2880" w:hanging="720"/>
      </w:pPr>
      <w:rPr>
        <w:b w:val="0"/>
        <w:bCs w:val="0"/>
        <w:i w:val="0"/>
        <w:iCs w:val="0"/>
        <w:smallCaps w:val="0"/>
        <w:color w:val="000000"/>
        <w:u w:val="none"/>
      </w:rPr>
    </w:lvl>
    <w:lvl w:ilvl="5">
      <w:start w:val="1"/>
      <w:numFmt w:val="upperLetter"/>
      <w:lvlText w:val="%6"/>
      <w:lvlJc w:val="left"/>
      <w:pPr>
        <w:ind w:left="3600" w:hanging="720"/>
      </w:pPr>
      <w:rPr>
        <w:b w:val="0"/>
        <w:bCs w:val="0"/>
        <w:i w:val="0"/>
        <w:iCs w:val="0"/>
        <w:smallCaps w:val="0"/>
        <w:color w:val="000000"/>
        <w:u w:val="none"/>
      </w:rPr>
    </w:lvl>
    <w:lvl w:ilvl="6">
      <w:start w:val="1"/>
      <w:numFmt w:val="decimal"/>
      <w:lvlText w:val="(%7)"/>
      <w:lvlJc w:val="left"/>
      <w:pPr>
        <w:ind w:left="3600" w:hanging="720"/>
      </w:pPr>
      <w:rPr>
        <w:b w:val="0"/>
        <w:bCs w:val="0"/>
        <w:i w:val="0"/>
        <w:iCs w:val="0"/>
        <w:smallCaps w:val="0"/>
        <w:color w:val="000000"/>
        <w:u w:val="none"/>
      </w:rPr>
    </w:lvl>
    <w:lvl w:ilvl="7">
      <w:start w:val="1"/>
      <w:numFmt w:val="lowerLetter"/>
      <w:lvlText w:val="(%8)"/>
      <w:lvlJc w:val="left"/>
      <w:pPr>
        <w:ind w:left="3600" w:hanging="720"/>
      </w:pPr>
      <w:rPr>
        <w:b w:val="0"/>
        <w:bCs w:val="0"/>
        <w:i w:val="0"/>
        <w:iCs w:val="0"/>
        <w:smallCaps w:val="0"/>
        <w:color w:val="000000"/>
        <w:u w:val="none"/>
      </w:rPr>
    </w:lvl>
    <w:lvl w:ilvl="8">
      <w:start w:val="1"/>
      <w:numFmt w:val="lowerRoman"/>
      <w:lvlText w:val="(%9)"/>
      <w:lvlJc w:val="left"/>
      <w:pPr>
        <w:ind w:left="3600" w:hanging="720"/>
      </w:pPr>
      <w:rPr>
        <w:b w:val="0"/>
        <w:bCs w:val="0"/>
        <w:i w:val="0"/>
        <w:iCs w:val="0"/>
        <w:smallCaps w:val="0"/>
        <w:color w:val="000000"/>
        <w:u w:val="none"/>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8">
    <w:lvl w:ilvl="0">
      <w:start w:val="1"/>
      <w:numFmt w:val="bullet"/>
      <w:lvlText w:val="●"/>
      <w:lvlJc w:val="left"/>
      <w:pPr>
        <w:ind w:left="1080" w:hanging="360"/>
      </w:pPr>
      <w:rPr>
        <w:rFonts w:ascii="Noto Sans Symbols" w:cs="Noto Sans Symbols" w:eastAsia="Noto Sans Symbols" w:hAnsi="Noto Sans Symbols"/>
      </w:rPr>
    </w:lvl>
    <w:lvl w:ilvl="1">
      <w:start w:val="0"/>
      <w:numFmt w:val="bullet"/>
      <w:lvlText w:val="•"/>
      <w:lvlJc w:val="left"/>
      <w:pPr>
        <w:ind w:left="1800" w:hanging="360"/>
      </w:pPr>
      <w:rPr>
        <w:rFonts w:ascii="Calibri" w:cs="Calibri" w:eastAsia="Calibri" w:hAnsi="Calibri"/>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9">
    <w:lvl w:ilvl="0">
      <w:start w:val="1"/>
      <w:numFmt w:val="bullet"/>
      <w:lvlText w:val="●"/>
      <w:lvlJc w:val="left"/>
      <w:pPr>
        <w:ind w:left="360" w:hanging="360"/>
      </w:pPr>
      <w:rPr>
        <w:rFonts w:ascii="Noto Sans Symbols" w:cs="Noto Sans Symbols" w:eastAsia="Noto Sans Symbols" w:hAnsi="Noto Sans Symbols"/>
        <w:color w:val="000000"/>
        <w:sz w:val="22"/>
        <w:szCs w:val="22"/>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color w:val="00000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embedTrueTypeFonts w:val="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hAnsi="Arial" w:eastAsia="Arial" w:cs="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after="240" w:lineRule="auto"/>
      <w:ind w:left="720"/>
      <w:jc w:val="both"/>
    </w:pPr>
    <w:rPr>
      <w:rFonts w:ascii="Calibri" w:hAnsi="Calibri" w:eastAsia="Calibri" w:cs="Calibri"/>
      <w:b w:val="1"/>
      <w:bCs w:val="1"/>
    </w:rPr>
  </w:style>
  <w:style w:type="paragraph" w:styleId="Heading2">
    <w:name w:val="heading 2"/>
    <w:basedOn w:val="Normal"/>
    <w:next w:val="Normal"/>
    <w:pPr>
      <w:keepNext w:val="1"/>
      <w:keepLines w:val="1"/>
      <w:spacing w:after="240" w:lineRule="auto"/>
      <w:jc w:val="both"/>
    </w:pPr>
    <w:rPr>
      <w:rFonts w:ascii="Calibri" w:hAnsi="Calibri" w:eastAsia="Calibri" w:cs="Calibri"/>
      <w:b w:val="1"/>
      <w:bCs w:val="1"/>
    </w:rPr>
  </w:style>
  <w:style w:type="paragraph" w:styleId="Heading3">
    <w:name w:val="heading 3"/>
    <w:basedOn w:val="Normal"/>
    <w:next w:val="Normal"/>
    <w:pPr>
      <w:keepNext w:val="1"/>
      <w:keepLines w:val="1"/>
      <w:spacing w:after="240" w:lineRule="auto"/>
      <w:ind w:left="720"/>
      <w:jc w:val="both"/>
    </w:pPr>
    <w:rPr>
      <w:rFonts w:ascii="Calibri" w:hAnsi="Calibri" w:eastAsia="Calibri" w:cs="Calibri"/>
      <w:b w:val="1"/>
      <w:bCs w:val="1"/>
    </w:rPr>
  </w:style>
  <w:style w:type="paragraph" w:styleId="Heading4">
    <w:name w:val="heading 4"/>
    <w:basedOn w:val="Normal"/>
    <w:next w:val="Normal"/>
    <w:pPr>
      <w:keepNext w:val="1"/>
      <w:keepLines w:val="1"/>
      <w:spacing w:before="320" w:lineRule="auto"/>
    </w:pPr>
    <w:rPr>
      <w:b w:val="1"/>
      <w:bCs w:val="1"/>
      <w:sz w:val="26"/>
      <w:szCs w:val="26"/>
    </w:rPr>
  </w:style>
  <w:style w:type="paragraph" w:styleId="Heading5">
    <w:name w:val="heading 5"/>
    <w:basedOn w:val="Normal"/>
    <w:next w:val="Normal"/>
    <w:pPr>
      <w:keepNext w:val="1"/>
      <w:keepLines w:val="1"/>
      <w:spacing w:before="320" w:lineRule="auto"/>
    </w:pPr>
    <w:rPr>
      <w:b w:val="1"/>
      <w:bCs w:val="1"/>
      <w:sz w:val="24"/>
      <w:szCs w:val="24"/>
    </w:rPr>
  </w:style>
  <w:style w:type="paragraph" w:styleId="Heading6">
    <w:name w:val="heading 6"/>
    <w:basedOn w:val="Normal"/>
    <w:next w:val="Normal"/>
    <w:pPr>
      <w:keepNext w:val="1"/>
      <w:keepLines w:val="1"/>
      <w:spacing w:before="320" w:lineRule="auto"/>
    </w:pPr>
    <w:rPr>
      <w:b w:val="1"/>
      <w:bCs w:val="1"/>
    </w:rPr>
  </w:style>
  <w:style w:type="paragraph" w:styleId="Title">
    <w:name w:val="Title"/>
    <w:basedOn w:val="Normal"/>
    <w:next w:val="Normal"/>
    <w:pPr>
      <w:spacing w:before="300" w:lineRule="auto"/>
    </w:pPr>
    <w:rPr>
      <w:sz w:val="48"/>
      <w:szCs w:val="48"/>
    </w:rPr>
  </w:style>
  <w:style w:type="paragraph" w:styleId="Heading7">
    <w:name w:val="heading 7"/>
    <w:basedOn w:val="Normal"/>
    <w:next w:val="Normal"/>
    <w:link w:val="Heading7Char"/>
    <w:uiPriority w:val="9"/>
    <w:unhideWhenUsed w:val="1"/>
    <w:qFormat w:val="1"/>
    <w:pPr>
      <w:keepNext w:val="1"/>
      <w:keepLines w:val="1"/>
      <w:spacing w:before="320"/>
      <w:outlineLvl w:val="6"/>
    </w:pPr>
    <w:rPr>
      <w:b w:val="1"/>
      <w:bCs w:val="1"/>
      <w:i w:val="1"/>
      <w:iCs w:val="1"/>
    </w:rPr>
  </w:style>
  <w:style w:type="paragraph" w:styleId="Heading8">
    <w:name w:val="heading 8"/>
    <w:basedOn w:val="Normal"/>
    <w:next w:val="Normal"/>
    <w:link w:val="Heading8Char"/>
    <w:uiPriority w:val="9"/>
    <w:unhideWhenUsed w:val="1"/>
    <w:qFormat w:val="1"/>
    <w:pPr>
      <w:keepNext w:val="1"/>
      <w:keepLines w:val="1"/>
      <w:spacing w:before="320"/>
      <w:outlineLvl w:val="7"/>
    </w:pPr>
    <w:rPr>
      <w:i w:val="1"/>
      <w:iCs w:val="1"/>
    </w:rPr>
  </w:style>
  <w:style w:type="paragraph" w:styleId="Heading9">
    <w:name w:val="heading 9"/>
    <w:basedOn w:val="Normal"/>
    <w:next w:val="Normal"/>
    <w:link w:val="Heading9Char"/>
    <w:uiPriority w:val="9"/>
    <w:unhideWhenUsed w:val="1"/>
    <w:qFormat w:val="1"/>
    <w:pPr>
      <w:keepNext w:val="1"/>
      <w:keepLines w:val="1"/>
      <w:spacing w:before="320"/>
      <w:outlineLvl w:val="8"/>
    </w:pPr>
    <w:rPr>
      <w:i w:val="1"/>
      <w:iCs w:val="1"/>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
    <w:rPr>
      <w:rFonts w:ascii="Arial" w:hAnsi="Arial" w:eastAsia="Arial" w:cs="Arial"/>
      <w:sz w:val="40"/>
      <w:szCs w:val="40"/>
    </w:rPr>
  </w:style>
  <w:style w:type="character" w:styleId="Heading2Char" w:customStyle="1">
    <w:name w:val="Heading 2 Char"/>
    <w:link w:val="Heading2"/>
    <w:uiPriority w:val="9"/>
    <w:rPr>
      <w:rFonts w:ascii="Arial" w:hAnsi="Arial" w:eastAsia="Arial" w:cs="Arial"/>
      <w:sz w:val="34"/>
    </w:rPr>
  </w:style>
  <w:style w:type="character" w:styleId="Heading3Char" w:customStyle="1">
    <w:name w:val="Heading 3 Char"/>
    <w:link w:val="Heading3"/>
    <w:uiPriority w:val="9"/>
    <w:rPr>
      <w:rFonts w:ascii="Arial" w:hAnsi="Arial" w:eastAsia="Arial" w:cs="Arial"/>
      <w:sz w:val="30"/>
      <w:szCs w:val="30"/>
    </w:rPr>
  </w:style>
  <w:style w:type="character" w:styleId="Heading4Char" w:customStyle="1">
    <w:name w:val="Heading 4 Char"/>
    <w:link w:val="Heading4"/>
    <w:uiPriority w:val="9"/>
    <w:rPr>
      <w:rFonts w:ascii="Arial" w:hAnsi="Arial" w:eastAsia="Arial" w:cs="Arial"/>
      <w:b w:val="1"/>
      <w:bCs w:val="1"/>
      <w:sz w:val="26"/>
      <w:szCs w:val="26"/>
    </w:rPr>
  </w:style>
  <w:style w:type="character" w:styleId="Heading5Char" w:customStyle="1">
    <w:name w:val="Heading 5 Char"/>
    <w:link w:val="Heading5"/>
    <w:uiPriority w:val="9"/>
    <w:rPr>
      <w:rFonts w:ascii="Arial" w:hAnsi="Arial" w:eastAsia="Arial" w:cs="Arial"/>
      <w:b w:val="1"/>
      <w:bCs w:val="1"/>
      <w:sz w:val="24"/>
      <w:szCs w:val="24"/>
    </w:rPr>
  </w:style>
  <w:style w:type="character" w:styleId="Heading6Char" w:customStyle="1">
    <w:name w:val="Heading 6 Char"/>
    <w:link w:val="Heading6"/>
    <w:uiPriority w:val="9"/>
    <w:rPr>
      <w:rFonts w:ascii="Arial" w:hAnsi="Arial" w:eastAsia="Arial" w:cs="Arial"/>
      <w:b w:val="1"/>
      <w:bCs w:val="1"/>
      <w:sz w:val="22"/>
      <w:szCs w:val="22"/>
    </w:rPr>
  </w:style>
  <w:style w:type="character" w:styleId="Heading7Char" w:customStyle="1">
    <w:name w:val="Heading 7 Char"/>
    <w:link w:val="Heading7"/>
    <w:uiPriority w:val="9"/>
    <w:rPr>
      <w:rFonts w:ascii="Arial" w:hAnsi="Arial" w:eastAsia="Arial" w:cs="Arial"/>
      <w:b w:val="1"/>
      <w:bCs w:val="1"/>
      <w:i w:val="1"/>
      <w:iCs w:val="1"/>
      <w:sz w:val="22"/>
      <w:szCs w:val="22"/>
    </w:rPr>
  </w:style>
  <w:style w:type="character" w:styleId="Heading8Char" w:customStyle="1">
    <w:name w:val="Heading 8 Char"/>
    <w:link w:val="Heading8"/>
    <w:uiPriority w:val="9"/>
    <w:rPr>
      <w:rFonts w:ascii="Arial" w:hAnsi="Arial" w:eastAsia="Arial" w:cs="Arial"/>
      <w:i w:val="1"/>
      <w:iCs w:val="1"/>
      <w:sz w:val="22"/>
      <w:szCs w:val="22"/>
    </w:rPr>
  </w:style>
  <w:style w:type="character" w:styleId="Heading9Char" w:customStyle="1">
    <w:name w:val="Heading 9 Char"/>
    <w:link w:val="Heading9"/>
    <w:uiPriority w:val="9"/>
    <w:rPr>
      <w:rFonts w:ascii="Arial" w:hAnsi="Arial" w:eastAsia="Arial" w:cs="Arial"/>
      <w:i w:val="1"/>
      <w:iCs w:val="1"/>
      <w:sz w:val="21"/>
      <w:szCs w:val="21"/>
    </w:rPr>
  </w:style>
  <w:style w:type="character" w:styleId="TitleChar" w:customStyle="1">
    <w:name w:val="Title Char"/>
    <w:link w:val="Title"/>
    <w:uiPriority w:val="10"/>
    <w:rPr>
      <w:sz w:val="48"/>
      <w:szCs w:val="48"/>
    </w:rPr>
  </w:style>
  <w:style w:type="character" w:styleId="SubtitleChar" w:customStyle="1">
    <w:name w:val="Subtitle Char"/>
    <w:link w:val="Subtitle"/>
    <w:uiPriority w:val="11"/>
    <w:rPr>
      <w:sz w:val="24"/>
      <w:szCs w:val="24"/>
    </w:rPr>
  </w:style>
  <w:style w:type="paragraph" w:styleId="Quote">
    <w:name w:val="Quote"/>
    <w:basedOn w:val="Normal"/>
    <w:next w:val="Normal"/>
    <w:link w:val="QuoteChar"/>
    <w:uiPriority w:val="29"/>
    <w:qFormat w:val="1"/>
    <w:pPr>
      <w:ind w:left="720" w:right="720"/>
    </w:pPr>
    <w:rPr>
      <w:i w:val="1"/>
    </w:rPr>
  </w:style>
  <w:style w:type="character" w:styleId="QuoteChar" w:customStyle="1">
    <w:name w:val="Quote Char"/>
    <w:link w:val="Quote"/>
    <w:uiPriority w:val="29"/>
    <w:rPr>
      <w:i w:val="1"/>
    </w:rPr>
  </w:style>
  <w:style w:type="paragraph" w:styleId="IntenseQuote">
    <w:name w:val="Intense Quote"/>
    <w:basedOn w:val="Normal"/>
    <w:next w:val="Normal"/>
    <w:link w:val="IntenseQuoteChar"/>
    <w:uiPriority w:val="30"/>
    <w:qFormat w:val="1"/>
    <w:pPr>
      <w:pBdr>
        <w:top w:val="single" w:color="ffffff" w:sz="4" w:space="5"/>
        <w:left w:val="single" w:color="ffffff" w:sz="4" w:space="10"/>
        <w:bottom w:val="single" w:color="ffffff" w:sz="4" w:space="5"/>
        <w:right w:val="single" w:color="ffffff" w:sz="4" w:space="10"/>
      </w:pBdr>
      <w:shd w:val="clear" w:color="auto" w:fill="f2f2f2"/>
      <w:ind w:left="720" w:right="720"/>
    </w:pPr>
    <w:rPr>
      <w:i w:val="1"/>
    </w:rPr>
  </w:style>
  <w:style w:type="character" w:styleId="IntenseQuoteChar" w:customStyle="1">
    <w:name w:val="Intense Quote Char"/>
    <w:link w:val="IntenseQuote"/>
    <w:uiPriority w:val="30"/>
    <w:rPr>
      <w:i w:val="1"/>
    </w:rPr>
  </w:style>
  <w:style w:type="paragraph" w:styleId="Header">
    <w:name w:val="header"/>
    <w:basedOn w:val="Normal"/>
    <w:link w:val="HeaderChar"/>
    <w:uiPriority w:val="99"/>
    <w:unhideWhenUsed w:val="1"/>
    <w:pPr>
      <w:tabs>
        <w:tab w:val="center" w:pos="7143"/>
        <w:tab w:val="right" w:pos="14287"/>
      </w:tabs>
      <w:spacing w:after="0" w:line="240" w:lineRule="auto"/>
    </w:pPr>
  </w:style>
  <w:style w:type="character" w:styleId="HeaderChar" w:customStyle="1">
    <w:name w:val="Header Char"/>
    <w:link w:val="Header"/>
    <w:uiPriority w:val="99"/>
  </w:style>
  <w:style w:type="paragraph" w:styleId="Footer">
    <w:name w:val="footer"/>
    <w:basedOn w:val="Normal"/>
    <w:link w:val="FooterChar1"/>
    <w:uiPriority w:val="99"/>
    <w:unhideWhenUsed w:val="1"/>
    <w:pPr>
      <w:tabs>
        <w:tab w:val="center" w:pos="7143"/>
        <w:tab w:val="right" w:pos="14287"/>
      </w:tabs>
      <w:spacing w:after="0" w:line="240" w:lineRule="auto"/>
    </w:pPr>
  </w:style>
  <w:style w:type="character" w:styleId="FooterChar" w:customStyle="1">
    <w:name w:val="Footer Char"/>
    <w:uiPriority w:val="99"/>
  </w:style>
  <w:style w:type="paragraph" w:styleId="Caption">
    <w:name w:val="caption"/>
    <w:basedOn w:val="Normal"/>
    <w:next w:val="Normal"/>
    <w:uiPriority w:val="35"/>
    <w:semiHidden w:val="1"/>
    <w:unhideWhenUsed w:val="1"/>
    <w:qFormat w:val="1"/>
    <w:rPr>
      <w:b w:val="1"/>
      <w:bCs w:val="1"/>
      <w:color w:val="5b9bd5" w:themeColor="accent1"/>
      <w:sz w:val="18"/>
      <w:szCs w:val="18"/>
    </w:rPr>
  </w:style>
  <w:style w:type="character" w:styleId="FooterChar1" w:customStyle="1">
    <w:name w:val="Footer Char1"/>
    <w:link w:val="Footer"/>
    <w:uiPriority w:val="99"/>
  </w:style>
  <w:style w:type="table" w:styleId="TableGrid">
    <w:name w:val="Table Grid"/>
    <w:basedOn w:val="TableNormal"/>
    <w:uiPriority w:val="3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GridLight">
    <w:name w:val="Grid Table Light"/>
    <w:basedOn w:val="TableNormal"/>
    <w:uiPriority w:val="59"/>
    <w:pPr>
      <w:spacing w:after="0" w:line="240" w:lineRule="auto"/>
    </w:pPr>
    <w:tblPr>
      <w:tblBorders>
        <w:top w:val="single" w:color="afafaf" w:themeColor="text1" w:themeTint="000050" w:sz="4" w:space="0"/>
        <w:left w:val="single" w:color="afafaf" w:themeColor="text1" w:themeTint="000050" w:sz="4" w:space="0"/>
        <w:bottom w:val="single" w:color="afafaf" w:themeColor="text1" w:themeTint="000050" w:sz="4" w:space="0"/>
        <w:right w:val="single" w:color="afafaf" w:themeColor="text1" w:themeTint="000050" w:sz="4" w:space="0"/>
        <w:insideH w:val="single" w:color="afafaf" w:themeColor="text1" w:themeTint="000050" w:sz="4" w:space="0"/>
        <w:insideV w:val="single" w:color="afafaf" w:themeColor="text1" w:themeTint="000050" w:sz="4" w:space="0"/>
      </w:tblBorders>
    </w:tblPr>
  </w:style>
  <w:style w:type="table" w:styleId="PlainTable1">
    <w:name w:val="Plain Table 1"/>
    <w:basedOn w:val="TableNormal"/>
    <w:uiPriority w:val="59"/>
    <w:pPr>
      <w:spacing w:after="0" w:line="240" w:lineRule="auto"/>
    </w:pPr>
    <w:tblPr>
      <w:tblBorders>
        <w:top w:val="single" w:color="afafaf" w:themeColor="text1" w:themeTint="000050" w:sz="4" w:space="0"/>
        <w:left w:val="single" w:color="afafaf" w:themeColor="text1" w:themeTint="000050" w:sz="4" w:space="0"/>
        <w:bottom w:val="single" w:color="afafaf" w:themeColor="text1" w:themeTint="000050" w:sz="4" w:space="0"/>
        <w:right w:val="single" w:color="afafaf" w:themeColor="text1" w:themeTint="000050" w:sz="4" w:space="0"/>
        <w:insideH w:val="single" w:color="afafaf" w:themeColor="text1" w:themeTint="000050" w:sz="4" w:space="0"/>
        <w:insideV w:val="single" w:color="afafaf" w:themeColor="text1" w:themeTint="000050" w:sz="4" w:space="0"/>
      </w:tblBorders>
    </w:tblPr>
    <w:tblStylePr w:type="firstRow">
      <w:rPr>
        <w:rFonts w:ascii="Arial" w:hAnsi="Arial"/>
        <w:b w:val="1"/>
        <w:color w:val="404040"/>
        <w:sz w:val="22"/>
      </w:rPr>
    </w:tblStylePr>
    <w:tblStylePr w:type="lastRow">
      <w:rPr>
        <w:rFonts w:ascii="Arial" w:hAnsi="Arial"/>
        <w:b w:val="1"/>
        <w:color w:val="404040"/>
        <w:sz w:val="22"/>
      </w:rPr>
    </w:tblStylePr>
    <w:tblStylePr w:type="firstCol">
      <w:rPr>
        <w:rFonts w:ascii="Arial" w:hAnsi="Arial"/>
        <w:b w:val="1"/>
        <w:color w:val="404040"/>
        <w:sz w:val="22"/>
      </w:rPr>
    </w:tblStylePr>
    <w:tblStylePr w:type="lastCol">
      <w:rPr>
        <w:rFonts w:ascii="Arial" w:hAnsi="Arial"/>
        <w:b w:val="1"/>
        <w:color w:val="404040"/>
        <w:sz w:val="22"/>
      </w:rPr>
    </w:tblStylePr>
    <w:tblStylePr w:type="band1Vert">
      <w:tblPr/>
      <w:tcPr>
        <w:shd w:val="clear" w:color="f2f2f2" w:themeColor="text1" w:themeTint="00000D" w:fill="f2f2f2" w:themeFill="text1" w:themeFillTint="00000D"/>
      </w:tcPr>
    </w:tblStylePr>
    <w:tblStylePr w:type="band1Horz">
      <w:tblPr/>
      <w:tcPr>
        <w:shd w:val="clear" w:color="f2f2f2" w:themeColor="text1" w:themeTint="00000D" w:fill="f2f2f2" w:themeFill="text1" w:themeFillTint="00000D"/>
      </w:tcPr>
    </w:tblStylePr>
  </w:style>
  <w:style w:type="table" w:styleId="PlainTable2">
    <w:name w:val="Plain Table 2"/>
    <w:basedOn w:val="TableNormal"/>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val="1"/>
        <w:color w:val="404040"/>
        <w:sz w:val="22"/>
      </w:rPr>
      <w:tblPr/>
      <w:tcPr>
        <w:tcBorders>
          <w:top w:val="single" w:color="000000" w:themeColor="text1" w:sz="4" w:space="0"/>
          <w:bottom w:val="single" w:color="000000" w:themeColor="text1" w:sz="4" w:space="0"/>
        </w:tcBorders>
      </w:tcPr>
    </w:tblStylePr>
    <w:tblStylePr w:type="lastRow">
      <w:rPr>
        <w:rFonts w:ascii="Arial" w:hAnsi="Arial"/>
        <w:b w:val="1"/>
        <w:color w:val="404040"/>
        <w:sz w:val="22"/>
      </w:rPr>
    </w:tblStylePr>
    <w:tblStylePr w:type="firstCol">
      <w:rPr>
        <w:rFonts w:ascii="Arial" w:hAnsi="Arial"/>
        <w:b w:val="1"/>
        <w:color w:val="404040"/>
        <w:sz w:val="22"/>
      </w:rPr>
    </w:tblStylePr>
    <w:tblStylePr w:type="lastCol">
      <w:rPr>
        <w:rFonts w:ascii="Arial" w:hAnsi="Arial"/>
        <w:b w:val="1"/>
        <w:color w:val="404040"/>
        <w:sz w:val="22"/>
      </w:r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val="1"/>
        <w:caps w:val="1"/>
        <w:color w:val="404040"/>
      </w:rPr>
      <w:tblPr/>
      <w:tcPr>
        <w:tcBorders>
          <w:top w:val="none" w:color="000000" w:sz="4" w:space="0"/>
          <w:left w:val="none" w:color="000000" w:sz="4" w:space="0"/>
          <w:bottom w:val="single" w:color="404040" w:sz="4" w:space="0"/>
          <w:right w:val="none" w:color="000000" w:sz="4" w:space="0"/>
        </w:tcBorders>
      </w:tcPr>
    </w:tblStylePr>
    <w:tblStylePr w:type="lastRow">
      <w:rPr>
        <w:b w:val="1"/>
        <w:caps w:val="1"/>
        <w:color w:val="404040"/>
      </w:rPr>
    </w:tblStylePr>
    <w:tblStylePr w:type="firstCol">
      <w:rPr>
        <w:b w:val="1"/>
        <w:caps w:val="1"/>
        <w:color w:val="404040"/>
      </w:rPr>
      <w:tblPr/>
      <w:tcPr>
        <w:tcBorders>
          <w:top w:val="none" w:color="000000" w:sz="4" w:space="0"/>
          <w:left w:val="none" w:color="000000" w:sz="4" w:space="0"/>
          <w:bottom w:val="none" w:color="000000" w:sz="4" w:space="0"/>
          <w:right w:val="single" w:color="404040" w:sz="4" w:space="0"/>
        </w:tcBorders>
      </w:tcPr>
    </w:tblStylePr>
    <w:tblStylePr w:type="lastCol">
      <w:rPr>
        <w:b w:val="1"/>
        <w:caps w:val="1"/>
        <w:color w:val="404040"/>
      </w:rPr>
    </w:tblStylePr>
    <w:tblStylePr w:type="band1Vert">
      <w:rPr>
        <w:rFonts w:ascii="Arial" w:hAnsi="Arial"/>
        <w:color w:val="404040"/>
        <w:sz w:val="22"/>
      </w:rPr>
      <w:tblPr/>
      <w:tcPr>
        <w:shd w:val="clear" w:color="f2f2f2" w:themeColor="text1" w:themeTint="00000D" w:fill="f2f2f2" w:themeFill="text1" w:themeFillTint="00000D"/>
      </w:tcPr>
    </w:tblStylePr>
    <w:tblStylePr w:type="band1Horz">
      <w:rPr>
        <w:rFonts w:ascii="Arial" w:hAnsi="Arial"/>
        <w:color w:val="404040"/>
        <w:sz w:val="22"/>
      </w:rPr>
      <w:tblPr/>
      <w:tcPr>
        <w:shd w:val="clear" w:color="f2f2f2" w:themeColor="text1" w:themeTint="00000D" w:fill="f2f2f2" w:themeFill="text1" w:themeFillTint="0000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val="1"/>
        <w:color w:val="404040"/>
      </w:r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val="clear" w:color="f2f2f2" w:themeColor="text1" w:themeTint="00000D" w:fill="f2f2f2" w:themeFill="text1" w:themeFillTint="00000D"/>
      </w:tcPr>
    </w:tblStylePr>
    <w:tblStylePr w:type="band1Horz">
      <w:rPr>
        <w:rFonts w:ascii="Arial" w:hAnsi="Arial"/>
        <w:color w:val="404040"/>
        <w:sz w:val="22"/>
      </w:rPr>
      <w:tblPr/>
      <w:tcPr>
        <w:shd w:val="clear" w:color="f2f2f2" w:themeColor="text1" w:themeTint="00000D" w:fill="f2f2f2" w:themeFill="text1" w:themeFillTint="0000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val="1"/>
        <w:color w:val="404040"/>
      </w:rPr>
      <w:tblPr/>
      <w:tcPr>
        <w:tcBorders>
          <w:left w:val="none" w:color="000000" w:sz="4" w:space="0"/>
          <w:bottom w:val="single" w:color="404040" w:sz="4" w:space="0"/>
          <w:right w:val="none" w:color="000000" w:sz="4" w:space="0"/>
        </w:tcBorders>
        <w:shd w:val="clear" w:color="ffffff" w:fill="auto"/>
      </w:tcPr>
    </w:tblStylePr>
    <w:tblStylePr w:type="lastRow">
      <w:rPr>
        <w:i w:val="1"/>
        <w:color w:val="404040"/>
      </w:rPr>
      <w:tblPr/>
      <w:tcPr>
        <w:tcBorders>
          <w:top w:val="single" w:color="404040" w:sz="4" w:space="0"/>
          <w:left w:val="none" w:color="000000" w:sz="4" w:space="0"/>
          <w:right w:val="none" w:color="000000" w:sz="4" w:space="0"/>
        </w:tcBorders>
        <w:shd w:val="clear" w:color="ffffff" w:fill="auto"/>
      </w:tcPr>
    </w:tblStylePr>
    <w:tblStylePr w:type="firstCol">
      <w:pPr>
        <w:jc w:val="right"/>
      </w:pPr>
      <w:rPr>
        <w:i w:val="1"/>
        <w:color w:val="404040"/>
      </w:rPr>
      <w:tblPr/>
      <w:tcPr>
        <w:tcBorders>
          <w:right w:val="single" w:color="404040" w:sz="4" w:space="0"/>
        </w:tcBorders>
        <w:shd w:val="clear" w:color="ffffff" w:fill="auto"/>
      </w:tcPr>
    </w:tblStylePr>
    <w:tblStylePr w:type="lastCol">
      <w:rPr>
        <w:i w:val="1"/>
        <w:color w:val="404040"/>
      </w:rPr>
      <w:tblPr/>
      <w:tcPr>
        <w:tcBorders>
          <w:left w:val="single" w:color="404040" w:sz="4" w:space="0"/>
        </w:tcBorders>
        <w:shd w:val="clear" w:color="ffffff" w:fill="auto"/>
      </w:tcPr>
    </w:tblStylePr>
    <w:tblStylePr w:type="band1Vert">
      <w:rPr>
        <w:rFonts w:ascii="Arial" w:hAnsi="Arial"/>
        <w:color w:val="404040"/>
        <w:sz w:val="22"/>
      </w:rPr>
      <w:tblPr/>
      <w:tcPr>
        <w:shd w:val="clear" w:color="f2f2f2" w:themeColor="text1" w:themeTint="00000D" w:fill="f2f2f2" w:themeFill="text1" w:themeFillTint="00000D"/>
      </w:tcPr>
    </w:tblStylePr>
    <w:tblStylePr w:type="band1Horz">
      <w:rPr>
        <w:rFonts w:ascii="Arial" w:hAnsi="Arial"/>
        <w:color w:val="404040"/>
        <w:sz w:val="22"/>
      </w:rPr>
      <w:tblPr/>
      <w:tcPr>
        <w:shd w:val="clear" w:color="f2f2f2" w:themeColor="text1" w:themeTint="00000D" w:fill="f2f2f2" w:themeFill="text1" w:themeFillTint="0000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color="989898" w:themeColor="text1" w:themeTint="000067" w:sz="4" w:space="0"/>
        <w:left w:val="single" w:color="989898" w:themeColor="text1" w:themeTint="000067" w:sz="4" w:space="0"/>
        <w:bottom w:val="single" w:color="989898" w:themeColor="text1" w:themeTint="000067" w:sz="4" w:space="0"/>
        <w:right w:val="single" w:color="989898" w:themeColor="text1" w:themeTint="000067" w:sz="4" w:space="0"/>
        <w:insideH w:val="single" w:color="989898" w:themeColor="text1" w:themeTint="000067" w:sz="4" w:space="0"/>
        <w:insideV w:val="single" w:color="989898" w:themeColor="text1" w:themeTint="000067" w:sz="4" w:space="0"/>
      </w:tblBorders>
    </w:tblPr>
    <w:tblStylePr w:type="firstRow">
      <w:rPr>
        <w:b w:val="1"/>
        <w:color w:val="404040"/>
      </w:rPr>
      <w:tblPr/>
      <w:tcPr>
        <w:tcBorders>
          <w:bottom w:val="single" w:color="6a6a6a" w:themeColor="text1" w:themeTint="000095" w:sz="12" w:space="0"/>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val="single" w:color="989898" w:themeColor="text1" w:themeTint="000067" w:sz="4" w:space="0"/>
          <w:left w:val="single" w:color="989898" w:themeColor="text1" w:themeTint="000067" w:sz="4" w:space="0"/>
          <w:bottom w:val="single" w:color="989898" w:themeColor="text1" w:themeTint="000067" w:sz="4" w:space="0"/>
          <w:right w:val="single" w:color="989898" w:themeColor="text1" w:themeTint="000067" w:sz="4" w:space="0"/>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color="bcd6ee" w:themeColor="accent1" w:themeTint="000067" w:sz="4" w:space="0"/>
        <w:left w:val="single" w:color="bcd6ee" w:themeColor="accent1" w:themeTint="000067" w:sz="4" w:space="0"/>
        <w:bottom w:val="single" w:color="bcd6ee" w:themeColor="accent1" w:themeTint="000067" w:sz="4" w:space="0"/>
        <w:right w:val="single" w:color="bcd6ee" w:themeColor="accent1" w:themeTint="000067" w:sz="4" w:space="0"/>
        <w:insideH w:val="single" w:color="bcd6ee" w:themeColor="accent1" w:themeTint="000067" w:sz="4" w:space="0"/>
        <w:insideV w:val="single" w:color="bcd6ee" w:themeColor="accent1" w:themeTint="000067" w:sz="4" w:space="0"/>
      </w:tblBorders>
    </w:tblPr>
    <w:tblStylePr w:type="firstRow">
      <w:rPr>
        <w:b w:val="1"/>
        <w:color w:val="404040"/>
      </w:rPr>
      <w:tblPr/>
      <w:tcPr>
        <w:tcBorders>
          <w:bottom w:val="single" w:color="9ec4e6" w:themeColor="accent1" w:themeTint="000095" w:sz="12" w:space="0"/>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val="single" w:color="bcd6ee" w:themeColor="accent1" w:themeTint="000067" w:sz="4" w:space="0"/>
          <w:left w:val="single" w:color="bcd6ee" w:themeColor="accent1" w:themeTint="000067" w:sz="4" w:space="0"/>
          <w:bottom w:val="single" w:color="bcd6ee" w:themeColor="accent1" w:themeTint="000067" w:sz="4" w:space="0"/>
          <w:right w:val="single" w:color="bcd6ee" w:themeColor="accent1" w:themeTint="000067" w:sz="4" w:space="0"/>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color="f7caab" w:themeColor="accent2" w:themeTint="000067" w:sz="4" w:space="0"/>
        <w:left w:val="single" w:color="f7caab" w:themeColor="accent2" w:themeTint="000067" w:sz="4" w:space="0"/>
        <w:bottom w:val="single" w:color="f7caab" w:themeColor="accent2" w:themeTint="000067" w:sz="4" w:space="0"/>
        <w:right w:val="single" w:color="f7caab" w:themeColor="accent2" w:themeTint="000067" w:sz="4" w:space="0"/>
        <w:insideH w:val="single" w:color="f7caab" w:themeColor="accent2" w:themeTint="000067" w:sz="4" w:space="0"/>
        <w:insideV w:val="single" w:color="f7caab" w:themeColor="accent2" w:themeTint="000067" w:sz="4" w:space="0"/>
      </w:tblBorders>
    </w:tblPr>
    <w:tblStylePr w:type="firstRow">
      <w:rPr>
        <w:b w:val="1"/>
        <w:color w:val="404040"/>
      </w:rPr>
      <w:tblPr/>
      <w:tcPr>
        <w:tcBorders>
          <w:bottom w:val="single" w:color="f4b286" w:themeColor="accent2" w:themeTint="000095" w:sz="12" w:space="0"/>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val="single" w:color="f7caab" w:themeColor="accent2" w:themeTint="000067" w:sz="4" w:space="0"/>
          <w:left w:val="single" w:color="f7caab" w:themeColor="accent2" w:themeTint="000067" w:sz="4" w:space="0"/>
          <w:bottom w:val="single" w:color="f7caab" w:themeColor="accent2" w:themeTint="000067" w:sz="4" w:space="0"/>
          <w:right w:val="single" w:color="f7caab" w:themeColor="accent2" w:themeTint="000067" w:sz="4" w:space="0"/>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color="dadada" w:themeColor="accent3" w:themeTint="000067" w:sz="4" w:space="0"/>
        <w:left w:val="single" w:color="dadada" w:themeColor="accent3" w:themeTint="000067" w:sz="4" w:space="0"/>
        <w:bottom w:val="single" w:color="dadada" w:themeColor="accent3" w:themeTint="000067" w:sz="4" w:space="0"/>
        <w:right w:val="single" w:color="dadada" w:themeColor="accent3" w:themeTint="000067" w:sz="4" w:space="0"/>
        <w:insideH w:val="single" w:color="dadada" w:themeColor="accent3" w:themeTint="000067" w:sz="4" w:space="0"/>
        <w:insideV w:val="single" w:color="dadada" w:themeColor="accent3" w:themeTint="000067" w:sz="4" w:space="0"/>
      </w:tblBorders>
    </w:tblPr>
    <w:tblStylePr w:type="firstRow">
      <w:rPr>
        <w:b w:val="1"/>
        <w:color w:val="404040"/>
      </w:rPr>
      <w:tblPr/>
      <w:tcPr>
        <w:tcBorders>
          <w:bottom w:val="single" w:color="cacaca" w:themeColor="accent3" w:themeTint="000095" w:sz="12" w:space="0"/>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val="single" w:color="dadada" w:themeColor="accent3" w:themeTint="000067" w:sz="4" w:space="0"/>
          <w:left w:val="single" w:color="dadada" w:themeColor="accent3" w:themeTint="000067" w:sz="4" w:space="0"/>
          <w:bottom w:val="single" w:color="dadada" w:themeColor="accent3" w:themeTint="000067" w:sz="4" w:space="0"/>
          <w:right w:val="single" w:color="dadada" w:themeColor="accent3" w:themeTint="000067" w:sz="4" w:space="0"/>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color="ffe598" w:themeColor="accent4" w:themeTint="000067" w:sz="4" w:space="0"/>
        <w:left w:val="single" w:color="ffe598" w:themeColor="accent4" w:themeTint="000067" w:sz="4" w:space="0"/>
        <w:bottom w:val="single" w:color="ffe598" w:themeColor="accent4" w:themeTint="000067" w:sz="4" w:space="0"/>
        <w:right w:val="single" w:color="ffe598" w:themeColor="accent4" w:themeTint="000067" w:sz="4" w:space="0"/>
        <w:insideH w:val="single" w:color="ffe598" w:themeColor="accent4" w:themeTint="000067" w:sz="4" w:space="0"/>
        <w:insideV w:val="single" w:color="ffe598" w:themeColor="accent4" w:themeTint="000067" w:sz="4" w:space="0"/>
      </w:tblBorders>
    </w:tblPr>
    <w:tblStylePr w:type="firstRow">
      <w:rPr>
        <w:b w:val="1"/>
        <w:color w:val="404040"/>
      </w:rPr>
      <w:tblPr/>
      <w:tcPr>
        <w:tcBorders>
          <w:bottom w:val="single" w:color="ffda6a" w:themeColor="accent4" w:themeTint="000095" w:sz="12" w:space="0"/>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val="single" w:color="ffe598" w:themeColor="accent4" w:themeTint="000067" w:sz="4" w:space="0"/>
          <w:left w:val="single" w:color="ffe598" w:themeColor="accent4" w:themeTint="000067" w:sz="4" w:space="0"/>
          <w:bottom w:val="single" w:color="ffe598" w:themeColor="accent4" w:themeTint="000067" w:sz="4" w:space="0"/>
          <w:right w:val="single" w:color="ffe598" w:themeColor="accent4" w:themeTint="000067" w:sz="4" w:space="0"/>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color="b3c5e7" w:themeColor="accent5" w:themeTint="000067" w:sz="4" w:space="0"/>
        <w:left w:val="single" w:color="b3c5e7" w:themeColor="accent5" w:themeTint="000067" w:sz="4" w:space="0"/>
        <w:bottom w:val="single" w:color="b3c5e7" w:themeColor="accent5" w:themeTint="000067" w:sz="4" w:space="0"/>
        <w:right w:val="single" w:color="b3c5e7" w:themeColor="accent5" w:themeTint="000067" w:sz="4" w:space="0"/>
        <w:insideH w:val="single" w:color="b3c5e7" w:themeColor="accent5" w:themeTint="000067" w:sz="4" w:space="0"/>
        <w:insideV w:val="single" w:color="b3c5e7" w:themeColor="accent5" w:themeTint="000067" w:sz="4" w:space="0"/>
      </w:tblBorders>
    </w:tblPr>
    <w:tblStylePr w:type="firstRow">
      <w:rPr>
        <w:b w:val="1"/>
        <w:color w:val="404040"/>
      </w:rPr>
      <w:tblPr/>
      <w:tcPr>
        <w:tcBorders>
          <w:bottom w:val="single" w:color="91acdc" w:themeColor="accent5" w:themeTint="000095" w:sz="12" w:space="0"/>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val="single" w:color="b3c5e7" w:themeColor="accent5" w:themeTint="000067" w:sz="4" w:space="0"/>
          <w:left w:val="single" w:color="b3c5e7" w:themeColor="accent5" w:themeTint="000067" w:sz="4" w:space="0"/>
          <w:bottom w:val="single" w:color="b3c5e7" w:themeColor="accent5" w:themeTint="000067" w:sz="4" w:space="0"/>
          <w:right w:val="single" w:color="b3c5e7" w:themeColor="accent5" w:themeTint="000067" w:sz="4" w:space="0"/>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color="c4dfb2" w:themeColor="accent6" w:themeTint="000067" w:sz="4" w:space="0"/>
        <w:left w:val="single" w:color="c4dfb2" w:themeColor="accent6" w:themeTint="000067" w:sz="4" w:space="0"/>
        <w:bottom w:val="single" w:color="c4dfb2" w:themeColor="accent6" w:themeTint="000067" w:sz="4" w:space="0"/>
        <w:right w:val="single" w:color="c4dfb2" w:themeColor="accent6" w:themeTint="000067" w:sz="4" w:space="0"/>
        <w:insideH w:val="single" w:color="c4dfb2" w:themeColor="accent6" w:themeTint="000067" w:sz="4" w:space="0"/>
        <w:insideV w:val="single" w:color="c4dfb2" w:themeColor="accent6" w:themeTint="000067" w:sz="4" w:space="0"/>
      </w:tblBorders>
    </w:tblPr>
    <w:tblStylePr w:type="firstRow">
      <w:rPr>
        <w:b w:val="1"/>
        <w:color w:val="404040"/>
      </w:rPr>
      <w:tblPr/>
      <w:tcPr>
        <w:tcBorders>
          <w:bottom w:val="single" w:color="aad190" w:themeColor="accent6" w:themeTint="000095" w:sz="12" w:space="0"/>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val="single" w:color="c4dfb2" w:themeColor="accent6" w:themeTint="000067" w:sz="4" w:space="0"/>
          <w:left w:val="single" w:color="c4dfb2" w:themeColor="accent6" w:themeTint="000067" w:sz="4" w:space="0"/>
          <w:bottom w:val="single" w:color="c4dfb2" w:themeColor="accent6" w:themeTint="000067" w:sz="4" w:space="0"/>
          <w:right w:val="single" w:color="c4dfb2" w:themeColor="accent6" w:themeTint="000067" w:sz="4" w:space="0"/>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color="6a6a6a" w:themeColor="text1" w:themeTint="000095" w:sz="4" w:space="0"/>
        <w:insideH w:val="single" w:color="6a6a6a" w:themeColor="text1" w:themeTint="000095" w:sz="4" w:space="0"/>
        <w:insideV w:val="single" w:color="6a6a6a" w:themeColor="text1" w:themeTint="000095" w:sz="4" w:space="0"/>
      </w:tblBorders>
    </w:tblPr>
    <w:tblStylePr w:type="firstRow">
      <w:rPr>
        <w:b w:val="1"/>
        <w:color w:val="404040"/>
      </w:rPr>
      <w:tblPr/>
      <w:tcPr>
        <w:tcBorders>
          <w:top w:val="none" w:color="000000" w:sz="4" w:space="0"/>
          <w:left w:val="none" w:color="000000" w:sz="4" w:space="0"/>
          <w:bottom w:val="single" w:color="6a6a6a" w:themeColor="text1" w:themeTint="000095" w:sz="12" w:space="0"/>
          <w:right w:val="none" w:color="000000" w:sz="4" w:space="0"/>
        </w:tcBorders>
        <w:shd w:val="clear" w:color="ffffff" w:fill="auto"/>
      </w:tcPr>
    </w:tblStylePr>
    <w:tblStylePr w:type="lastRow">
      <w:rPr>
        <w:b w:val="1"/>
        <w:color w:val="404040"/>
      </w:rPr>
      <w:tblPr/>
      <w:tcPr>
        <w:tcBorders>
          <w:top w:val="single" w:color="6a6a6a" w:themeColor="text1" w:themeTint="000095" w:sz="4" w:space="0"/>
          <w:left w:val="none" w:color="000000" w:sz="4" w:space="0"/>
          <w:bottom w:val="none" w:color="000000" w:sz="4" w:space="0"/>
          <w:right w:val="none" w:color="000000" w:sz="4" w:space="0"/>
        </w:tcBorders>
        <w:shd w:val="clear" w:color="ffffff" w:fill="auto"/>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val="clear" w:color="cbcbcb" w:themeColor="text1" w:themeTint="000034" w:fill="cbcbcb" w:themeFill="text1" w:themeFillTint="000034"/>
      </w:tcPr>
    </w:tblStylePr>
    <w:tblStylePr w:type="band1Horz">
      <w:rPr>
        <w:rFonts w:ascii="Arial" w:hAnsi="Arial"/>
        <w:color w:val="404040"/>
        <w:sz w:val="22"/>
      </w:rPr>
      <w:tblPr/>
      <w:tcPr>
        <w:shd w:val="clear" w:color="cbcbcb" w:themeColor="text1" w:themeTint="000034" w:fill="cbcbcb" w:themeFill="text1" w:themeFillTint="0000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color="68a2d8" w:themeColor="accent1" w:themeTint="0000EA" w:sz="4" w:space="0"/>
        <w:insideH w:val="single" w:color="68a2d8" w:themeColor="accent1" w:themeTint="0000EA" w:sz="4" w:space="0"/>
        <w:insideV w:val="single" w:color="68a2d8" w:themeColor="accent1" w:themeTint="0000EA" w:sz="4" w:space="0"/>
      </w:tblBorders>
    </w:tblPr>
    <w:tblStylePr w:type="firstRow">
      <w:rPr>
        <w:b w:val="1"/>
        <w:color w:val="404040"/>
      </w:rPr>
      <w:tblPr/>
      <w:tcPr>
        <w:tcBorders>
          <w:top w:val="none" w:color="000000" w:sz="4" w:space="0"/>
          <w:left w:val="none" w:color="000000" w:sz="4" w:space="0"/>
          <w:bottom w:val="single" w:color="68a2d8" w:themeColor="accent1" w:themeTint="0000EA" w:sz="12" w:space="0"/>
          <w:right w:val="none" w:color="000000" w:sz="4" w:space="0"/>
        </w:tcBorders>
        <w:shd w:val="clear" w:color="ffffff" w:fill="auto"/>
      </w:tcPr>
    </w:tblStylePr>
    <w:tblStylePr w:type="lastRow">
      <w:rPr>
        <w:b w:val="1"/>
        <w:color w:val="404040"/>
      </w:rPr>
      <w:tblPr/>
      <w:tcPr>
        <w:tcBorders>
          <w:top w:val="single" w:color="68a2d8" w:themeColor="accent1" w:themeTint="0000EA" w:sz="4" w:space="0"/>
          <w:left w:val="none" w:color="000000" w:sz="4" w:space="0"/>
          <w:bottom w:val="none" w:color="000000" w:sz="4" w:space="0"/>
          <w:right w:val="none" w:color="000000" w:sz="4" w:space="0"/>
        </w:tcBorders>
        <w:shd w:val="clear" w:color="ffffff" w:fill="auto"/>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val="clear" w:color="ddeaf6" w:themeColor="accent1" w:themeTint="000034" w:fill="ddeaf6" w:themeFill="accent1" w:themeFillTint="000034"/>
      </w:tcPr>
    </w:tblStylePr>
    <w:tblStylePr w:type="band1Horz">
      <w:rPr>
        <w:rFonts w:ascii="Arial" w:hAnsi="Arial"/>
        <w:color w:val="404040"/>
        <w:sz w:val="22"/>
      </w:rPr>
      <w:tblPr/>
      <w:tcPr>
        <w:shd w:val="clear" w:color="ddeaf6" w:themeColor="accent1" w:themeTint="000034" w:fill="ddeaf6" w:themeFill="accent1" w:themeFillTint="0000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color="f4b184" w:themeColor="accent2" w:themeTint="000097" w:sz="4" w:space="0"/>
        <w:insideH w:val="single" w:color="f4b184" w:themeColor="accent2" w:themeTint="000097" w:sz="4" w:space="0"/>
        <w:insideV w:val="single" w:color="f4b184" w:themeColor="accent2" w:themeTint="000097" w:sz="4" w:space="0"/>
      </w:tblBorders>
    </w:tblPr>
    <w:tblStylePr w:type="firstRow">
      <w:rPr>
        <w:b w:val="1"/>
        <w:color w:val="404040"/>
      </w:rPr>
      <w:tblPr/>
      <w:tcPr>
        <w:tcBorders>
          <w:top w:val="none" w:color="000000" w:sz="4" w:space="0"/>
          <w:left w:val="none" w:color="000000" w:sz="4" w:space="0"/>
          <w:bottom w:val="single" w:color="f4b184" w:themeColor="accent2" w:themeTint="000097" w:sz="12" w:space="0"/>
          <w:right w:val="none" w:color="000000" w:sz="4" w:space="0"/>
        </w:tcBorders>
        <w:shd w:val="clear" w:color="ffffff" w:fill="auto"/>
      </w:tcPr>
    </w:tblStylePr>
    <w:tblStylePr w:type="lastRow">
      <w:rPr>
        <w:b w:val="1"/>
        <w:color w:val="404040"/>
      </w:rPr>
      <w:tblPr/>
      <w:tcPr>
        <w:tcBorders>
          <w:top w:val="single" w:color="f4b184" w:themeColor="accent2" w:themeTint="000097" w:sz="4" w:space="0"/>
          <w:left w:val="none" w:color="000000" w:sz="4" w:space="0"/>
          <w:bottom w:val="none" w:color="000000" w:sz="4" w:space="0"/>
          <w:right w:val="none" w:color="000000" w:sz="4" w:space="0"/>
        </w:tcBorders>
        <w:shd w:val="clear" w:color="ffffff" w:fill="auto"/>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val="clear" w:color="fbe5d6" w:themeColor="accent2" w:themeTint="000032" w:fill="fbe5d6" w:themeFill="accent2" w:themeFillTint="000032"/>
      </w:tcPr>
    </w:tblStylePr>
    <w:tblStylePr w:type="band1Horz">
      <w:rPr>
        <w:rFonts w:ascii="Arial" w:hAnsi="Arial"/>
        <w:color w:val="404040"/>
        <w:sz w:val="22"/>
      </w:rPr>
      <w:tblPr/>
      <w:tcPr>
        <w:shd w:val="clear" w:color="fbe5d6" w:themeColor="accent2" w:themeTint="000032" w:fill="fbe5d6" w:themeFill="accent2" w:themeFillTint="0000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color="a5a5a5" w:themeColor="accent3" w:themeTint="0000FE" w:sz="4" w:space="0"/>
        <w:insideH w:val="single" w:color="a5a5a5" w:themeColor="accent3" w:themeTint="0000FE" w:sz="4" w:space="0"/>
        <w:insideV w:val="single" w:color="a5a5a5" w:themeColor="accent3" w:themeTint="0000FE" w:sz="4" w:space="0"/>
      </w:tblBorders>
    </w:tblPr>
    <w:tblStylePr w:type="firstRow">
      <w:rPr>
        <w:b w:val="1"/>
        <w:color w:val="404040"/>
      </w:rPr>
      <w:tblPr/>
      <w:tcPr>
        <w:tcBorders>
          <w:top w:val="none" w:color="000000" w:sz="4" w:space="0"/>
          <w:left w:val="none" w:color="000000" w:sz="4" w:space="0"/>
          <w:bottom w:val="single" w:color="a5a5a5" w:themeColor="accent3" w:themeTint="0000FE" w:sz="12" w:space="0"/>
          <w:right w:val="none" w:color="000000" w:sz="4" w:space="0"/>
        </w:tcBorders>
        <w:shd w:val="clear" w:color="ffffff" w:fill="auto"/>
      </w:tcPr>
    </w:tblStylePr>
    <w:tblStylePr w:type="lastRow">
      <w:rPr>
        <w:b w:val="1"/>
        <w:color w:val="404040"/>
      </w:rPr>
      <w:tblPr/>
      <w:tcPr>
        <w:tcBorders>
          <w:top w:val="single" w:color="a5a5a5" w:themeColor="accent3" w:themeTint="0000FE" w:sz="4" w:space="0"/>
          <w:left w:val="none" w:color="000000" w:sz="4" w:space="0"/>
          <w:bottom w:val="none" w:color="000000" w:sz="4" w:space="0"/>
          <w:right w:val="none" w:color="000000" w:sz="4" w:space="0"/>
        </w:tcBorders>
        <w:shd w:val="clear" w:color="ffffff" w:fill="auto"/>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val="clear" w:color="ececec" w:themeColor="accent3" w:themeTint="000034" w:fill="ececec" w:themeFill="accent3" w:themeFillTint="000034"/>
      </w:tcPr>
    </w:tblStylePr>
    <w:tblStylePr w:type="band1Horz">
      <w:rPr>
        <w:rFonts w:ascii="Arial" w:hAnsi="Arial"/>
        <w:color w:val="404040"/>
        <w:sz w:val="22"/>
      </w:rPr>
      <w:tblPr/>
      <w:tcPr>
        <w:shd w:val="clear" w:color="ececec" w:themeColor="accent3" w:themeTint="000034" w:fill="ececec" w:themeFill="accent3" w:themeFillTint="0000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color="ffd865" w:themeColor="accent4" w:themeTint="00009A" w:sz="4" w:space="0"/>
        <w:insideH w:val="single" w:color="ffd865" w:themeColor="accent4" w:themeTint="00009A" w:sz="4" w:space="0"/>
        <w:insideV w:val="single" w:color="ffd865" w:themeColor="accent4" w:themeTint="00009A" w:sz="4" w:space="0"/>
      </w:tblBorders>
    </w:tblPr>
    <w:tblStylePr w:type="firstRow">
      <w:rPr>
        <w:b w:val="1"/>
        <w:color w:val="404040"/>
      </w:rPr>
      <w:tblPr/>
      <w:tcPr>
        <w:tcBorders>
          <w:top w:val="none" w:color="000000" w:sz="4" w:space="0"/>
          <w:left w:val="none" w:color="000000" w:sz="4" w:space="0"/>
          <w:bottom w:val="single" w:color="ffd865" w:themeColor="accent4" w:themeTint="00009A" w:sz="12" w:space="0"/>
          <w:right w:val="none" w:color="000000" w:sz="4" w:space="0"/>
        </w:tcBorders>
        <w:shd w:val="clear" w:color="ffffff" w:fill="auto"/>
      </w:tcPr>
    </w:tblStylePr>
    <w:tblStylePr w:type="lastRow">
      <w:rPr>
        <w:b w:val="1"/>
        <w:color w:val="404040"/>
      </w:rPr>
      <w:tblPr/>
      <w:tcPr>
        <w:tcBorders>
          <w:top w:val="single" w:color="ffd865" w:themeColor="accent4" w:themeTint="00009A" w:sz="4" w:space="0"/>
          <w:left w:val="none" w:color="000000" w:sz="4" w:space="0"/>
          <w:bottom w:val="none" w:color="000000" w:sz="4" w:space="0"/>
          <w:right w:val="none" w:color="000000" w:sz="4" w:space="0"/>
        </w:tcBorders>
        <w:shd w:val="clear" w:color="ffffff" w:fill="auto"/>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val="clear" w:color="fff2cb" w:themeColor="accent4" w:themeTint="000034" w:fill="fff2cb" w:themeFill="accent4" w:themeFillTint="000034"/>
      </w:tcPr>
    </w:tblStylePr>
    <w:tblStylePr w:type="band1Horz">
      <w:rPr>
        <w:rFonts w:ascii="Arial" w:hAnsi="Arial"/>
        <w:color w:val="404040"/>
        <w:sz w:val="22"/>
      </w:rPr>
      <w:tblPr/>
      <w:tcPr>
        <w:shd w:val="clear" w:color="fff2cb" w:themeColor="accent4" w:themeTint="000034" w:fill="fff2cb" w:themeFill="accent4" w:themeFillTint="0000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blStylePr w:type="firstRow">
      <w:rPr>
        <w:b w:val="1"/>
        <w:color w:val="404040"/>
      </w:rPr>
      <w:tblPr/>
      <w:tcPr>
        <w:tcBorders>
          <w:top w:val="none" w:color="000000" w:sz="4" w:space="0"/>
          <w:left w:val="none" w:color="000000" w:sz="4" w:space="0"/>
          <w:bottom w:val="single" w:color="4472c4" w:themeColor="accent5" w:sz="12" w:space="0"/>
          <w:right w:val="none" w:color="000000" w:sz="4" w:space="0"/>
        </w:tcBorders>
        <w:shd w:val="clear" w:color="ffffff" w:fill="auto"/>
      </w:tcPr>
    </w:tblStylePr>
    <w:tblStylePr w:type="lastRow">
      <w:rPr>
        <w:b w:val="1"/>
        <w:color w:val="404040"/>
      </w:rPr>
      <w:tblPr/>
      <w:tcPr>
        <w:tcBorders>
          <w:top w:val="single" w:color="4472c4" w:themeColor="accent5" w:sz="4" w:space="0"/>
          <w:left w:val="none" w:color="000000" w:sz="4" w:space="0"/>
          <w:bottom w:val="none" w:color="000000" w:sz="4" w:space="0"/>
          <w:right w:val="none" w:color="000000" w:sz="4" w:space="0"/>
        </w:tcBorders>
        <w:shd w:val="clear" w:color="ffffff" w:fill="auto"/>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val="clear" w:color="d8e2f3" w:themeColor="accent5" w:themeTint="000034" w:fill="d8e2f3" w:themeFill="accent5" w:themeFillTint="000034"/>
      </w:tcPr>
    </w:tblStylePr>
    <w:tblStylePr w:type="band1Horz">
      <w:rPr>
        <w:rFonts w:ascii="Arial" w:hAnsi="Arial"/>
        <w:color w:val="404040"/>
        <w:sz w:val="22"/>
      </w:rPr>
      <w:tblPr/>
      <w:tcPr>
        <w:shd w:val="clear" w:color="d8e2f3" w:themeColor="accent5" w:themeTint="000034" w:fill="d8e2f3" w:themeFill="accent5" w:themeFillTint="0000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val="1"/>
        <w:color w:val="404040"/>
      </w:rPr>
      <w:tblPr/>
      <w:tcPr>
        <w:tcBorders>
          <w:top w:val="none" w:color="000000" w:sz="4" w:space="0"/>
          <w:left w:val="none" w:color="000000" w:sz="4" w:space="0"/>
          <w:bottom w:val="single" w:color="70ad47" w:themeColor="accent6" w:sz="12" w:space="0"/>
          <w:right w:val="none" w:color="000000" w:sz="4" w:space="0"/>
        </w:tcBorders>
        <w:shd w:val="clear" w:color="ffffff" w:fill="auto"/>
      </w:tcPr>
    </w:tblStylePr>
    <w:tblStylePr w:type="lastRow">
      <w:rPr>
        <w:b w:val="1"/>
        <w:color w:val="404040"/>
      </w:rPr>
      <w:tblPr/>
      <w:tcPr>
        <w:tcBorders>
          <w:top w:val="single" w:color="70ad47" w:themeColor="accent6" w:sz="4" w:space="0"/>
          <w:left w:val="none" w:color="000000" w:sz="4" w:space="0"/>
          <w:bottom w:val="none" w:color="000000" w:sz="4" w:space="0"/>
          <w:right w:val="none" w:color="000000" w:sz="4" w:space="0"/>
        </w:tcBorders>
        <w:shd w:val="clear" w:color="ffffff" w:fill="auto"/>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val="clear" w:color="e1efd8" w:themeColor="accent6" w:themeTint="000034" w:fill="e1efd8" w:themeFill="accent6" w:themeFillTint="000034"/>
      </w:tcPr>
    </w:tblStylePr>
    <w:tblStylePr w:type="band1Horz">
      <w:rPr>
        <w:rFonts w:ascii="Arial" w:hAnsi="Arial"/>
        <w:color w:val="404040"/>
        <w:sz w:val="22"/>
      </w:rPr>
      <w:tblPr/>
      <w:tcPr>
        <w:shd w:val="clear" w:color="e1efd8" w:themeColor="accent6" w:themeTint="000034" w:fill="e1efd8" w:themeFill="accent6" w:themeFillTint="000034"/>
      </w:tcPr>
    </w:tblStylePr>
  </w:style>
  <w:style w:type="table" w:styleId="GridTable3">
    <w:name w:val="Grid Table 3"/>
    <w:basedOn w:val="TableNormal"/>
    <w:uiPriority w:val="99"/>
    <w:pPr>
      <w:spacing w:after="0" w:line="240" w:lineRule="auto"/>
    </w:pPr>
    <w:tblPr>
      <w:tblStyleRowBandSize w:val="1"/>
      <w:tblStyleColBandSize w:val="1"/>
      <w:tblBorders>
        <w:bottom w:val="single" w:color="6a6a6a" w:themeColor="text1" w:themeTint="000095" w:sz="4" w:space="0"/>
        <w:insideH w:val="single" w:color="6a6a6a" w:themeColor="text1" w:themeTint="000095" w:sz="4" w:space="0"/>
        <w:insideV w:val="single" w:color="6a6a6a" w:themeColor="text1" w:themeTint="000095" w:sz="4" w:space="0"/>
      </w:tblBorders>
    </w:tblPr>
    <w:tblStylePr w:type="firstRow">
      <w:rPr>
        <w:b w:val="1"/>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val="1"/>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val="1"/>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val="1"/>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cbcbcb" w:themeColor="text1" w:themeTint="000034" w:fill="cbcbcb" w:themeFill="text1" w:themeFillTint="000034"/>
      </w:tcPr>
    </w:tblStylePr>
    <w:tblStylePr w:type="band1Horz">
      <w:rPr>
        <w:rFonts w:ascii="Arial" w:hAnsi="Arial"/>
        <w:color w:val="404040"/>
        <w:sz w:val="22"/>
      </w:rPr>
      <w:tblPr/>
      <w:tcPr>
        <w:shd w:val="clear" w:color="cbcbcb" w:themeColor="text1" w:themeTint="000034" w:fill="cbcbcb" w:themeFill="text1" w:themeFillTint="0000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color="68a2d8" w:themeColor="accent1" w:themeTint="0000EA" w:sz="4" w:space="0"/>
        <w:insideH w:val="single" w:color="68a2d8" w:themeColor="accent1" w:themeTint="0000EA" w:sz="4" w:space="0"/>
        <w:insideV w:val="single" w:color="68a2d8" w:themeColor="accent1" w:themeTint="0000EA" w:sz="4" w:space="0"/>
      </w:tblBorders>
    </w:tblPr>
    <w:tblStylePr w:type="firstRow">
      <w:rPr>
        <w:b w:val="1"/>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val="1"/>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val="1"/>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val="1"/>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ddeaf6" w:themeColor="accent1" w:themeTint="000034" w:fill="ddeaf6" w:themeFill="accent1" w:themeFillTint="000034"/>
      </w:tcPr>
    </w:tblStylePr>
    <w:tblStylePr w:type="band1Horz">
      <w:rPr>
        <w:rFonts w:ascii="Arial" w:hAnsi="Arial"/>
        <w:color w:val="404040"/>
        <w:sz w:val="22"/>
      </w:rPr>
      <w:tblPr/>
      <w:tcPr>
        <w:shd w:val="clear" w:color="ddeaf6" w:themeColor="accent1" w:themeTint="000034" w:fill="ddeaf6" w:themeFill="accent1" w:themeFillTint="0000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color="f4b184" w:themeColor="accent2" w:themeTint="000097" w:sz="4" w:space="0"/>
        <w:insideH w:val="single" w:color="f4b184" w:themeColor="accent2" w:themeTint="000097" w:sz="4" w:space="0"/>
        <w:insideV w:val="single" w:color="f4b184" w:themeColor="accent2" w:themeTint="000097" w:sz="4" w:space="0"/>
      </w:tblBorders>
    </w:tblPr>
    <w:tblStylePr w:type="firstRow">
      <w:rPr>
        <w:b w:val="1"/>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val="1"/>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val="1"/>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val="1"/>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fbe5d6" w:themeColor="accent2" w:themeTint="000032" w:fill="fbe5d6" w:themeFill="accent2" w:themeFillTint="000032"/>
      </w:tcPr>
    </w:tblStylePr>
    <w:tblStylePr w:type="band1Horz">
      <w:rPr>
        <w:rFonts w:ascii="Arial" w:hAnsi="Arial"/>
        <w:color w:val="404040"/>
        <w:sz w:val="22"/>
      </w:rPr>
      <w:tblPr/>
      <w:tcPr>
        <w:shd w:val="clear" w:color="fbe5d6" w:themeColor="accent2" w:themeTint="000032" w:fill="fbe5d6" w:themeFill="accent2" w:themeFillTint="0000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color="a5a5a5" w:themeColor="accent3" w:themeTint="0000FE" w:sz="4" w:space="0"/>
        <w:insideH w:val="single" w:color="a5a5a5" w:themeColor="accent3" w:themeTint="0000FE" w:sz="4" w:space="0"/>
        <w:insideV w:val="single" w:color="a5a5a5" w:themeColor="accent3" w:themeTint="0000FE" w:sz="4" w:space="0"/>
      </w:tblBorders>
    </w:tblPr>
    <w:tblStylePr w:type="firstRow">
      <w:rPr>
        <w:b w:val="1"/>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val="1"/>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val="1"/>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val="1"/>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ececec" w:themeColor="accent3" w:themeTint="000034" w:fill="ececec" w:themeFill="accent3" w:themeFillTint="000034"/>
      </w:tcPr>
    </w:tblStylePr>
    <w:tblStylePr w:type="band1Horz">
      <w:rPr>
        <w:rFonts w:ascii="Arial" w:hAnsi="Arial"/>
        <w:color w:val="404040"/>
        <w:sz w:val="22"/>
      </w:rPr>
      <w:tblPr/>
      <w:tcPr>
        <w:shd w:val="clear" w:color="ececec" w:themeColor="accent3" w:themeTint="000034" w:fill="ececec" w:themeFill="accent3" w:themeFillTint="0000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color="ffd865" w:themeColor="accent4" w:themeTint="00009A" w:sz="4" w:space="0"/>
        <w:insideH w:val="single" w:color="ffd865" w:themeColor="accent4" w:themeTint="00009A" w:sz="4" w:space="0"/>
        <w:insideV w:val="single" w:color="ffd865" w:themeColor="accent4" w:themeTint="00009A" w:sz="4" w:space="0"/>
      </w:tblBorders>
    </w:tblPr>
    <w:tblStylePr w:type="firstRow">
      <w:rPr>
        <w:b w:val="1"/>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val="1"/>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val="1"/>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val="1"/>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fff2cb" w:themeColor="accent4" w:themeTint="000034" w:fill="fff2cb" w:themeFill="accent4" w:themeFillTint="000034"/>
      </w:tcPr>
    </w:tblStylePr>
    <w:tblStylePr w:type="band1Horz">
      <w:rPr>
        <w:rFonts w:ascii="Arial" w:hAnsi="Arial"/>
        <w:color w:val="404040"/>
        <w:sz w:val="22"/>
      </w:rPr>
      <w:tblPr/>
      <w:tcPr>
        <w:shd w:val="clear" w:color="fff2cb" w:themeColor="accent4" w:themeTint="000034" w:fill="fff2cb" w:themeFill="accent4" w:themeFillTint="0000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blStylePr w:type="firstRow">
      <w:rPr>
        <w:b w:val="1"/>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val="1"/>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val="1"/>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val="1"/>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d8e2f3" w:themeColor="accent5" w:themeTint="000034" w:fill="d8e2f3" w:themeFill="accent5" w:themeFillTint="000034"/>
      </w:tcPr>
    </w:tblStylePr>
    <w:tblStylePr w:type="band1Horz">
      <w:rPr>
        <w:rFonts w:ascii="Arial" w:hAnsi="Arial"/>
        <w:color w:val="404040"/>
        <w:sz w:val="22"/>
      </w:rPr>
      <w:tblPr/>
      <w:tcPr>
        <w:shd w:val="clear" w:color="d8e2f3" w:themeColor="accent5" w:themeTint="000034" w:fill="d8e2f3" w:themeFill="accent5" w:themeFillTint="0000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val="1"/>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val="1"/>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val="1"/>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val="1"/>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e1efd8" w:themeColor="accent6" w:themeTint="000034" w:fill="e1efd8" w:themeFill="accent6" w:themeFillTint="000034"/>
      </w:tcPr>
    </w:tblStylePr>
    <w:tblStylePr w:type="band1Horz">
      <w:rPr>
        <w:rFonts w:ascii="Arial" w:hAnsi="Arial"/>
        <w:color w:val="404040"/>
        <w:sz w:val="22"/>
      </w:rPr>
      <w:tblPr/>
      <w:tcPr>
        <w:shd w:val="clear" w:color="e1efd8" w:themeColor="accent6" w:themeTint="000034" w:fill="e1efd8" w:themeFill="accent6" w:themeFillTint="000034"/>
      </w:tcPr>
    </w:tblStylePr>
  </w:style>
  <w:style w:type="table" w:styleId="GridTable4">
    <w:name w:val="Grid Table 4"/>
    <w:basedOn w:val="TableNormal"/>
    <w:uiPriority w:val="59"/>
    <w:pPr>
      <w:spacing w:after="0" w:line="240" w:lineRule="auto"/>
    </w:pPr>
    <w:tblPr>
      <w:tblStyleRowBandSize w:val="1"/>
      <w:tblStyleColBandSize w:val="1"/>
      <w:tblBorders>
        <w:top w:val="single" w:color="6f6f6f" w:themeColor="text1" w:themeTint="000090" w:sz="4" w:space="0"/>
        <w:left w:val="single" w:color="6f6f6f" w:themeColor="text1" w:themeTint="000090" w:sz="4" w:space="0"/>
        <w:bottom w:val="single" w:color="6f6f6f" w:themeColor="text1" w:themeTint="000090" w:sz="4" w:space="0"/>
        <w:right w:val="single" w:color="6f6f6f" w:themeColor="text1" w:themeTint="000090" w:sz="4" w:space="0"/>
        <w:insideH w:val="single" w:color="6f6f6f" w:themeColor="text1" w:themeTint="000090" w:sz="4" w:space="0"/>
        <w:insideV w:val="single" w:color="6f6f6f" w:themeColor="text1" w:themeTint="000090" w:sz="4" w:space="0"/>
      </w:tblBorders>
    </w:tblPr>
    <w:tblStylePr w:type="firstRow">
      <w:rPr>
        <w:rFonts w:ascii="Arial" w:hAnsi="Arial"/>
        <w:b w:val="1"/>
        <w:color w:val="ffffff"/>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val="1"/>
        <w:color w:val="404040"/>
      </w:rPr>
      <w:tblPr/>
      <w:tcPr>
        <w:tcBorders>
          <w:top w:val="single" w:color="000000" w:themeColor="text1" w:sz="4" w:space="0"/>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val="clear" w:color="cbcbcb" w:themeColor="text1" w:themeTint="000034" w:fill="cbcbcb" w:themeFill="text1" w:themeFillTint="000034"/>
      </w:tcPr>
    </w:tblStylePr>
    <w:tblStylePr w:type="band1Horz">
      <w:rPr>
        <w:rFonts w:ascii="Arial" w:hAnsi="Arial"/>
        <w:color w:val="404040"/>
        <w:sz w:val="22"/>
      </w:rPr>
      <w:tblPr/>
      <w:tcPr>
        <w:shd w:val="clear" w:color="cbcbcb" w:themeColor="text1" w:themeTint="000034" w:fill="cbcbcb" w:themeFill="text1" w:themeFillTint="0000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color="a2c6e7" w:themeColor="accent1" w:themeTint="000090" w:sz="4" w:space="0"/>
        <w:left w:val="single" w:color="a2c6e7" w:themeColor="accent1" w:themeTint="000090" w:sz="4" w:space="0"/>
        <w:bottom w:val="single" w:color="a2c6e7" w:themeColor="accent1" w:themeTint="000090" w:sz="4" w:space="0"/>
        <w:right w:val="single" w:color="a2c6e7" w:themeColor="accent1" w:themeTint="000090" w:sz="4" w:space="0"/>
        <w:insideH w:val="single" w:color="a2c6e7" w:themeColor="accent1" w:themeTint="000090" w:sz="4" w:space="0"/>
        <w:insideV w:val="single" w:color="a2c6e7" w:themeColor="accent1" w:themeTint="000090" w:sz="4" w:space="0"/>
      </w:tblBorders>
    </w:tblPr>
    <w:tblStylePr w:type="firstRow">
      <w:rPr>
        <w:rFonts w:ascii="Arial" w:hAnsi="Arial"/>
        <w:b w:val="1"/>
        <w:color w:val="ffffff"/>
        <w:sz w:val="22"/>
      </w:rPr>
      <w:tblPr/>
      <w:tcPr>
        <w:tcBorders>
          <w:top w:val="single" w:color="68a2d8" w:themeColor="accent1" w:themeTint="0000EA" w:sz="4" w:space="0"/>
          <w:left w:val="single" w:color="68a2d8" w:themeColor="accent1" w:themeTint="0000EA" w:sz="4" w:space="0"/>
          <w:bottom w:val="single" w:color="68a2d8" w:themeColor="accent1" w:themeTint="0000EA" w:sz="4" w:space="0"/>
          <w:right w:val="single" w:color="68a2d8" w:themeColor="accent1" w:themeTint="0000EA" w:sz="4" w:space="0"/>
        </w:tcBorders>
        <w:shd w:val="clear" w:color="68a2d8" w:themeColor="accent1" w:themeTint="0000EA" w:fill="68a2d8" w:themeFill="accent1" w:themeFillTint="0000EA"/>
      </w:tcPr>
    </w:tblStylePr>
    <w:tblStylePr w:type="lastRow">
      <w:rPr>
        <w:b w:val="1"/>
        <w:color w:val="404040"/>
      </w:rPr>
      <w:tblPr/>
      <w:tcPr>
        <w:tcBorders>
          <w:top w:val="single" w:color="68a2d8" w:themeColor="accent1" w:themeTint="0000EA" w:sz="4" w:space="0"/>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val="clear" w:color="deebf6" w:themeColor="accent1" w:themeTint="000032" w:fill="deebf6" w:themeFill="accent1" w:themeFillTint="000032"/>
      </w:tcPr>
    </w:tblStylePr>
    <w:tblStylePr w:type="band1Horz">
      <w:rPr>
        <w:rFonts w:ascii="Arial" w:hAnsi="Arial"/>
        <w:color w:val="404040"/>
        <w:sz w:val="22"/>
      </w:rPr>
      <w:tblPr/>
      <w:tcPr>
        <w:shd w:val="clear" w:color="deebf6" w:themeColor="accent1" w:themeTint="000032" w:fill="deebf6" w:themeFill="accent1" w:themeFillTint="0000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color="f4b58a" w:themeColor="accent2" w:themeTint="000090" w:sz="4" w:space="0"/>
        <w:left w:val="single" w:color="f4b58a" w:themeColor="accent2" w:themeTint="000090" w:sz="4" w:space="0"/>
        <w:bottom w:val="single" w:color="f4b58a" w:themeColor="accent2" w:themeTint="000090" w:sz="4" w:space="0"/>
        <w:right w:val="single" w:color="f4b58a" w:themeColor="accent2" w:themeTint="000090" w:sz="4" w:space="0"/>
        <w:insideH w:val="single" w:color="f4b58a" w:themeColor="accent2" w:themeTint="000090" w:sz="4" w:space="0"/>
        <w:insideV w:val="single" w:color="f4b58a" w:themeColor="accent2" w:themeTint="000090" w:sz="4" w:space="0"/>
      </w:tblBorders>
    </w:tblPr>
    <w:tblStylePr w:type="firstRow">
      <w:rPr>
        <w:rFonts w:ascii="Arial" w:hAnsi="Arial"/>
        <w:b w:val="1"/>
        <w:color w:val="ffffff"/>
        <w:sz w:val="22"/>
      </w:rPr>
      <w:tblPr/>
      <w:tcPr>
        <w:tcBorders>
          <w:top w:val="single" w:color="f4b184" w:themeColor="accent2" w:themeTint="000097" w:sz="4" w:space="0"/>
          <w:left w:val="single" w:color="f4b184" w:themeColor="accent2" w:themeTint="000097" w:sz="4" w:space="0"/>
          <w:bottom w:val="single" w:color="f4b184" w:themeColor="accent2" w:themeTint="000097" w:sz="4" w:space="0"/>
          <w:right w:val="single" w:color="f4b184" w:themeColor="accent2" w:themeTint="000097" w:sz="4" w:space="0"/>
        </w:tcBorders>
        <w:shd w:val="clear" w:color="f4b184" w:themeColor="accent2" w:themeTint="000097" w:fill="f4b184" w:themeFill="accent2" w:themeFillTint="000097"/>
      </w:tcPr>
    </w:tblStylePr>
    <w:tblStylePr w:type="lastRow">
      <w:rPr>
        <w:b w:val="1"/>
        <w:color w:val="404040"/>
      </w:rPr>
      <w:tblPr/>
      <w:tcPr>
        <w:tcBorders>
          <w:top w:val="single" w:color="f4b184" w:themeColor="accent2" w:themeTint="000097" w:sz="4" w:space="0"/>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val="clear" w:color="fbe5d6" w:themeColor="accent2" w:themeTint="000032" w:fill="fbe5d6" w:themeFill="accent2" w:themeFillTint="000032"/>
      </w:tcPr>
    </w:tblStylePr>
    <w:tblStylePr w:type="band1Horz">
      <w:rPr>
        <w:rFonts w:ascii="Arial" w:hAnsi="Arial"/>
        <w:color w:val="404040"/>
        <w:sz w:val="22"/>
      </w:rPr>
      <w:tblPr/>
      <w:tcPr>
        <w:shd w:val="clear" w:color="fbe5d6" w:themeColor="accent2" w:themeTint="000032" w:fill="fbe5d6" w:themeFill="accent2" w:themeFillTint="0000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color="cccccc" w:themeColor="accent3" w:themeTint="000090" w:sz="4" w:space="0"/>
        <w:left w:val="single" w:color="cccccc" w:themeColor="accent3" w:themeTint="000090" w:sz="4" w:space="0"/>
        <w:bottom w:val="single" w:color="cccccc" w:themeColor="accent3" w:themeTint="000090" w:sz="4" w:space="0"/>
        <w:right w:val="single" w:color="cccccc" w:themeColor="accent3" w:themeTint="000090" w:sz="4" w:space="0"/>
        <w:insideH w:val="single" w:color="cccccc" w:themeColor="accent3" w:themeTint="000090" w:sz="4" w:space="0"/>
        <w:insideV w:val="single" w:color="cccccc" w:themeColor="accent3" w:themeTint="000090" w:sz="4" w:space="0"/>
      </w:tblBorders>
    </w:tblPr>
    <w:tblStylePr w:type="firstRow">
      <w:rPr>
        <w:rFonts w:ascii="Arial" w:hAnsi="Arial"/>
        <w:b w:val="1"/>
        <w:color w:val="ffffff"/>
        <w:sz w:val="22"/>
      </w:rPr>
      <w:tblPr/>
      <w:tcPr>
        <w:tcBorders>
          <w:top w:val="single" w:color="a5a5a5" w:themeColor="accent3" w:themeTint="0000FE" w:sz="4" w:space="0"/>
          <w:left w:val="single" w:color="a5a5a5" w:themeColor="accent3" w:themeTint="0000FE" w:sz="4" w:space="0"/>
          <w:bottom w:val="single" w:color="a5a5a5" w:themeColor="accent3" w:themeTint="0000FE" w:sz="4" w:space="0"/>
          <w:right w:val="single" w:color="a5a5a5" w:themeColor="accent3" w:themeTint="0000FE" w:sz="4" w:space="0"/>
        </w:tcBorders>
        <w:shd w:val="clear" w:color="a5a5a5" w:themeColor="accent3" w:themeTint="0000FE" w:fill="a5a5a5" w:themeFill="accent3" w:themeFillTint="0000FE"/>
      </w:tcPr>
    </w:tblStylePr>
    <w:tblStylePr w:type="lastRow">
      <w:rPr>
        <w:b w:val="1"/>
        <w:color w:val="404040"/>
      </w:rPr>
      <w:tblPr/>
      <w:tcPr>
        <w:tcBorders>
          <w:top w:val="single" w:color="a5a5a5" w:themeColor="accent3" w:themeTint="0000FE" w:sz="4" w:space="0"/>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val="clear" w:color="ececec" w:themeColor="accent3" w:themeTint="000034" w:fill="ececec" w:themeFill="accent3" w:themeFillTint="000034"/>
      </w:tcPr>
    </w:tblStylePr>
    <w:tblStylePr w:type="band1Horz">
      <w:rPr>
        <w:rFonts w:ascii="Arial" w:hAnsi="Arial"/>
        <w:color w:val="404040"/>
        <w:sz w:val="22"/>
      </w:rPr>
      <w:tblPr/>
      <w:tcPr>
        <w:shd w:val="clear" w:color="ececec" w:themeColor="accent3" w:themeTint="000034" w:fill="ececec" w:themeFill="accent3" w:themeFillTint="0000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color="ffdb6f" w:themeColor="accent4" w:themeTint="000090" w:sz="4" w:space="0"/>
        <w:left w:val="single" w:color="ffdb6f" w:themeColor="accent4" w:themeTint="000090" w:sz="4" w:space="0"/>
        <w:bottom w:val="single" w:color="ffdb6f" w:themeColor="accent4" w:themeTint="000090" w:sz="4" w:space="0"/>
        <w:right w:val="single" w:color="ffdb6f" w:themeColor="accent4" w:themeTint="000090" w:sz="4" w:space="0"/>
        <w:insideH w:val="single" w:color="ffdb6f" w:themeColor="accent4" w:themeTint="000090" w:sz="4" w:space="0"/>
        <w:insideV w:val="single" w:color="ffdb6f" w:themeColor="accent4" w:themeTint="000090" w:sz="4" w:space="0"/>
      </w:tblBorders>
    </w:tblPr>
    <w:tblStylePr w:type="firstRow">
      <w:rPr>
        <w:rFonts w:ascii="Arial" w:hAnsi="Arial"/>
        <w:b w:val="1"/>
        <w:color w:val="ffffff"/>
        <w:sz w:val="22"/>
      </w:rPr>
      <w:tblPr/>
      <w:tcPr>
        <w:tcBorders>
          <w:top w:val="single" w:color="ffd865" w:themeColor="accent4" w:themeTint="00009A" w:sz="4" w:space="0"/>
          <w:left w:val="single" w:color="ffd865" w:themeColor="accent4" w:themeTint="00009A" w:sz="4" w:space="0"/>
          <w:bottom w:val="single" w:color="ffd865" w:themeColor="accent4" w:themeTint="00009A" w:sz="4" w:space="0"/>
          <w:right w:val="single" w:color="ffd865" w:themeColor="accent4" w:themeTint="00009A" w:sz="4" w:space="0"/>
        </w:tcBorders>
        <w:shd w:val="clear" w:color="ffd865" w:themeColor="accent4" w:themeTint="00009A" w:fill="ffd865" w:themeFill="accent4" w:themeFillTint="00009A"/>
      </w:tcPr>
    </w:tblStylePr>
    <w:tblStylePr w:type="lastRow">
      <w:rPr>
        <w:b w:val="1"/>
        <w:color w:val="404040"/>
      </w:rPr>
      <w:tblPr/>
      <w:tcPr>
        <w:tcBorders>
          <w:top w:val="single" w:color="ffd865" w:themeColor="accent4" w:themeTint="00009A" w:sz="4" w:space="0"/>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val="clear" w:color="fff2cb" w:themeColor="accent4" w:themeTint="000034" w:fill="fff2cb" w:themeFill="accent4" w:themeFillTint="000034"/>
      </w:tcPr>
    </w:tblStylePr>
    <w:tblStylePr w:type="band1Horz">
      <w:rPr>
        <w:rFonts w:ascii="Arial" w:hAnsi="Arial"/>
        <w:color w:val="404040"/>
        <w:sz w:val="22"/>
      </w:rPr>
      <w:tblPr/>
      <w:tcPr>
        <w:shd w:val="clear" w:color="fff2cb" w:themeColor="accent4" w:themeTint="000034" w:fill="fff2cb" w:themeFill="accent4" w:themeFillTint="0000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color="95afdd" w:themeColor="accent5" w:themeTint="000090" w:sz="4" w:space="0"/>
        <w:left w:val="single" w:color="95afdd" w:themeColor="accent5" w:themeTint="000090" w:sz="4" w:space="0"/>
        <w:bottom w:val="single" w:color="95afdd" w:themeColor="accent5" w:themeTint="000090" w:sz="4" w:space="0"/>
        <w:right w:val="single" w:color="95afdd" w:themeColor="accent5" w:themeTint="000090" w:sz="4" w:space="0"/>
        <w:insideH w:val="single" w:color="95afdd" w:themeColor="accent5" w:themeTint="000090" w:sz="4" w:space="0"/>
        <w:insideV w:val="single" w:color="95afdd" w:themeColor="accent5" w:themeTint="000090" w:sz="4" w:space="0"/>
      </w:tblBorders>
    </w:tblPr>
    <w:tblStylePr w:type="firstRow">
      <w:rPr>
        <w:rFonts w:ascii="Arial" w:hAnsi="Arial"/>
        <w:b w:val="1"/>
        <w:color w:val="ffffff"/>
        <w:sz w:val="22"/>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val="1"/>
        <w:color w:val="404040"/>
      </w:rPr>
      <w:tblPr/>
      <w:tcPr>
        <w:tcBorders>
          <w:top w:val="single" w:color="4472c4" w:themeColor="accent5" w:sz="4" w:space="0"/>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val="clear" w:color="d8e2f3" w:themeColor="accent5" w:themeTint="000034" w:fill="d8e2f3" w:themeFill="accent5" w:themeFillTint="000034"/>
      </w:tcPr>
    </w:tblStylePr>
    <w:tblStylePr w:type="band1Horz">
      <w:rPr>
        <w:rFonts w:ascii="Arial" w:hAnsi="Arial"/>
        <w:color w:val="404040"/>
        <w:sz w:val="22"/>
      </w:rPr>
      <w:tblPr/>
      <w:tcPr>
        <w:shd w:val="clear" w:color="d8e2f3" w:themeColor="accent5" w:themeTint="000034" w:fill="d8e2f3" w:themeFill="accent5" w:themeFillTint="0000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color="add394" w:themeColor="accent6" w:themeTint="000090" w:sz="4" w:space="0"/>
        <w:left w:val="single" w:color="add394" w:themeColor="accent6" w:themeTint="000090" w:sz="4" w:space="0"/>
        <w:bottom w:val="single" w:color="add394" w:themeColor="accent6" w:themeTint="000090" w:sz="4" w:space="0"/>
        <w:right w:val="single" w:color="add394" w:themeColor="accent6" w:themeTint="000090" w:sz="4" w:space="0"/>
        <w:insideH w:val="single" w:color="add394" w:themeColor="accent6" w:themeTint="000090" w:sz="4" w:space="0"/>
        <w:insideV w:val="single" w:color="add394" w:themeColor="accent6" w:themeTint="000090" w:sz="4" w:space="0"/>
      </w:tblBorders>
    </w:tblPr>
    <w:tblStylePr w:type="firstRow">
      <w:rPr>
        <w:rFonts w:ascii="Arial" w:hAnsi="Arial"/>
        <w:b w:val="1"/>
        <w:color w:val="ffffff"/>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val="1"/>
        <w:color w:val="404040"/>
      </w:rPr>
      <w:tblPr/>
      <w:tcPr>
        <w:tcBorders>
          <w:top w:val="single" w:color="70ad47" w:themeColor="accent6" w:sz="4" w:space="0"/>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val="clear" w:color="e1efd8" w:themeColor="accent6" w:themeTint="000034" w:fill="e1efd8" w:themeFill="accent6" w:themeFillTint="000034"/>
      </w:tcPr>
    </w:tblStylePr>
    <w:tblStylePr w:type="band1Horz">
      <w:rPr>
        <w:rFonts w:ascii="Arial" w:hAnsi="Arial"/>
        <w:color w:val="404040"/>
        <w:sz w:val="22"/>
      </w:rPr>
      <w:tblPr/>
      <w:tcPr>
        <w:shd w:val="clear" w:color="e1efd8" w:themeColor="accent6" w:themeTint="000034" w:fill="e1efd8" w:themeFill="accent6" w:themeFillTint="0000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000040" w:fill="bfbfbf" w:themeFill="text1" w:themeFillTint="000040"/>
    </w:tblPr>
    <w:tblStylePr w:type="firstRow">
      <w:rPr>
        <w:rFonts w:ascii="Arial" w:hAnsi="Arial"/>
        <w:b w:val="1"/>
        <w:color w:val="ffffff"/>
        <w:sz w:val="22"/>
      </w:rPr>
      <w:tblPr/>
      <w:tcPr>
        <w:shd w:val="clear" w:color="000000" w:themeColor="text1" w:fill="000000" w:themeFill="text1"/>
      </w:tcPr>
    </w:tblStylePr>
    <w:tblStylePr w:type="lastRow">
      <w:rPr>
        <w:rFonts w:ascii="Arial" w:hAnsi="Arial"/>
        <w:b w:val="1"/>
        <w:color w:val="ffffff"/>
        <w:sz w:val="22"/>
      </w:rPr>
      <w:tblPr/>
      <w:tcPr>
        <w:tcBorders>
          <w:top w:val="single" w:color="ffffff" w:themeColor="light1" w:sz="4" w:space="0"/>
        </w:tcBorders>
        <w:shd w:val="clear" w:color="000000" w:themeColor="text1" w:fill="000000" w:themeFill="text1"/>
      </w:tcPr>
    </w:tblStylePr>
    <w:tblStylePr w:type="firstCol">
      <w:rPr>
        <w:rFonts w:ascii="Arial" w:hAnsi="Arial"/>
        <w:b w:val="1"/>
        <w:color w:val="ffffff"/>
        <w:sz w:val="22"/>
      </w:rPr>
      <w:tblPr/>
      <w:tcPr>
        <w:shd w:val="clear" w:color="000000" w:themeColor="text1" w:fill="000000" w:themeFill="text1"/>
      </w:tcPr>
    </w:tblStylePr>
    <w:tblStylePr w:type="lastCol">
      <w:rPr>
        <w:rFonts w:ascii="Arial" w:hAnsi="Arial"/>
        <w:b w:val="1"/>
        <w:color w:val="ffffff"/>
        <w:sz w:val="22"/>
      </w:rPr>
      <w:tblPr/>
      <w:tcPr>
        <w:shd w:val="clear" w:color="000000" w:themeColor="text1" w:fill="000000" w:themeFill="text1"/>
      </w:tcPr>
    </w:tblStylePr>
    <w:tblStylePr w:type="band1Vert">
      <w:tblPr/>
      <w:tcPr>
        <w:shd w:val="clear" w:color="8a8a8a" w:themeColor="text1" w:themeTint="000075" w:fill="8a8a8a" w:themeFill="text1" w:themeFillTint="000075"/>
      </w:tcPr>
    </w:tblStylePr>
    <w:tblStylePr w:type="band1Horz">
      <w:tblPr/>
      <w:tcPr>
        <w:shd w:val="clear" w:color="8a8a8a" w:themeColor="text1" w:themeTint="000075" w:fill="8a8a8a" w:themeFill="text1" w:themeFillTint="000075"/>
      </w:tcPr>
    </w:tblStylePr>
  </w:style>
  <w:style w:type="table" w:styleId="GridTable5Dark-Accent1" w:customStyle="1">
    <w:name w:val="Grid Table 5 Dark- Accent 1"/>
    <w:basedOn w:val="Table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000034" w:fill="ddeaf6" w:themeFill="accent1" w:themeFillTint="000034"/>
    </w:tblPr>
    <w:tblStylePr w:type="firstRow">
      <w:rPr>
        <w:rFonts w:ascii="Arial" w:hAnsi="Arial"/>
        <w:b w:val="1"/>
        <w:color w:val="ffffff"/>
        <w:sz w:val="22"/>
      </w:rPr>
      <w:tblPr/>
      <w:tcPr>
        <w:shd w:val="clear" w:color="5b9bd5" w:themeColor="accent1" w:fill="5b9bd5" w:themeFill="accent1"/>
      </w:tcPr>
    </w:tblStylePr>
    <w:tblStylePr w:type="lastRow">
      <w:rPr>
        <w:rFonts w:ascii="Arial" w:hAnsi="Arial"/>
        <w:b w:val="1"/>
        <w:color w:val="ffffff"/>
        <w:sz w:val="22"/>
      </w:rPr>
      <w:tblPr/>
      <w:tcPr>
        <w:tcBorders>
          <w:top w:val="single" w:color="ffffff" w:themeColor="light1" w:sz="4" w:space="0"/>
        </w:tcBorders>
        <w:shd w:val="clear" w:color="5b9bd5" w:themeColor="accent1" w:fill="5b9bd5" w:themeFill="accent1"/>
      </w:tcPr>
    </w:tblStylePr>
    <w:tblStylePr w:type="firstCol">
      <w:rPr>
        <w:rFonts w:ascii="Arial" w:hAnsi="Arial"/>
        <w:b w:val="1"/>
        <w:color w:val="ffffff"/>
        <w:sz w:val="22"/>
      </w:rPr>
      <w:tblPr/>
      <w:tcPr>
        <w:shd w:val="clear" w:color="5b9bd5" w:themeColor="accent1" w:fill="5b9bd5" w:themeFill="accent1"/>
      </w:tcPr>
    </w:tblStylePr>
    <w:tblStylePr w:type="lastCol">
      <w:rPr>
        <w:rFonts w:ascii="Arial" w:hAnsi="Arial"/>
        <w:b w:val="1"/>
        <w:color w:val="ffffff"/>
        <w:sz w:val="22"/>
      </w:rPr>
      <w:tblPr/>
      <w:tcPr>
        <w:shd w:val="clear" w:color="5b9bd5" w:themeColor="accent1" w:fill="5b9bd5" w:themeFill="accent1"/>
      </w:tcPr>
    </w:tblStylePr>
    <w:tblStylePr w:type="band1Vert">
      <w:tblPr/>
      <w:tcPr>
        <w:shd w:val="clear" w:color="b3d0eb" w:themeColor="accent1" w:themeTint="000075" w:fill="b3d0eb" w:themeFill="accent1" w:themeFillTint="000075"/>
      </w:tcPr>
    </w:tblStylePr>
    <w:tblStylePr w:type="band1Horz">
      <w:tblPr/>
      <w:tcPr>
        <w:shd w:val="clear" w:color="b3d0eb" w:themeColor="accent1" w:themeTint="000075" w:fill="b3d0eb" w:themeFill="accent1" w:themeFillTint="0000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000032" w:fill="fbe5d6" w:themeFill="accent2" w:themeFillTint="000032"/>
    </w:tblPr>
    <w:tblStylePr w:type="firstRow">
      <w:rPr>
        <w:rFonts w:ascii="Arial" w:hAnsi="Arial"/>
        <w:b w:val="1"/>
        <w:color w:val="ffffff"/>
        <w:sz w:val="22"/>
      </w:rPr>
      <w:tblPr/>
      <w:tcPr>
        <w:shd w:val="clear" w:color="ed7d31" w:themeColor="accent2" w:fill="ed7d31" w:themeFill="accent2"/>
      </w:tcPr>
    </w:tblStylePr>
    <w:tblStylePr w:type="lastRow">
      <w:rPr>
        <w:rFonts w:ascii="Arial" w:hAnsi="Arial"/>
        <w:b w:val="1"/>
        <w:color w:val="ffffff"/>
        <w:sz w:val="22"/>
      </w:rPr>
      <w:tblPr/>
      <w:tcPr>
        <w:tcBorders>
          <w:top w:val="single" w:color="ffffff" w:themeColor="light1" w:sz="4" w:space="0"/>
        </w:tcBorders>
        <w:shd w:val="clear" w:color="ed7d31" w:themeColor="accent2" w:fill="ed7d31" w:themeFill="accent2"/>
      </w:tcPr>
    </w:tblStylePr>
    <w:tblStylePr w:type="firstCol">
      <w:rPr>
        <w:rFonts w:ascii="Arial" w:hAnsi="Arial"/>
        <w:b w:val="1"/>
        <w:color w:val="ffffff"/>
        <w:sz w:val="22"/>
      </w:rPr>
      <w:tblPr/>
      <w:tcPr>
        <w:shd w:val="clear" w:color="ed7d31" w:themeColor="accent2" w:fill="ed7d31" w:themeFill="accent2"/>
      </w:tcPr>
    </w:tblStylePr>
    <w:tblStylePr w:type="lastCol">
      <w:rPr>
        <w:rFonts w:ascii="Arial" w:hAnsi="Arial"/>
        <w:b w:val="1"/>
        <w:color w:val="ffffff"/>
        <w:sz w:val="22"/>
      </w:rPr>
      <w:tblPr/>
      <w:tcPr>
        <w:shd w:val="clear" w:color="ed7d31" w:themeColor="accent2" w:fill="ed7d31" w:themeFill="accent2"/>
      </w:tcPr>
    </w:tblStylePr>
    <w:tblStylePr w:type="band1Vert">
      <w:tblPr/>
      <w:tcPr>
        <w:shd w:val="clear" w:color="f6c3a0" w:themeColor="accent2" w:themeTint="000075" w:fill="f6c3a0" w:themeFill="accent2" w:themeFillTint="000075"/>
      </w:tcPr>
    </w:tblStylePr>
    <w:tblStylePr w:type="band1Horz">
      <w:tblPr/>
      <w:tcPr>
        <w:shd w:val="clear" w:color="f6c3a0" w:themeColor="accent2" w:themeTint="000075" w:fill="f6c3a0" w:themeFill="accent2" w:themeFillTint="0000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000034" w:fill="ececec" w:themeFill="accent3" w:themeFillTint="000034"/>
    </w:tblPr>
    <w:tblStylePr w:type="firstRow">
      <w:rPr>
        <w:rFonts w:ascii="Arial" w:hAnsi="Arial"/>
        <w:b w:val="1"/>
        <w:color w:val="ffffff"/>
        <w:sz w:val="22"/>
      </w:rPr>
      <w:tblPr/>
      <w:tcPr>
        <w:shd w:val="clear" w:color="a5a5a5" w:themeColor="accent3" w:fill="a5a5a5" w:themeFill="accent3"/>
      </w:tcPr>
    </w:tblStylePr>
    <w:tblStylePr w:type="lastRow">
      <w:rPr>
        <w:rFonts w:ascii="Arial" w:hAnsi="Arial"/>
        <w:b w:val="1"/>
        <w:color w:val="ffffff"/>
        <w:sz w:val="22"/>
      </w:rPr>
      <w:tblPr/>
      <w:tcPr>
        <w:tcBorders>
          <w:top w:val="single" w:color="ffffff" w:themeColor="light1" w:sz="4" w:space="0"/>
        </w:tcBorders>
        <w:shd w:val="clear" w:color="a5a5a5" w:themeColor="accent3" w:fill="a5a5a5" w:themeFill="accent3"/>
      </w:tcPr>
    </w:tblStylePr>
    <w:tblStylePr w:type="firstCol">
      <w:rPr>
        <w:rFonts w:ascii="Arial" w:hAnsi="Arial"/>
        <w:b w:val="1"/>
        <w:color w:val="ffffff"/>
        <w:sz w:val="22"/>
      </w:rPr>
      <w:tblPr/>
      <w:tcPr>
        <w:shd w:val="clear" w:color="a5a5a5" w:themeColor="accent3" w:fill="a5a5a5" w:themeFill="accent3"/>
      </w:tcPr>
    </w:tblStylePr>
    <w:tblStylePr w:type="lastCol">
      <w:rPr>
        <w:rFonts w:ascii="Arial" w:hAnsi="Arial"/>
        <w:b w:val="1"/>
        <w:color w:val="ffffff"/>
        <w:sz w:val="22"/>
      </w:rPr>
      <w:tblPr/>
      <w:tcPr>
        <w:shd w:val="clear" w:color="a5a5a5" w:themeColor="accent3" w:fill="a5a5a5" w:themeFill="accent3"/>
      </w:tcPr>
    </w:tblStylePr>
    <w:tblStylePr w:type="band1Vert">
      <w:tblPr/>
      <w:tcPr>
        <w:shd w:val="clear" w:color="d5d5d5" w:themeColor="accent3" w:themeTint="000075" w:fill="d5d5d5" w:themeFill="accent3" w:themeFillTint="000075"/>
      </w:tcPr>
    </w:tblStylePr>
    <w:tblStylePr w:type="band1Horz">
      <w:tblPr/>
      <w:tcPr>
        <w:shd w:val="clear" w:color="d5d5d5" w:themeColor="accent3" w:themeTint="000075" w:fill="d5d5d5" w:themeFill="accent3" w:themeFillTint="000075"/>
      </w:tcPr>
    </w:tblStylePr>
  </w:style>
  <w:style w:type="table" w:styleId="GridTable5Dark-Accent4" w:customStyle="1">
    <w:name w:val="Grid Table 5 Dark- Accent 4"/>
    <w:basedOn w:val="Table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000034" w:fill="fff2cb" w:themeFill="accent4" w:themeFillTint="000034"/>
    </w:tblPr>
    <w:tblStylePr w:type="firstRow">
      <w:rPr>
        <w:rFonts w:ascii="Arial" w:hAnsi="Arial"/>
        <w:b w:val="1"/>
        <w:color w:val="ffffff"/>
        <w:sz w:val="22"/>
      </w:rPr>
      <w:tblPr/>
      <w:tcPr>
        <w:shd w:val="clear" w:color="ffc000" w:themeColor="accent4" w:fill="ffc000" w:themeFill="accent4"/>
      </w:tcPr>
    </w:tblStylePr>
    <w:tblStylePr w:type="lastRow">
      <w:rPr>
        <w:rFonts w:ascii="Arial" w:hAnsi="Arial"/>
        <w:b w:val="1"/>
        <w:color w:val="ffffff"/>
        <w:sz w:val="22"/>
      </w:rPr>
      <w:tblPr/>
      <w:tcPr>
        <w:tcBorders>
          <w:top w:val="single" w:color="ffffff" w:themeColor="light1" w:sz="4" w:space="0"/>
        </w:tcBorders>
        <w:shd w:val="clear" w:color="ffc000" w:themeColor="accent4" w:fill="ffc000" w:themeFill="accent4"/>
      </w:tcPr>
    </w:tblStylePr>
    <w:tblStylePr w:type="firstCol">
      <w:rPr>
        <w:rFonts w:ascii="Arial" w:hAnsi="Arial"/>
        <w:b w:val="1"/>
        <w:color w:val="ffffff"/>
        <w:sz w:val="22"/>
      </w:rPr>
      <w:tblPr/>
      <w:tcPr>
        <w:shd w:val="clear" w:color="ffc000" w:themeColor="accent4" w:fill="ffc000" w:themeFill="accent4"/>
      </w:tcPr>
    </w:tblStylePr>
    <w:tblStylePr w:type="lastCol">
      <w:rPr>
        <w:rFonts w:ascii="Arial" w:hAnsi="Arial"/>
        <w:b w:val="1"/>
        <w:color w:val="ffffff"/>
        <w:sz w:val="22"/>
      </w:rPr>
      <w:tblPr/>
      <w:tcPr>
        <w:shd w:val="clear" w:color="ffc000" w:themeColor="accent4" w:fill="ffc000" w:themeFill="accent4"/>
      </w:tcPr>
    </w:tblStylePr>
    <w:tblStylePr w:type="band1Vert">
      <w:tblPr/>
      <w:tcPr>
        <w:shd w:val="clear" w:color="ffe28a" w:themeColor="accent4" w:themeTint="000075" w:fill="ffe28a" w:themeFill="accent4" w:themeFillTint="000075"/>
      </w:tcPr>
    </w:tblStylePr>
    <w:tblStylePr w:type="band1Horz">
      <w:tblPr/>
      <w:tcPr>
        <w:shd w:val="clear" w:color="ffe28a" w:themeColor="accent4" w:themeTint="000075" w:fill="ffe28a" w:themeFill="accent4" w:themeFillTint="0000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000034" w:fill="d8e2f3" w:themeFill="accent5" w:themeFillTint="000034"/>
    </w:tblPr>
    <w:tblStylePr w:type="firstRow">
      <w:rPr>
        <w:rFonts w:ascii="Arial" w:hAnsi="Arial"/>
        <w:b w:val="1"/>
        <w:color w:val="ffffff"/>
        <w:sz w:val="22"/>
      </w:rPr>
      <w:tblPr/>
      <w:tcPr>
        <w:shd w:val="clear" w:color="4472c4" w:themeColor="accent5" w:fill="4472c4" w:themeFill="accent5"/>
      </w:tcPr>
    </w:tblStylePr>
    <w:tblStylePr w:type="lastRow">
      <w:rPr>
        <w:rFonts w:ascii="Arial" w:hAnsi="Arial"/>
        <w:b w:val="1"/>
        <w:color w:val="ffffff"/>
        <w:sz w:val="22"/>
      </w:rPr>
      <w:tblPr/>
      <w:tcPr>
        <w:tcBorders>
          <w:top w:val="single" w:color="ffffff" w:themeColor="light1" w:sz="4" w:space="0"/>
        </w:tcBorders>
        <w:shd w:val="clear" w:color="4472c4" w:themeColor="accent5" w:fill="4472c4" w:themeFill="accent5"/>
      </w:tcPr>
    </w:tblStylePr>
    <w:tblStylePr w:type="firstCol">
      <w:rPr>
        <w:rFonts w:ascii="Arial" w:hAnsi="Arial"/>
        <w:b w:val="1"/>
        <w:color w:val="ffffff"/>
        <w:sz w:val="22"/>
      </w:rPr>
      <w:tblPr/>
      <w:tcPr>
        <w:shd w:val="clear" w:color="4472c4" w:themeColor="accent5" w:fill="4472c4" w:themeFill="accent5"/>
      </w:tcPr>
    </w:tblStylePr>
    <w:tblStylePr w:type="lastCol">
      <w:rPr>
        <w:rFonts w:ascii="Arial" w:hAnsi="Arial"/>
        <w:b w:val="1"/>
        <w:color w:val="ffffff"/>
        <w:sz w:val="22"/>
      </w:rPr>
      <w:tblPr/>
      <w:tcPr>
        <w:shd w:val="clear" w:color="4472c4" w:themeColor="accent5" w:fill="4472c4" w:themeFill="accent5"/>
      </w:tcPr>
    </w:tblStylePr>
    <w:tblStylePr w:type="band1Vert">
      <w:tblPr/>
      <w:tcPr>
        <w:shd w:val="clear" w:color="a9bee4" w:themeColor="accent5" w:themeTint="000075" w:fill="a9bee4" w:themeFill="accent5" w:themeFillTint="000075"/>
      </w:tcPr>
    </w:tblStylePr>
    <w:tblStylePr w:type="band1Horz">
      <w:tblPr/>
      <w:tcPr>
        <w:shd w:val="clear" w:color="a9bee4" w:themeColor="accent5" w:themeTint="000075" w:fill="a9bee4" w:themeFill="accent5" w:themeFillTint="0000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000034" w:fill="e1efd8" w:themeFill="accent6" w:themeFillTint="000034"/>
    </w:tblPr>
    <w:tblStylePr w:type="firstRow">
      <w:rPr>
        <w:rFonts w:ascii="Arial" w:hAnsi="Arial"/>
        <w:b w:val="1"/>
        <w:color w:val="ffffff"/>
        <w:sz w:val="22"/>
      </w:rPr>
      <w:tblPr/>
      <w:tcPr>
        <w:shd w:val="clear" w:color="70ad47" w:themeColor="accent6" w:fill="70ad47" w:themeFill="accent6"/>
      </w:tcPr>
    </w:tblStylePr>
    <w:tblStylePr w:type="lastRow">
      <w:rPr>
        <w:rFonts w:ascii="Arial" w:hAnsi="Arial"/>
        <w:b w:val="1"/>
        <w:color w:val="ffffff"/>
        <w:sz w:val="22"/>
      </w:rPr>
      <w:tblPr/>
      <w:tcPr>
        <w:tcBorders>
          <w:top w:val="single" w:color="ffffff" w:themeColor="light1" w:sz="4" w:space="0"/>
        </w:tcBorders>
        <w:shd w:val="clear" w:color="70ad47" w:themeColor="accent6" w:fill="70ad47" w:themeFill="accent6"/>
      </w:tcPr>
    </w:tblStylePr>
    <w:tblStylePr w:type="firstCol">
      <w:rPr>
        <w:rFonts w:ascii="Arial" w:hAnsi="Arial"/>
        <w:b w:val="1"/>
        <w:color w:val="ffffff"/>
        <w:sz w:val="22"/>
      </w:rPr>
      <w:tblPr/>
      <w:tcPr>
        <w:shd w:val="clear" w:color="70ad47" w:themeColor="accent6" w:fill="70ad47" w:themeFill="accent6"/>
      </w:tcPr>
    </w:tblStylePr>
    <w:tblStylePr w:type="lastCol">
      <w:rPr>
        <w:rFonts w:ascii="Arial" w:hAnsi="Arial"/>
        <w:b w:val="1"/>
        <w:color w:val="ffffff"/>
        <w:sz w:val="22"/>
      </w:rPr>
      <w:tblPr/>
      <w:tcPr>
        <w:shd w:val="clear" w:color="70ad47" w:themeColor="accent6" w:fill="70ad47" w:themeFill="accent6"/>
      </w:tcPr>
    </w:tblStylePr>
    <w:tblStylePr w:type="band1Vert">
      <w:tblPr/>
      <w:tcPr>
        <w:shd w:val="clear" w:color="bcdba8" w:themeColor="accent6" w:themeTint="000075" w:fill="bcdba8" w:themeFill="accent6" w:themeFillTint="000075"/>
      </w:tcPr>
    </w:tblStylePr>
    <w:tblStylePr w:type="band1Horz">
      <w:tblPr/>
      <w:tcPr>
        <w:shd w:val="clear" w:color="bcdba8" w:themeColor="accent6" w:themeTint="000075" w:fill="bcdba8" w:themeFill="accent6" w:themeFillTint="0000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color="7f7f7f" w:themeColor="text1" w:themeTint="000080" w:sz="4" w:space="0"/>
        <w:left w:val="single" w:color="7f7f7f" w:themeColor="text1" w:themeTint="000080" w:sz="4" w:space="0"/>
        <w:bottom w:val="single" w:color="7f7f7f" w:themeColor="text1" w:themeTint="000080" w:sz="4" w:space="0"/>
        <w:right w:val="single" w:color="7f7f7f" w:themeColor="text1" w:themeTint="000080" w:sz="4" w:space="0"/>
        <w:insideH w:val="single" w:color="7f7f7f" w:themeColor="text1" w:themeTint="000080" w:sz="4" w:space="0"/>
        <w:insideV w:val="single" w:color="7f7f7f" w:themeColor="text1" w:themeTint="000080" w:sz="4" w:space="0"/>
      </w:tblBorders>
    </w:tblPr>
    <w:tblStylePr w:type="firstRow">
      <w:rPr>
        <w:b w:val="1"/>
        <w:color w:val="7f7f7f" w:themeColor="text1" w:themeTint="000080" w:themeShade="000095"/>
      </w:rPr>
      <w:tblPr/>
      <w:tcPr>
        <w:tcBorders>
          <w:bottom w:val="single" w:color="7f7f7f" w:themeColor="text1" w:themeTint="000080" w:sz="12" w:space="0"/>
        </w:tcBorders>
      </w:tcPr>
    </w:tblStylePr>
    <w:tblStylePr w:type="lastRow">
      <w:rPr>
        <w:b w:val="1"/>
        <w:color w:val="7f7f7f" w:themeColor="text1" w:themeTint="000080" w:themeShade="000095"/>
      </w:rPr>
    </w:tblStylePr>
    <w:tblStylePr w:type="firstCol">
      <w:rPr>
        <w:b w:val="1"/>
        <w:color w:val="7f7f7f" w:themeColor="text1" w:themeTint="000080" w:themeShade="000095"/>
      </w:rPr>
    </w:tblStylePr>
    <w:tblStylePr w:type="lastCol">
      <w:rPr>
        <w:b w:val="1"/>
        <w:color w:val="7f7f7f" w:themeColor="text1" w:themeTint="000080" w:themeShade="000095"/>
      </w:rPr>
    </w:tblStylePr>
    <w:tblStylePr w:type="band1Vert">
      <w:tblPr/>
      <w:tcPr>
        <w:shd w:val="clear" w:color="cbcbcb" w:themeColor="text1" w:themeTint="000034" w:fill="cbcbcb" w:themeFill="text1" w:themeFillTint="000034"/>
      </w:tcPr>
    </w:tblStylePr>
    <w:tblStylePr w:type="band1Horz">
      <w:rPr>
        <w:rFonts w:ascii="Arial" w:hAnsi="Arial"/>
        <w:color w:val="7f7f7f" w:themeColor="text1" w:themeTint="000080" w:themeShade="000095"/>
        <w:sz w:val="22"/>
      </w:rPr>
      <w:tblPr/>
      <w:tcPr>
        <w:shd w:val="clear" w:color="cbcbcb" w:themeColor="text1" w:themeTint="000034" w:fill="cbcbcb" w:themeFill="text1" w:themeFillTint="000034"/>
      </w:tcPr>
    </w:tblStylePr>
    <w:tblStylePr w:type="band2Horz">
      <w:rPr>
        <w:rFonts w:ascii="Arial" w:hAnsi="Arial"/>
        <w:color w:val="7f7f7f" w:themeColor="text1" w:themeTint="000080" w:themeShade="0000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color="acccea" w:themeColor="accent1" w:themeTint="000080" w:sz="4" w:space="0"/>
        <w:left w:val="single" w:color="acccea" w:themeColor="accent1" w:themeTint="000080" w:sz="4" w:space="0"/>
        <w:bottom w:val="single" w:color="acccea" w:themeColor="accent1" w:themeTint="000080" w:sz="4" w:space="0"/>
        <w:right w:val="single" w:color="acccea" w:themeColor="accent1" w:themeTint="000080" w:sz="4" w:space="0"/>
        <w:insideH w:val="single" w:color="acccea" w:themeColor="accent1" w:themeTint="000080" w:sz="4" w:space="0"/>
        <w:insideV w:val="single" w:color="acccea" w:themeColor="accent1" w:themeTint="000080" w:sz="4" w:space="0"/>
      </w:tblBorders>
    </w:tblPr>
    <w:tblStylePr w:type="firstRow">
      <w:rPr>
        <w:b w:val="1"/>
        <w:color w:val="acccea" w:themeColor="accent1" w:themeTint="000080" w:themeShade="000095"/>
      </w:rPr>
      <w:tblPr/>
      <w:tcPr>
        <w:tcBorders>
          <w:bottom w:val="single" w:color="acccea" w:themeColor="accent1" w:themeTint="000080" w:sz="12" w:space="0"/>
        </w:tcBorders>
      </w:tcPr>
    </w:tblStylePr>
    <w:tblStylePr w:type="lastRow">
      <w:rPr>
        <w:b w:val="1"/>
        <w:color w:val="acccea" w:themeColor="accent1" w:themeTint="000080" w:themeShade="000095"/>
      </w:rPr>
    </w:tblStylePr>
    <w:tblStylePr w:type="firstCol">
      <w:rPr>
        <w:b w:val="1"/>
        <w:color w:val="acccea" w:themeColor="accent1" w:themeTint="000080" w:themeShade="000095"/>
      </w:rPr>
    </w:tblStylePr>
    <w:tblStylePr w:type="lastCol">
      <w:rPr>
        <w:b w:val="1"/>
        <w:color w:val="acccea" w:themeColor="accent1" w:themeTint="000080" w:themeShade="000095"/>
      </w:rPr>
    </w:tblStylePr>
    <w:tblStylePr w:type="band1Vert">
      <w:tblPr/>
      <w:tcPr>
        <w:shd w:val="clear" w:color="ddeaf6" w:themeColor="accent1" w:themeTint="000034" w:fill="ddeaf6" w:themeFill="accent1" w:themeFillTint="000034"/>
      </w:tcPr>
    </w:tblStylePr>
    <w:tblStylePr w:type="band1Horz">
      <w:rPr>
        <w:rFonts w:ascii="Arial" w:hAnsi="Arial"/>
        <w:color w:val="acccea" w:themeColor="accent1" w:themeTint="000080" w:themeShade="000095"/>
        <w:sz w:val="22"/>
      </w:rPr>
      <w:tblPr/>
      <w:tcPr>
        <w:shd w:val="clear" w:color="ddeaf6" w:themeColor="accent1" w:themeTint="000034" w:fill="ddeaf6" w:themeFill="accent1" w:themeFillTint="000034"/>
      </w:tcPr>
    </w:tblStylePr>
    <w:tblStylePr w:type="band2Horz">
      <w:rPr>
        <w:rFonts w:ascii="Arial" w:hAnsi="Arial"/>
        <w:color w:val="acccea" w:themeColor="accent1" w:themeTint="000080" w:themeShade="0000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color="f4b184" w:themeColor="accent2" w:themeTint="000097" w:sz="4" w:space="0"/>
        <w:left w:val="single" w:color="f4b184" w:themeColor="accent2" w:themeTint="000097" w:sz="4" w:space="0"/>
        <w:bottom w:val="single" w:color="f4b184" w:themeColor="accent2" w:themeTint="000097" w:sz="4" w:space="0"/>
        <w:right w:val="single" w:color="f4b184" w:themeColor="accent2" w:themeTint="000097" w:sz="4" w:space="0"/>
        <w:insideH w:val="single" w:color="f4b184" w:themeColor="accent2" w:themeTint="000097" w:sz="4" w:space="0"/>
        <w:insideV w:val="single" w:color="f4b184" w:themeColor="accent2" w:themeTint="000097" w:sz="4" w:space="0"/>
      </w:tblBorders>
    </w:tblPr>
    <w:tblStylePr w:type="firstRow">
      <w:rPr>
        <w:b w:val="1"/>
        <w:color w:val="f4b184" w:themeColor="accent2" w:themeTint="000097" w:themeShade="000095"/>
      </w:rPr>
      <w:tblPr/>
      <w:tcPr>
        <w:tcBorders>
          <w:bottom w:val="single" w:color="f4b184" w:themeColor="accent2" w:themeTint="000097" w:sz="12" w:space="0"/>
        </w:tcBorders>
      </w:tcPr>
    </w:tblStylePr>
    <w:tblStylePr w:type="lastRow">
      <w:rPr>
        <w:b w:val="1"/>
        <w:color w:val="f4b184" w:themeColor="accent2" w:themeTint="000097" w:themeShade="000095"/>
      </w:rPr>
    </w:tblStylePr>
    <w:tblStylePr w:type="firstCol">
      <w:rPr>
        <w:b w:val="1"/>
        <w:color w:val="f4b184" w:themeColor="accent2" w:themeTint="000097" w:themeShade="000095"/>
      </w:rPr>
    </w:tblStylePr>
    <w:tblStylePr w:type="lastCol">
      <w:rPr>
        <w:b w:val="1"/>
        <w:color w:val="f4b184" w:themeColor="accent2" w:themeTint="000097" w:themeShade="000095"/>
      </w:rPr>
    </w:tblStylePr>
    <w:tblStylePr w:type="band1Vert">
      <w:tblPr/>
      <w:tcPr>
        <w:shd w:val="clear" w:color="fbe5d6" w:themeColor="accent2" w:themeTint="000032" w:fill="fbe5d6" w:themeFill="accent2" w:themeFillTint="000032"/>
      </w:tcPr>
    </w:tblStylePr>
    <w:tblStylePr w:type="band1Horz">
      <w:rPr>
        <w:rFonts w:ascii="Arial" w:hAnsi="Arial"/>
        <w:color w:val="f4b184" w:themeColor="accent2" w:themeTint="000097" w:themeShade="000095"/>
        <w:sz w:val="22"/>
      </w:rPr>
      <w:tblPr/>
      <w:tcPr>
        <w:shd w:val="clear" w:color="fbe5d6" w:themeColor="accent2" w:themeTint="000032" w:fill="fbe5d6" w:themeFill="accent2" w:themeFillTint="000032"/>
      </w:tcPr>
    </w:tblStylePr>
    <w:tblStylePr w:type="band2Horz">
      <w:rPr>
        <w:rFonts w:ascii="Arial" w:hAnsi="Arial"/>
        <w:color w:val="f4b184" w:themeColor="accent2" w:themeTint="000097" w:themeShade="0000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color="a5a5a5" w:themeColor="accent3" w:themeTint="0000FE" w:sz="4" w:space="0"/>
        <w:left w:val="single" w:color="a5a5a5" w:themeColor="accent3" w:themeTint="0000FE" w:sz="4" w:space="0"/>
        <w:bottom w:val="single" w:color="a5a5a5" w:themeColor="accent3" w:themeTint="0000FE" w:sz="4" w:space="0"/>
        <w:right w:val="single" w:color="a5a5a5" w:themeColor="accent3" w:themeTint="0000FE" w:sz="4" w:space="0"/>
        <w:insideH w:val="single" w:color="a5a5a5" w:themeColor="accent3" w:themeTint="0000FE" w:sz="4" w:space="0"/>
        <w:insideV w:val="single" w:color="a5a5a5" w:themeColor="accent3" w:themeTint="0000FE" w:sz="4" w:space="0"/>
      </w:tblBorders>
    </w:tblPr>
    <w:tblStylePr w:type="firstRow">
      <w:rPr>
        <w:b w:val="1"/>
        <w:color w:val="a5a5a5" w:themeColor="accent3" w:themeTint="0000FE" w:themeShade="000095"/>
      </w:rPr>
      <w:tblPr/>
      <w:tcPr>
        <w:tcBorders>
          <w:bottom w:val="single" w:color="a5a5a5" w:themeColor="accent3" w:themeTint="0000FE" w:sz="12" w:space="0"/>
        </w:tcBorders>
      </w:tcPr>
    </w:tblStylePr>
    <w:tblStylePr w:type="lastRow">
      <w:rPr>
        <w:b w:val="1"/>
        <w:color w:val="a5a5a5" w:themeColor="accent3" w:themeTint="0000FE" w:themeShade="000095"/>
      </w:rPr>
    </w:tblStylePr>
    <w:tblStylePr w:type="firstCol">
      <w:rPr>
        <w:b w:val="1"/>
        <w:color w:val="a5a5a5" w:themeColor="accent3" w:themeTint="0000FE" w:themeShade="000095"/>
      </w:rPr>
    </w:tblStylePr>
    <w:tblStylePr w:type="lastCol">
      <w:rPr>
        <w:b w:val="1"/>
        <w:color w:val="a5a5a5" w:themeColor="accent3" w:themeTint="0000FE" w:themeShade="000095"/>
      </w:rPr>
    </w:tblStylePr>
    <w:tblStylePr w:type="band1Vert">
      <w:tblPr/>
      <w:tcPr>
        <w:shd w:val="clear" w:color="ececec" w:themeColor="accent3" w:themeTint="000034" w:fill="ececec" w:themeFill="accent3" w:themeFillTint="000034"/>
      </w:tcPr>
    </w:tblStylePr>
    <w:tblStylePr w:type="band1Horz">
      <w:rPr>
        <w:rFonts w:ascii="Arial" w:hAnsi="Arial"/>
        <w:color w:val="a5a5a5" w:themeColor="accent3" w:themeTint="0000FE" w:themeShade="000095"/>
        <w:sz w:val="22"/>
      </w:rPr>
      <w:tblPr/>
      <w:tcPr>
        <w:shd w:val="clear" w:color="ececec" w:themeColor="accent3" w:themeTint="000034" w:fill="ececec" w:themeFill="accent3" w:themeFillTint="000034"/>
      </w:tcPr>
    </w:tblStylePr>
    <w:tblStylePr w:type="band2Horz">
      <w:rPr>
        <w:rFonts w:ascii="Arial" w:hAnsi="Arial"/>
        <w:color w:val="a5a5a5" w:themeColor="accent3" w:themeTint="0000FE" w:themeShade="0000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color="ffd865" w:themeColor="accent4" w:themeTint="00009A" w:sz="4" w:space="0"/>
        <w:left w:val="single" w:color="ffd865" w:themeColor="accent4" w:themeTint="00009A" w:sz="4" w:space="0"/>
        <w:bottom w:val="single" w:color="ffd865" w:themeColor="accent4" w:themeTint="00009A" w:sz="4" w:space="0"/>
        <w:right w:val="single" w:color="ffd865" w:themeColor="accent4" w:themeTint="00009A" w:sz="4" w:space="0"/>
        <w:insideH w:val="single" w:color="ffd865" w:themeColor="accent4" w:themeTint="00009A" w:sz="4" w:space="0"/>
        <w:insideV w:val="single" w:color="ffd865" w:themeColor="accent4" w:themeTint="00009A" w:sz="4" w:space="0"/>
      </w:tblBorders>
    </w:tblPr>
    <w:tblStylePr w:type="firstRow">
      <w:rPr>
        <w:b w:val="1"/>
        <w:color w:val="ffd865" w:themeColor="accent4" w:themeTint="00009A" w:themeShade="000095"/>
      </w:rPr>
      <w:tblPr/>
      <w:tcPr>
        <w:tcBorders>
          <w:bottom w:val="single" w:color="ffd865" w:themeColor="accent4" w:themeTint="00009A" w:sz="12" w:space="0"/>
        </w:tcBorders>
      </w:tcPr>
    </w:tblStylePr>
    <w:tblStylePr w:type="lastRow">
      <w:rPr>
        <w:b w:val="1"/>
        <w:color w:val="ffd865" w:themeColor="accent4" w:themeTint="00009A" w:themeShade="000095"/>
      </w:rPr>
    </w:tblStylePr>
    <w:tblStylePr w:type="firstCol">
      <w:rPr>
        <w:b w:val="1"/>
        <w:color w:val="ffd865" w:themeColor="accent4" w:themeTint="00009A" w:themeShade="000095"/>
      </w:rPr>
    </w:tblStylePr>
    <w:tblStylePr w:type="lastCol">
      <w:rPr>
        <w:b w:val="1"/>
        <w:color w:val="ffd865" w:themeColor="accent4" w:themeTint="00009A" w:themeShade="000095"/>
      </w:rPr>
    </w:tblStylePr>
    <w:tblStylePr w:type="band1Vert">
      <w:tblPr/>
      <w:tcPr>
        <w:shd w:val="clear" w:color="fff2cb" w:themeColor="accent4" w:themeTint="000034" w:fill="fff2cb" w:themeFill="accent4" w:themeFillTint="000034"/>
      </w:tcPr>
    </w:tblStylePr>
    <w:tblStylePr w:type="band1Horz">
      <w:rPr>
        <w:rFonts w:ascii="Arial" w:hAnsi="Arial"/>
        <w:color w:val="ffd865" w:themeColor="accent4" w:themeTint="00009A" w:themeShade="000095"/>
        <w:sz w:val="22"/>
      </w:rPr>
      <w:tblPr/>
      <w:tcPr>
        <w:shd w:val="clear" w:color="fff2cb" w:themeColor="accent4" w:themeTint="000034" w:fill="fff2cb" w:themeFill="accent4" w:themeFillTint="000034"/>
      </w:tcPr>
    </w:tblStylePr>
    <w:tblStylePr w:type="band2Horz">
      <w:rPr>
        <w:rFonts w:ascii="Arial" w:hAnsi="Arial"/>
        <w:color w:val="ffd865" w:themeColor="accent4" w:themeTint="00009A" w:themeShade="0000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val="1"/>
        <w:color w:val="254175" w:themeColor="accent5" w:themeShade="000095"/>
      </w:rPr>
      <w:tblPr/>
      <w:tcPr>
        <w:tcBorders>
          <w:bottom w:val="single" w:color="4472c4" w:themeColor="accent5" w:sz="12" w:space="0"/>
        </w:tcBorders>
      </w:tcPr>
    </w:tblStylePr>
    <w:tblStylePr w:type="lastRow">
      <w:rPr>
        <w:b w:val="1"/>
        <w:color w:val="254175" w:themeColor="accent5" w:themeShade="000095"/>
      </w:rPr>
    </w:tblStylePr>
    <w:tblStylePr w:type="firstCol">
      <w:rPr>
        <w:b w:val="1"/>
        <w:color w:val="254175" w:themeColor="accent5" w:themeShade="000095"/>
      </w:rPr>
    </w:tblStylePr>
    <w:tblStylePr w:type="lastCol">
      <w:rPr>
        <w:b w:val="1"/>
        <w:color w:val="254175" w:themeColor="accent5" w:themeShade="000095"/>
      </w:rPr>
    </w:tblStylePr>
    <w:tblStylePr w:type="band1Vert">
      <w:tblPr/>
      <w:tcPr>
        <w:shd w:val="clear" w:color="d8e2f3" w:themeColor="accent5" w:themeTint="000034" w:fill="d8e2f3" w:themeFill="accent5" w:themeFillTint="000034"/>
      </w:tcPr>
    </w:tblStylePr>
    <w:tblStylePr w:type="band1Horz">
      <w:rPr>
        <w:rFonts w:ascii="Arial" w:hAnsi="Arial"/>
        <w:color w:val="254175" w:themeColor="accent5" w:themeShade="000095"/>
        <w:sz w:val="22"/>
      </w:rPr>
      <w:tblPr/>
      <w:tcPr>
        <w:shd w:val="clear" w:color="d8e2f3" w:themeColor="accent5" w:themeTint="000034" w:fill="d8e2f3" w:themeFill="accent5" w:themeFillTint="000034"/>
      </w:tcPr>
    </w:tblStylePr>
    <w:tblStylePr w:type="band2Horz">
      <w:rPr>
        <w:rFonts w:ascii="Arial" w:hAnsi="Arial"/>
        <w:color w:val="254175" w:themeColor="accent5" w:themeShade="0000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val="1"/>
        <w:color w:val="254175" w:themeColor="accent5" w:themeShade="000095"/>
      </w:rPr>
      <w:tblPr/>
      <w:tcPr>
        <w:tcBorders>
          <w:bottom w:val="single" w:color="70ad47" w:themeColor="accent6" w:sz="12" w:space="0"/>
        </w:tcBorders>
      </w:tcPr>
    </w:tblStylePr>
    <w:tblStylePr w:type="lastRow">
      <w:rPr>
        <w:b w:val="1"/>
        <w:color w:val="254175" w:themeColor="accent5" w:themeShade="000095"/>
      </w:rPr>
    </w:tblStylePr>
    <w:tblStylePr w:type="firstCol">
      <w:rPr>
        <w:b w:val="1"/>
        <w:color w:val="254175" w:themeColor="accent5" w:themeShade="000095"/>
      </w:rPr>
    </w:tblStylePr>
    <w:tblStylePr w:type="lastCol">
      <w:rPr>
        <w:b w:val="1"/>
        <w:color w:val="254175" w:themeColor="accent5" w:themeShade="000095"/>
      </w:rPr>
    </w:tblStylePr>
    <w:tblStylePr w:type="band1Vert">
      <w:tblPr/>
      <w:tcPr>
        <w:shd w:val="clear" w:color="e1efd8" w:themeColor="accent6" w:themeTint="000034" w:fill="e1efd8" w:themeFill="accent6" w:themeFillTint="000034"/>
      </w:tcPr>
    </w:tblStylePr>
    <w:tblStylePr w:type="band1Horz">
      <w:rPr>
        <w:rFonts w:ascii="Arial" w:hAnsi="Arial"/>
        <w:color w:val="254175" w:themeColor="accent5" w:themeShade="000095"/>
        <w:sz w:val="22"/>
      </w:rPr>
      <w:tblPr/>
      <w:tcPr>
        <w:shd w:val="clear" w:color="e1efd8" w:themeColor="accent6" w:themeTint="000034" w:fill="e1efd8" w:themeFill="accent6" w:themeFillTint="000034"/>
      </w:tcPr>
    </w:tblStylePr>
    <w:tblStylePr w:type="band2Horz">
      <w:rPr>
        <w:rFonts w:ascii="Arial" w:hAnsi="Arial"/>
        <w:color w:val="254175" w:themeColor="accent5" w:themeShade="0000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color="7f7f7f" w:themeColor="text1" w:themeTint="000080" w:sz="4" w:space="0"/>
        <w:right w:val="single" w:color="7f7f7f" w:themeColor="text1" w:themeTint="000080" w:sz="4" w:space="0"/>
        <w:insideH w:val="single" w:color="7f7f7f" w:themeColor="text1" w:themeTint="000080" w:sz="4" w:space="0"/>
        <w:insideV w:val="single" w:color="7f7f7f" w:themeColor="text1" w:themeTint="000080" w:sz="4" w:space="0"/>
      </w:tblBorders>
    </w:tblPr>
    <w:tblStylePr w:type="firstRow">
      <w:rPr>
        <w:rFonts w:ascii="Arial" w:hAnsi="Arial"/>
        <w:b w:val="1"/>
        <w:color w:val="7f7f7f" w:themeColor="text1" w:themeTint="000080" w:themeShade="000095"/>
        <w:sz w:val="22"/>
      </w:rPr>
      <w:tblPr/>
      <w:tcPr>
        <w:tcBorders>
          <w:top w:val="none" w:color="000000" w:sz="4" w:space="0"/>
          <w:left w:val="none" w:color="000000" w:sz="4" w:space="0"/>
          <w:bottom w:val="single" w:color="7f7f7f" w:themeColor="text1" w:themeTint="000080" w:sz="4" w:space="0"/>
          <w:right w:val="none" w:color="000000" w:sz="4" w:space="0"/>
        </w:tcBorders>
        <w:shd w:val="clear" w:color="ffffff" w:themeColor="light1" w:fill="ffffff" w:themeFill="light1"/>
      </w:tcPr>
    </w:tblStylePr>
    <w:tblStylePr w:type="lastRow">
      <w:rPr>
        <w:rFonts w:ascii="Arial" w:hAnsi="Arial"/>
        <w:b w:val="1"/>
        <w:color w:val="7f7f7f" w:themeColor="text1" w:themeTint="000080" w:themeShade="000095"/>
        <w:sz w:val="22"/>
      </w:rPr>
      <w:tblPr/>
      <w:tcPr>
        <w:tcBorders>
          <w:top w:val="single" w:color="7f7f7f" w:themeColor="text1" w:themeTint="00008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val="1"/>
        <w:color w:val="7f7f7f" w:themeColor="text1" w:themeTint="000080" w:themeShade="000095"/>
        <w:sz w:val="22"/>
      </w:rPr>
      <w:tblPr/>
      <w:tcPr>
        <w:tcBorders>
          <w:top w:val="none" w:color="000000" w:sz="4" w:space="0"/>
          <w:left w:val="none" w:color="000000" w:sz="4" w:space="0"/>
          <w:bottom w:val="none" w:color="000000" w:sz="4" w:space="0"/>
          <w:right w:val="single" w:color="7f7f7f" w:themeColor="text1" w:themeTint="000080" w:sz="4" w:space="0"/>
        </w:tcBorders>
        <w:shd w:val="clear" w:color="ffffff" w:fill="auto"/>
      </w:tcPr>
    </w:tblStylePr>
    <w:tblStylePr w:type="lastCol">
      <w:rPr>
        <w:rFonts w:ascii="Arial" w:hAnsi="Arial"/>
        <w:i w:val="1"/>
        <w:color w:val="7f7f7f" w:themeColor="text1" w:themeTint="000080" w:themeShade="000095"/>
        <w:sz w:val="22"/>
      </w:rPr>
      <w:tblPr/>
      <w:tcPr>
        <w:tcBorders>
          <w:top w:val="none" w:color="000000" w:sz="4" w:space="0"/>
          <w:left w:val="single" w:color="7f7f7f" w:themeColor="text1" w:themeTint="000080" w:sz="4" w:space="0"/>
          <w:bottom w:val="none" w:color="000000" w:sz="4" w:space="0"/>
          <w:right w:val="none" w:color="000000" w:sz="4" w:space="0"/>
        </w:tcBorders>
        <w:shd w:val="clear" w:color="ffffff" w:fill="auto"/>
      </w:tcPr>
    </w:tblStylePr>
    <w:tblStylePr w:type="band1Vert">
      <w:tblPr/>
      <w:tcPr>
        <w:shd w:val="clear" w:color="f2f2f2" w:themeColor="text1" w:themeTint="00000D" w:fill="f2f2f2" w:themeFill="text1" w:themeFillTint="00000D"/>
      </w:tcPr>
    </w:tblStylePr>
    <w:tblStylePr w:type="band1Horz">
      <w:rPr>
        <w:rFonts w:ascii="Arial" w:hAnsi="Arial"/>
        <w:color w:val="7f7f7f" w:themeColor="text1" w:themeTint="000080" w:themeShade="000095"/>
        <w:sz w:val="22"/>
      </w:rPr>
      <w:tblPr/>
      <w:tcPr>
        <w:shd w:val="clear" w:color="f2f2f2" w:themeColor="text1" w:themeTint="00000D" w:fill="f2f2f2" w:themeFill="text1" w:themeFillTint="00000D"/>
      </w:tcPr>
    </w:tblStylePr>
    <w:tblStylePr w:type="band2Horz">
      <w:rPr>
        <w:rFonts w:ascii="Arial" w:hAnsi="Arial"/>
        <w:color w:val="7f7f7f" w:themeColor="text1" w:themeTint="000080" w:themeShade="0000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color="acccea" w:themeColor="accent1" w:themeTint="000080" w:sz="4" w:space="0"/>
        <w:right w:val="single" w:color="acccea" w:themeColor="accent1" w:themeTint="000080" w:sz="4" w:space="0"/>
        <w:insideH w:val="single" w:color="acccea" w:themeColor="accent1" w:themeTint="000080" w:sz="4" w:space="0"/>
        <w:insideV w:val="single" w:color="acccea" w:themeColor="accent1" w:themeTint="000080" w:sz="4" w:space="0"/>
      </w:tblBorders>
    </w:tblPr>
    <w:tblStylePr w:type="firstRow">
      <w:rPr>
        <w:rFonts w:ascii="Arial" w:hAnsi="Arial"/>
        <w:b w:val="1"/>
        <w:color w:val="acccea" w:themeColor="accent1" w:themeTint="000080" w:themeShade="000095"/>
        <w:sz w:val="22"/>
      </w:rPr>
      <w:tblPr/>
      <w:tcPr>
        <w:tcBorders>
          <w:top w:val="none" w:color="000000" w:sz="4" w:space="0"/>
          <w:left w:val="none" w:color="000000" w:sz="4" w:space="0"/>
          <w:bottom w:val="single" w:color="acccea" w:themeColor="accent1" w:themeTint="000080" w:sz="4" w:space="0"/>
          <w:right w:val="none" w:color="000000" w:sz="4" w:space="0"/>
        </w:tcBorders>
        <w:shd w:val="clear" w:color="ffffff" w:themeColor="light1" w:fill="ffffff" w:themeFill="light1"/>
      </w:tcPr>
    </w:tblStylePr>
    <w:tblStylePr w:type="lastRow">
      <w:rPr>
        <w:rFonts w:ascii="Arial" w:hAnsi="Arial"/>
        <w:b w:val="1"/>
        <w:color w:val="acccea" w:themeColor="accent1" w:themeTint="000080" w:themeShade="000095"/>
        <w:sz w:val="22"/>
      </w:rPr>
      <w:tblPr/>
      <w:tcPr>
        <w:tcBorders>
          <w:top w:val="single" w:color="acccea" w:themeColor="accent1" w:themeTint="00008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val="1"/>
        <w:color w:val="acccea" w:themeColor="accent1" w:themeTint="000080" w:themeShade="000095"/>
        <w:sz w:val="22"/>
      </w:rPr>
      <w:tblPr/>
      <w:tcPr>
        <w:tcBorders>
          <w:top w:val="none" w:color="000000" w:sz="4" w:space="0"/>
          <w:left w:val="none" w:color="000000" w:sz="4" w:space="0"/>
          <w:bottom w:val="none" w:color="000000" w:sz="4" w:space="0"/>
          <w:right w:val="single" w:color="acccea" w:themeColor="accent1" w:themeTint="000080" w:sz="4" w:space="0"/>
        </w:tcBorders>
        <w:shd w:val="clear" w:color="ffffff" w:fill="auto"/>
      </w:tcPr>
    </w:tblStylePr>
    <w:tblStylePr w:type="lastCol">
      <w:rPr>
        <w:rFonts w:ascii="Arial" w:hAnsi="Arial"/>
        <w:i w:val="1"/>
        <w:color w:val="acccea" w:themeColor="accent1" w:themeTint="000080" w:themeShade="000095"/>
        <w:sz w:val="22"/>
      </w:rPr>
      <w:tblPr/>
      <w:tcPr>
        <w:tcBorders>
          <w:top w:val="none" w:color="000000" w:sz="4" w:space="0"/>
          <w:left w:val="single" w:color="acccea" w:themeColor="accent1" w:themeTint="000080" w:sz="4" w:space="0"/>
          <w:bottom w:val="none" w:color="000000" w:sz="4" w:space="0"/>
          <w:right w:val="none" w:color="000000" w:sz="4" w:space="0"/>
        </w:tcBorders>
        <w:shd w:val="clear" w:color="ffffff" w:fill="auto"/>
      </w:tcPr>
    </w:tblStylePr>
    <w:tblStylePr w:type="band1Vert">
      <w:tblPr/>
      <w:tcPr>
        <w:shd w:val="clear" w:color="ddeaf6" w:themeColor="accent1" w:themeTint="000034" w:fill="ddeaf6" w:themeFill="accent1" w:themeFillTint="000034"/>
      </w:tcPr>
    </w:tblStylePr>
    <w:tblStylePr w:type="band1Horz">
      <w:rPr>
        <w:rFonts w:ascii="Arial" w:hAnsi="Arial"/>
        <w:color w:val="acccea" w:themeColor="accent1" w:themeTint="000080" w:themeShade="000095"/>
        <w:sz w:val="22"/>
      </w:rPr>
      <w:tblPr/>
      <w:tcPr>
        <w:shd w:val="clear" w:color="ddeaf6" w:themeColor="accent1" w:themeTint="000034" w:fill="ddeaf6" w:themeFill="accent1" w:themeFillTint="000034"/>
      </w:tcPr>
    </w:tblStylePr>
    <w:tblStylePr w:type="band2Horz">
      <w:rPr>
        <w:rFonts w:ascii="Arial" w:hAnsi="Arial"/>
        <w:color w:val="acccea" w:themeColor="accent1" w:themeTint="000080" w:themeShade="0000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color="f4b184" w:themeColor="accent2" w:themeTint="000097" w:sz="4" w:space="0"/>
        <w:right w:val="single" w:color="f4b184" w:themeColor="accent2" w:themeTint="000097" w:sz="4" w:space="0"/>
        <w:insideH w:val="single" w:color="f4b184" w:themeColor="accent2" w:themeTint="000097" w:sz="4" w:space="0"/>
        <w:insideV w:val="single" w:color="f4b184" w:themeColor="accent2" w:themeTint="000097" w:sz="4" w:space="0"/>
      </w:tblBorders>
    </w:tblPr>
    <w:tblStylePr w:type="firstRow">
      <w:rPr>
        <w:rFonts w:ascii="Arial" w:hAnsi="Arial"/>
        <w:b w:val="1"/>
        <w:color w:val="f4b184" w:themeColor="accent2" w:themeTint="000097" w:themeShade="000095"/>
        <w:sz w:val="22"/>
      </w:rPr>
      <w:tblPr/>
      <w:tcPr>
        <w:tcBorders>
          <w:top w:val="none" w:color="000000" w:sz="4" w:space="0"/>
          <w:left w:val="none" w:color="000000" w:sz="4" w:space="0"/>
          <w:bottom w:val="single" w:color="f4b184" w:themeColor="accent2" w:themeTint="000097" w:sz="4" w:space="0"/>
          <w:right w:val="none" w:color="000000" w:sz="4" w:space="0"/>
        </w:tcBorders>
        <w:shd w:val="clear" w:color="ffffff" w:themeColor="light1" w:fill="ffffff" w:themeFill="light1"/>
      </w:tcPr>
    </w:tblStylePr>
    <w:tblStylePr w:type="lastRow">
      <w:rPr>
        <w:rFonts w:ascii="Arial" w:hAnsi="Arial"/>
        <w:b w:val="1"/>
        <w:color w:val="f4b184" w:themeColor="accent2" w:themeTint="000097" w:themeShade="000095"/>
        <w:sz w:val="22"/>
      </w:rPr>
      <w:tblPr/>
      <w:tcPr>
        <w:tcBorders>
          <w:top w:val="single" w:color="f4b184" w:themeColor="accent2" w:themeTint="000097"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val="1"/>
        <w:color w:val="f4b184" w:themeColor="accent2" w:themeTint="000097" w:themeShade="000095"/>
        <w:sz w:val="22"/>
      </w:rPr>
      <w:tblPr/>
      <w:tcPr>
        <w:tcBorders>
          <w:top w:val="none" w:color="000000" w:sz="4" w:space="0"/>
          <w:left w:val="none" w:color="000000" w:sz="4" w:space="0"/>
          <w:bottom w:val="none" w:color="000000" w:sz="4" w:space="0"/>
          <w:right w:val="single" w:color="f4b184" w:themeColor="accent2" w:themeTint="000097" w:sz="4" w:space="0"/>
        </w:tcBorders>
        <w:shd w:val="clear" w:color="ffffff" w:fill="auto"/>
      </w:tcPr>
    </w:tblStylePr>
    <w:tblStylePr w:type="lastCol">
      <w:rPr>
        <w:rFonts w:ascii="Arial" w:hAnsi="Arial"/>
        <w:i w:val="1"/>
        <w:color w:val="f4b184" w:themeColor="accent2" w:themeTint="000097" w:themeShade="000095"/>
        <w:sz w:val="22"/>
      </w:rPr>
      <w:tblPr/>
      <w:tcPr>
        <w:tcBorders>
          <w:top w:val="none" w:color="000000" w:sz="4" w:space="0"/>
          <w:left w:val="single" w:color="f4b184" w:themeColor="accent2" w:themeTint="000097" w:sz="4" w:space="0"/>
          <w:bottom w:val="none" w:color="000000" w:sz="4" w:space="0"/>
          <w:right w:val="none" w:color="000000" w:sz="4" w:space="0"/>
        </w:tcBorders>
        <w:shd w:val="clear" w:color="ffffff" w:fill="auto"/>
      </w:tcPr>
    </w:tblStylePr>
    <w:tblStylePr w:type="band1Vert">
      <w:tblPr/>
      <w:tcPr>
        <w:shd w:val="clear" w:color="fbe5d6" w:themeColor="accent2" w:themeTint="000032" w:fill="fbe5d6" w:themeFill="accent2" w:themeFillTint="000032"/>
      </w:tcPr>
    </w:tblStylePr>
    <w:tblStylePr w:type="band1Horz">
      <w:rPr>
        <w:rFonts w:ascii="Arial" w:hAnsi="Arial"/>
        <w:color w:val="f4b184" w:themeColor="accent2" w:themeTint="000097" w:themeShade="000095"/>
        <w:sz w:val="22"/>
      </w:rPr>
      <w:tblPr/>
      <w:tcPr>
        <w:shd w:val="clear" w:color="fbe5d6" w:themeColor="accent2" w:themeTint="000032" w:fill="fbe5d6" w:themeFill="accent2" w:themeFillTint="000032"/>
      </w:tcPr>
    </w:tblStylePr>
    <w:tblStylePr w:type="band2Horz">
      <w:rPr>
        <w:rFonts w:ascii="Arial" w:hAnsi="Arial"/>
        <w:color w:val="f4b184" w:themeColor="accent2" w:themeTint="000097" w:themeShade="0000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color="a5a5a5" w:themeColor="accent3" w:themeTint="0000FE" w:sz="4" w:space="0"/>
        <w:right w:val="single" w:color="a5a5a5" w:themeColor="accent3" w:themeTint="0000FE" w:sz="4" w:space="0"/>
        <w:insideH w:val="single" w:color="a5a5a5" w:themeColor="accent3" w:themeTint="0000FE" w:sz="4" w:space="0"/>
        <w:insideV w:val="single" w:color="a5a5a5" w:themeColor="accent3" w:themeTint="0000FE" w:sz="4" w:space="0"/>
      </w:tblBorders>
    </w:tblPr>
    <w:tblStylePr w:type="firstRow">
      <w:rPr>
        <w:rFonts w:ascii="Arial" w:hAnsi="Arial"/>
        <w:b w:val="1"/>
        <w:color w:val="a5a5a5" w:themeColor="accent3" w:themeTint="0000FE" w:themeShade="000095"/>
        <w:sz w:val="22"/>
      </w:rPr>
      <w:tblPr/>
      <w:tcPr>
        <w:tcBorders>
          <w:top w:val="none" w:color="000000" w:sz="4" w:space="0"/>
          <w:left w:val="none" w:color="000000" w:sz="4" w:space="0"/>
          <w:bottom w:val="single" w:color="a5a5a5" w:themeColor="accent3" w:themeTint="0000FE" w:sz="4" w:space="0"/>
          <w:right w:val="none" w:color="000000" w:sz="4" w:space="0"/>
        </w:tcBorders>
        <w:shd w:val="clear" w:color="ffffff" w:themeColor="light1" w:fill="ffffff" w:themeFill="light1"/>
      </w:tcPr>
    </w:tblStylePr>
    <w:tblStylePr w:type="lastRow">
      <w:rPr>
        <w:rFonts w:ascii="Arial" w:hAnsi="Arial"/>
        <w:b w:val="1"/>
        <w:color w:val="a5a5a5" w:themeColor="accent3" w:themeTint="0000FE" w:themeShade="000095"/>
        <w:sz w:val="22"/>
      </w:rPr>
      <w:tblPr/>
      <w:tcPr>
        <w:tcBorders>
          <w:top w:val="single" w:color="a5a5a5" w:themeColor="accent3" w:themeTint="0000FE"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val="1"/>
        <w:color w:val="a5a5a5" w:themeColor="accent3" w:themeTint="0000FE" w:themeShade="000095"/>
        <w:sz w:val="22"/>
      </w:rPr>
      <w:tblPr/>
      <w:tcPr>
        <w:tcBorders>
          <w:top w:val="none" w:color="000000" w:sz="4" w:space="0"/>
          <w:left w:val="none" w:color="000000" w:sz="4" w:space="0"/>
          <w:bottom w:val="none" w:color="000000" w:sz="4" w:space="0"/>
          <w:right w:val="single" w:color="a5a5a5" w:themeColor="accent3" w:themeTint="0000FE" w:sz="4" w:space="0"/>
        </w:tcBorders>
        <w:shd w:val="clear" w:color="ffffff" w:fill="auto"/>
      </w:tcPr>
    </w:tblStylePr>
    <w:tblStylePr w:type="lastCol">
      <w:rPr>
        <w:rFonts w:ascii="Arial" w:hAnsi="Arial"/>
        <w:i w:val="1"/>
        <w:color w:val="a5a5a5" w:themeColor="accent3" w:themeTint="0000FE" w:themeShade="000095"/>
        <w:sz w:val="22"/>
      </w:rPr>
      <w:tblPr/>
      <w:tcPr>
        <w:tcBorders>
          <w:top w:val="none" w:color="000000" w:sz="4" w:space="0"/>
          <w:left w:val="single" w:color="a5a5a5" w:themeColor="accent3" w:themeTint="0000FE" w:sz="4" w:space="0"/>
          <w:bottom w:val="none" w:color="000000" w:sz="4" w:space="0"/>
          <w:right w:val="none" w:color="000000" w:sz="4" w:space="0"/>
        </w:tcBorders>
        <w:shd w:val="clear" w:color="ffffff" w:fill="auto"/>
      </w:tcPr>
    </w:tblStylePr>
    <w:tblStylePr w:type="band1Vert">
      <w:tblPr/>
      <w:tcPr>
        <w:shd w:val="clear" w:color="ececec" w:themeColor="accent3" w:themeTint="000034" w:fill="ececec" w:themeFill="accent3" w:themeFillTint="000034"/>
      </w:tcPr>
    </w:tblStylePr>
    <w:tblStylePr w:type="band1Horz">
      <w:rPr>
        <w:rFonts w:ascii="Arial" w:hAnsi="Arial"/>
        <w:color w:val="a5a5a5" w:themeColor="accent3" w:themeTint="0000FE" w:themeShade="000095"/>
        <w:sz w:val="22"/>
      </w:rPr>
      <w:tblPr/>
      <w:tcPr>
        <w:shd w:val="clear" w:color="ececec" w:themeColor="accent3" w:themeTint="000034" w:fill="ececec" w:themeFill="accent3" w:themeFillTint="000034"/>
      </w:tcPr>
    </w:tblStylePr>
    <w:tblStylePr w:type="band2Horz">
      <w:rPr>
        <w:rFonts w:ascii="Arial" w:hAnsi="Arial"/>
        <w:color w:val="a5a5a5" w:themeColor="accent3" w:themeTint="0000FE" w:themeShade="0000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color="ffd865" w:themeColor="accent4" w:themeTint="00009A" w:sz="4" w:space="0"/>
        <w:right w:val="single" w:color="ffd865" w:themeColor="accent4" w:themeTint="00009A" w:sz="4" w:space="0"/>
        <w:insideH w:val="single" w:color="ffd865" w:themeColor="accent4" w:themeTint="00009A" w:sz="4" w:space="0"/>
        <w:insideV w:val="single" w:color="ffd865" w:themeColor="accent4" w:themeTint="00009A" w:sz="4" w:space="0"/>
      </w:tblBorders>
    </w:tblPr>
    <w:tblStylePr w:type="firstRow">
      <w:rPr>
        <w:rFonts w:ascii="Arial" w:hAnsi="Arial"/>
        <w:b w:val="1"/>
        <w:color w:val="ffd865" w:themeColor="accent4" w:themeTint="00009A" w:themeShade="000095"/>
        <w:sz w:val="22"/>
      </w:rPr>
      <w:tblPr/>
      <w:tcPr>
        <w:tcBorders>
          <w:top w:val="none" w:color="000000" w:sz="4" w:space="0"/>
          <w:left w:val="none" w:color="000000" w:sz="4" w:space="0"/>
          <w:bottom w:val="single" w:color="ffd865" w:themeColor="accent4" w:themeTint="00009A" w:sz="4" w:space="0"/>
          <w:right w:val="none" w:color="000000" w:sz="4" w:space="0"/>
        </w:tcBorders>
        <w:shd w:val="clear" w:color="ffffff" w:themeColor="light1" w:fill="ffffff" w:themeFill="light1"/>
      </w:tcPr>
    </w:tblStylePr>
    <w:tblStylePr w:type="lastRow">
      <w:rPr>
        <w:rFonts w:ascii="Arial" w:hAnsi="Arial"/>
        <w:b w:val="1"/>
        <w:color w:val="ffd865" w:themeColor="accent4" w:themeTint="00009A" w:themeShade="000095"/>
        <w:sz w:val="22"/>
      </w:rPr>
      <w:tblPr/>
      <w:tcPr>
        <w:tcBorders>
          <w:top w:val="single" w:color="ffd865" w:themeColor="accent4" w:themeTint="00009A"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val="1"/>
        <w:color w:val="ffd865" w:themeColor="accent4" w:themeTint="00009A" w:themeShade="000095"/>
        <w:sz w:val="22"/>
      </w:rPr>
      <w:tblPr/>
      <w:tcPr>
        <w:tcBorders>
          <w:top w:val="none" w:color="000000" w:sz="4" w:space="0"/>
          <w:left w:val="none" w:color="000000" w:sz="4" w:space="0"/>
          <w:bottom w:val="none" w:color="000000" w:sz="4" w:space="0"/>
          <w:right w:val="single" w:color="ffd865" w:themeColor="accent4" w:themeTint="00009A" w:sz="4" w:space="0"/>
        </w:tcBorders>
        <w:shd w:val="clear" w:color="ffffff" w:fill="auto"/>
      </w:tcPr>
    </w:tblStylePr>
    <w:tblStylePr w:type="lastCol">
      <w:rPr>
        <w:rFonts w:ascii="Arial" w:hAnsi="Arial"/>
        <w:i w:val="1"/>
        <w:color w:val="ffd865" w:themeColor="accent4" w:themeTint="00009A" w:themeShade="000095"/>
        <w:sz w:val="22"/>
      </w:rPr>
      <w:tblPr/>
      <w:tcPr>
        <w:tcBorders>
          <w:top w:val="none" w:color="000000" w:sz="4" w:space="0"/>
          <w:left w:val="single" w:color="ffd865" w:themeColor="accent4" w:themeTint="00009A" w:sz="4" w:space="0"/>
          <w:bottom w:val="none" w:color="000000" w:sz="4" w:space="0"/>
          <w:right w:val="none" w:color="000000" w:sz="4" w:space="0"/>
        </w:tcBorders>
        <w:shd w:val="clear" w:color="ffffff" w:fill="auto"/>
      </w:tcPr>
    </w:tblStylePr>
    <w:tblStylePr w:type="band1Vert">
      <w:tblPr/>
      <w:tcPr>
        <w:shd w:val="clear" w:color="fff2cb" w:themeColor="accent4" w:themeTint="000034" w:fill="fff2cb" w:themeFill="accent4" w:themeFillTint="000034"/>
      </w:tcPr>
    </w:tblStylePr>
    <w:tblStylePr w:type="band1Horz">
      <w:rPr>
        <w:rFonts w:ascii="Arial" w:hAnsi="Arial"/>
        <w:color w:val="ffd865" w:themeColor="accent4" w:themeTint="00009A" w:themeShade="000095"/>
        <w:sz w:val="22"/>
      </w:rPr>
      <w:tblPr/>
      <w:tcPr>
        <w:shd w:val="clear" w:color="fff2cb" w:themeColor="accent4" w:themeTint="000034" w:fill="fff2cb" w:themeFill="accent4" w:themeFillTint="000034"/>
      </w:tcPr>
    </w:tblStylePr>
    <w:tblStylePr w:type="band2Horz">
      <w:rPr>
        <w:rFonts w:ascii="Arial" w:hAnsi="Arial"/>
        <w:color w:val="ffd865" w:themeColor="accent4" w:themeTint="00009A" w:themeShade="0000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color="95afdd" w:themeColor="accent5" w:themeTint="000090" w:sz="4" w:space="0"/>
        <w:right w:val="single" w:color="95afdd" w:themeColor="accent5" w:themeTint="000090" w:sz="4" w:space="0"/>
        <w:insideH w:val="single" w:color="95afdd" w:themeColor="accent5" w:themeTint="000090" w:sz="4" w:space="0"/>
        <w:insideV w:val="single" w:color="95afdd" w:themeColor="accent5" w:themeTint="000090" w:sz="4" w:space="0"/>
      </w:tblBorders>
    </w:tblPr>
    <w:tblStylePr w:type="firstRow">
      <w:rPr>
        <w:rFonts w:ascii="Arial" w:hAnsi="Arial"/>
        <w:b w:val="1"/>
        <w:color w:val="254175" w:themeColor="accent5" w:themeShade="000095"/>
        <w:sz w:val="22"/>
      </w:rPr>
      <w:tblPr/>
      <w:tcPr>
        <w:tcBorders>
          <w:top w:val="none" w:color="000000" w:sz="4" w:space="0"/>
          <w:left w:val="none" w:color="000000" w:sz="4" w:space="0"/>
          <w:bottom w:val="single" w:color="95afdd" w:themeColor="accent5" w:themeTint="000090" w:sz="4" w:space="0"/>
          <w:right w:val="none" w:color="000000" w:sz="4" w:space="0"/>
        </w:tcBorders>
        <w:shd w:val="clear" w:color="ffffff" w:themeColor="light1" w:fill="ffffff" w:themeFill="light1"/>
      </w:tcPr>
    </w:tblStylePr>
    <w:tblStylePr w:type="lastRow">
      <w:rPr>
        <w:rFonts w:ascii="Arial" w:hAnsi="Arial"/>
        <w:b w:val="1"/>
        <w:color w:val="254175" w:themeColor="accent5" w:themeShade="000095"/>
        <w:sz w:val="22"/>
      </w:rPr>
      <w:tblPr/>
      <w:tcPr>
        <w:tcBorders>
          <w:top w:val="single" w:color="95afdd" w:themeColor="accent5" w:themeTint="00009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val="1"/>
        <w:color w:val="254175" w:themeColor="accent5" w:themeShade="000095"/>
        <w:sz w:val="22"/>
      </w:rPr>
      <w:tblPr/>
      <w:tcPr>
        <w:tcBorders>
          <w:top w:val="none" w:color="000000" w:sz="4" w:space="0"/>
          <w:left w:val="none" w:color="000000" w:sz="4" w:space="0"/>
          <w:bottom w:val="none" w:color="000000" w:sz="4" w:space="0"/>
          <w:right w:val="single" w:color="95afdd" w:themeColor="accent5" w:themeTint="000090" w:sz="4" w:space="0"/>
        </w:tcBorders>
        <w:shd w:val="clear" w:color="ffffff" w:fill="auto"/>
      </w:tcPr>
    </w:tblStylePr>
    <w:tblStylePr w:type="lastCol">
      <w:rPr>
        <w:rFonts w:ascii="Arial" w:hAnsi="Arial"/>
        <w:i w:val="1"/>
        <w:color w:val="254175" w:themeColor="accent5" w:themeShade="000095"/>
        <w:sz w:val="22"/>
      </w:rPr>
      <w:tblPr/>
      <w:tcPr>
        <w:tcBorders>
          <w:top w:val="none" w:color="000000" w:sz="4" w:space="0"/>
          <w:left w:val="single" w:color="95afdd" w:themeColor="accent5" w:themeTint="000090" w:sz="4" w:space="0"/>
          <w:bottom w:val="none" w:color="000000" w:sz="4" w:space="0"/>
          <w:right w:val="none" w:color="000000" w:sz="4" w:space="0"/>
        </w:tcBorders>
        <w:shd w:val="clear" w:color="ffffff" w:fill="auto"/>
      </w:tcPr>
    </w:tblStylePr>
    <w:tblStylePr w:type="band1Vert">
      <w:tblPr/>
      <w:tcPr>
        <w:shd w:val="clear" w:color="d8e2f3" w:themeColor="accent5" w:themeTint="000034" w:fill="d8e2f3" w:themeFill="accent5" w:themeFillTint="000034"/>
      </w:tcPr>
    </w:tblStylePr>
    <w:tblStylePr w:type="band1Horz">
      <w:rPr>
        <w:rFonts w:ascii="Arial" w:hAnsi="Arial"/>
        <w:color w:val="254175" w:themeColor="accent5" w:themeShade="000095"/>
        <w:sz w:val="22"/>
      </w:rPr>
      <w:tblPr/>
      <w:tcPr>
        <w:shd w:val="clear" w:color="d8e2f3" w:themeColor="accent5" w:themeTint="000034" w:fill="d8e2f3" w:themeFill="accent5" w:themeFillTint="000034"/>
      </w:tcPr>
    </w:tblStylePr>
    <w:tblStylePr w:type="band2Horz">
      <w:rPr>
        <w:rFonts w:ascii="Arial" w:hAnsi="Arial"/>
        <w:color w:val="254175" w:themeColor="accent5" w:themeShade="0000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color="add394" w:themeColor="accent6" w:themeTint="000090" w:sz="4" w:space="0"/>
        <w:right w:val="single" w:color="add394" w:themeColor="accent6" w:themeTint="000090" w:sz="4" w:space="0"/>
        <w:insideH w:val="single" w:color="add394" w:themeColor="accent6" w:themeTint="000090" w:sz="4" w:space="0"/>
        <w:insideV w:val="single" w:color="add394" w:themeColor="accent6" w:themeTint="000090" w:sz="4" w:space="0"/>
      </w:tblBorders>
    </w:tblPr>
    <w:tblStylePr w:type="firstRow">
      <w:rPr>
        <w:rFonts w:ascii="Arial" w:hAnsi="Arial"/>
        <w:b w:val="1"/>
        <w:color w:val="416429" w:themeColor="accent6" w:themeShade="000095"/>
        <w:sz w:val="22"/>
      </w:rPr>
      <w:tblPr/>
      <w:tcPr>
        <w:tcBorders>
          <w:top w:val="none" w:color="000000" w:sz="4" w:space="0"/>
          <w:left w:val="none" w:color="000000" w:sz="4" w:space="0"/>
          <w:bottom w:val="single" w:color="add394" w:themeColor="accent6" w:themeTint="000090" w:sz="4" w:space="0"/>
          <w:right w:val="none" w:color="000000" w:sz="4" w:space="0"/>
        </w:tcBorders>
        <w:shd w:val="clear" w:color="ffffff" w:themeColor="light1" w:fill="ffffff" w:themeFill="light1"/>
      </w:tcPr>
    </w:tblStylePr>
    <w:tblStylePr w:type="lastRow">
      <w:rPr>
        <w:rFonts w:ascii="Arial" w:hAnsi="Arial"/>
        <w:b w:val="1"/>
        <w:color w:val="416429" w:themeColor="accent6" w:themeShade="000095"/>
        <w:sz w:val="22"/>
      </w:rPr>
      <w:tblPr/>
      <w:tcPr>
        <w:tcBorders>
          <w:top w:val="single" w:color="add394" w:themeColor="accent6" w:themeTint="00009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val="1"/>
        <w:color w:val="416429" w:themeColor="accent6" w:themeShade="000095"/>
        <w:sz w:val="22"/>
      </w:rPr>
      <w:tblPr/>
      <w:tcPr>
        <w:tcBorders>
          <w:top w:val="none" w:color="000000" w:sz="4" w:space="0"/>
          <w:left w:val="none" w:color="000000" w:sz="4" w:space="0"/>
          <w:bottom w:val="none" w:color="000000" w:sz="4" w:space="0"/>
          <w:right w:val="single" w:color="add394" w:themeColor="accent6" w:themeTint="000090" w:sz="4" w:space="0"/>
        </w:tcBorders>
        <w:shd w:val="clear" w:color="ffffff" w:fill="auto"/>
      </w:tcPr>
    </w:tblStylePr>
    <w:tblStylePr w:type="lastCol">
      <w:rPr>
        <w:rFonts w:ascii="Arial" w:hAnsi="Arial"/>
        <w:i w:val="1"/>
        <w:color w:val="416429" w:themeColor="accent6" w:themeShade="000095"/>
        <w:sz w:val="22"/>
      </w:rPr>
      <w:tblPr/>
      <w:tcPr>
        <w:tcBorders>
          <w:top w:val="none" w:color="000000" w:sz="4" w:space="0"/>
          <w:left w:val="single" w:color="add394" w:themeColor="accent6" w:themeTint="000090" w:sz="4" w:space="0"/>
          <w:bottom w:val="none" w:color="000000" w:sz="4" w:space="0"/>
          <w:right w:val="none" w:color="000000" w:sz="4" w:space="0"/>
        </w:tcBorders>
        <w:shd w:val="clear" w:color="ffffff" w:fill="auto"/>
      </w:tcPr>
    </w:tblStylePr>
    <w:tblStylePr w:type="band1Vert">
      <w:tblPr/>
      <w:tcPr>
        <w:shd w:val="clear" w:color="e1efd8" w:themeColor="accent6" w:themeTint="000034" w:fill="e1efd8" w:themeFill="accent6" w:themeFillTint="000034"/>
      </w:tcPr>
    </w:tblStylePr>
    <w:tblStylePr w:type="band1Horz">
      <w:rPr>
        <w:rFonts w:ascii="Arial" w:hAnsi="Arial"/>
        <w:color w:val="416429" w:themeColor="accent6" w:themeShade="000095"/>
        <w:sz w:val="22"/>
      </w:rPr>
      <w:tblPr/>
      <w:tcPr>
        <w:shd w:val="clear" w:color="e1efd8" w:themeColor="accent6" w:themeTint="000034" w:fill="e1efd8" w:themeFill="accent6" w:themeFillTint="000034"/>
      </w:tcPr>
    </w:tblStylePr>
    <w:tblStylePr w:type="band2Horz">
      <w:rPr>
        <w:rFonts w:ascii="Arial" w:hAnsi="Arial"/>
        <w:color w:val="416429" w:themeColor="accent6" w:themeShade="0000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val="1"/>
        <w:color w:val="404040"/>
      </w:rPr>
      <w:tblPr/>
      <w:tcPr>
        <w:tcBorders>
          <w:top w:val="none" w:color="000000" w:sz="4" w:space="0"/>
          <w:left w:val="none" w:color="000000" w:sz="4" w:space="0"/>
          <w:bottom w:val="single" w:color="000000" w:themeColor="text1" w:sz="4" w:space="0"/>
          <w:right w:val="none" w:color="000000" w:sz="4" w:space="0"/>
        </w:tcBorders>
      </w:tcPr>
    </w:tblStylePr>
    <w:tblStylePr w:type="lastRow">
      <w:rPr>
        <w:b w:val="1"/>
        <w:color w:val="404040"/>
      </w:rPr>
      <w:tblPr/>
      <w:tcPr>
        <w:tcBorders>
          <w:top w:val="single" w:color="000000" w:themeColor="text1" w:sz="4" w:space="0"/>
          <w:left w:val="none" w:color="000000" w:sz="4" w:space="0"/>
          <w:bottom w:val="none" w:color="000000" w:sz="4" w:space="0"/>
          <w:right w:val="none" w:color="000000" w:sz="4" w:space="0"/>
        </w:tcBorders>
      </w:tcPr>
    </w:tblStylePr>
    <w:tblStylePr w:type="firstCol">
      <w:rPr>
        <w:b w:val="1"/>
        <w:color w:val="404040"/>
      </w:rPr>
    </w:tblStylePr>
    <w:tblStylePr w:type="lastCol">
      <w:rPr>
        <w:b w:val="1"/>
        <w:color w:val="404040"/>
      </w:rPr>
    </w:tblStylePr>
    <w:tblStylePr w:type="band1Vert">
      <w:tblPr/>
      <w:tcPr>
        <w:shd w:val="clear" w:color="bfbfbf" w:themeColor="text1" w:themeTint="000040" w:fill="bfbfbf" w:themeFill="text1" w:themeFillTint="000040"/>
      </w:tcPr>
    </w:tblStylePr>
    <w:tblStylePr w:type="band1Horz">
      <w:tblPr/>
      <w:tcPr>
        <w:shd w:val="clear" w:color="bfbfbf" w:themeColor="text1" w:themeTint="000040" w:fill="bfbfbf" w:themeFill="text1" w:themeFillTint="0000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val="1"/>
        <w:color w:val="404040"/>
      </w:rPr>
      <w:tblPr/>
      <w:tcPr>
        <w:tcBorders>
          <w:top w:val="none" w:color="000000" w:sz="4" w:space="0"/>
          <w:left w:val="none" w:color="000000" w:sz="4" w:space="0"/>
          <w:bottom w:val="single" w:color="5b9bd5" w:themeColor="accent1" w:sz="4" w:space="0"/>
          <w:right w:val="none" w:color="000000" w:sz="4" w:space="0"/>
        </w:tcBorders>
      </w:tcPr>
    </w:tblStylePr>
    <w:tblStylePr w:type="lastRow">
      <w:rPr>
        <w:b w:val="1"/>
        <w:color w:val="404040"/>
      </w:rPr>
      <w:tblPr/>
      <w:tcPr>
        <w:tcBorders>
          <w:top w:val="single" w:color="5b9bd5" w:themeColor="accent1" w:sz="4" w:space="0"/>
          <w:left w:val="none" w:color="000000" w:sz="4" w:space="0"/>
          <w:bottom w:val="none" w:color="000000" w:sz="4" w:space="0"/>
          <w:right w:val="none" w:color="000000" w:sz="4" w:space="0"/>
        </w:tcBorders>
      </w:tcPr>
    </w:tblStylePr>
    <w:tblStylePr w:type="firstCol">
      <w:rPr>
        <w:b w:val="1"/>
        <w:color w:val="404040"/>
      </w:rPr>
    </w:tblStylePr>
    <w:tblStylePr w:type="lastCol">
      <w:rPr>
        <w:b w:val="1"/>
        <w:color w:val="404040"/>
      </w:rPr>
    </w:tblStylePr>
    <w:tblStylePr w:type="band1Vert">
      <w:tblPr/>
      <w:tcPr>
        <w:shd w:val="clear" w:color="d5e5f4" w:themeColor="accent1" w:themeTint="000040" w:fill="d5e5f4" w:themeFill="accent1" w:themeFillTint="000040"/>
      </w:tcPr>
    </w:tblStylePr>
    <w:tblStylePr w:type="band1Horz">
      <w:tblPr/>
      <w:tcPr>
        <w:shd w:val="clear" w:color="d5e5f4" w:themeColor="accent1" w:themeTint="000040" w:fill="d5e5f4" w:themeFill="accent1" w:themeFillTint="0000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val="1"/>
        <w:color w:val="404040"/>
      </w:rPr>
      <w:tblPr/>
      <w:tcPr>
        <w:tcBorders>
          <w:top w:val="none" w:color="000000" w:sz="4" w:space="0"/>
          <w:left w:val="none" w:color="000000" w:sz="4" w:space="0"/>
          <w:bottom w:val="single" w:color="ed7d31" w:themeColor="accent2" w:sz="4" w:space="0"/>
          <w:right w:val="none" w:color="000000" w:sz="4" w:space="0"/>
        </w:tcBorders>
      </w:tcPr>
    </w:tblStylePr>
    <w:tblStylePr w:type="lastRow">
      <w:rPr>
        <w:b w:val="1"/>
        <w:color w:val="404040"/>
      </w:rPr>
      <w:tblPr/>
      <w:tcPr>
        <w:tcBorders>
          <w:top w:val="single" w:color="ed7d31" w:themeColor="accent2" w:sz="4" w:space="0"/>
          <w:left w:val="none" w:color="000000" w:sz="4" w:space="0"/>
          <w:bottom w:val="none" w:color="000000" w:sz="4" w:space="0"/>
          <w:right w:val="none" w:color="000000" w:sz="4" w:space="0"/>
        </w:tcBorders>
      </w:tcPr>
    </w:tblStylePr>
    <w:tblStylePr w:type="firstCol">
      <w:rPr>
        <w:b w:val="1"/>
        <w:color w:val="404040"/>
      </w:rPr>
    </w:tblStylePr>
    <w:tblStylePr w:type="lastCol">
      <w:rPr>
        <w:b w:val="1"/>
        <w:color w:val="404040"/>
      </w:rPr>
    </w:tblStylePr>
    <w:tblStylePr w:type="band1Vert">
      <w:tblPr/>
      <w:tcPr>
        <w:shd w:val="clear" w:color="fadecb" w:themeColor="accent2" w:themeTint="000040" w:fill="fadecb" w:themeFill="accent2" w:themeFillTint="000040"/>
      </w:tcPr>
    </w:tblStylePr>
    <w:tblStylePr w:type="band1Horz">
      <w:tblPr/>
      <w:tcPr>
        <w:shd w:val="clear" w:color="fadecb" w:themeColor="accent2" w:themeTint="000040" w:fill="fadecb" w:themeFill="accent2" w:themeFillTint="0000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val="1"/>
        <w:color w:val="404040"/>
      </w:rPr>
      <w:tblPr/>
      <w:tcPr>
        <w:tcBorders>
          <w:top w:val="none" w:color="000000" w:sz="4" w:space="0"/>
          <w:left w:val="none" w:color="000000" w:sz="4" w:space="0"/>
          <w:bottom w:val="single" w:color="a5a5a5" w:themeColor="accent3" w:sz="4" w:space="0"/>
          <w:right w:val="none" w:color="000000" w:sz="4" w:space="0"/>
        </w:tcBorders>
      </w:tcPr>
    </w:tblStylePr>
    <w:tblStylePr w:type="lastRow">
      <w:rPr>
        <w:b w:val="1"/>
        <w:color w:val="404040"/>
      </w:rPr>
      <w:tblPr/>
      <w:tcPr>
        <w:tcBorders>
          <w:top w:val="single" w:color="a5a5a5" w:themeColor="accent3" w:sz="4" w:space="0"/>
          <w:left w:val="none" w:color="000000" w:sz="4" w:space="0"/>
          <w:bottom w:val="none" w:color="000000" w:sz="4" w:space="0"/>
          <w:right w:val="none" w:color="000000" w:sz="4" w:space="0"/>
        </w:tcBorders>
      </w:tcPr>
    </w:tblStylePr>
    <w:tblStylePr w:type="firstCol">
      <w:rPr>
        <w:b w:val="1"/>
        <w:color w:val="404040"/>
      </w:rPr>
    </w:tblStylePr>
    <w:tblStylePr w:type="lastCol">
      <w:rPr>
        <w:b w:val="1"/>
        <w:color w:val="404040"/>
      </w:rPr>
    </w:tblStylePr>
    <w:tblStylePr w:type="band1Vert">
      <w:tblPr/>
      <w:tcPr>
        <w:shd w:val="clear" w:color="e8e8e8" w:themeColor="accent3" w:themeTint="000040" w:fill="e8e8e8" w:themeFill="accent3" w:themeFillTint="000040"/>
      </w:tcPr>
    </w:tblStylePr>
    <w:tblStylePr w:type="band1Horz">
      <w:tblPr/>
      <w:tcPr>
        <w:shd w:val="clear" w:color="e8e8e8" w:themeColor="accent3" w:themeTint="000040" w:fill="e8e8e8" w:themeFill="accent3" w:themeFillTint="0000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val="1"/>
        <w:color w:val="404040"/>
      </w:rPr>
      <w:tblPr/>
      <w:tcPr>
        <w:tcBorders>
          <w:top w:val="none" w:color="000000" w:sz="4" w:space="0"/>
          <w:left w:val="none" w:color="000000" w:sz="4" w:space="0"/>
          <w:bottom w:val="single" w:color="ffc000" w:themeColor="accent4" w:sz="4" w:space="0"/>
          <w:right w:val="none" w:color="000000" w:sz="4" w:space="0"/>
        </w:tcBorders>
      </w:tcPr>
    </w:tblStylePr>
    <w:tblStylePr w:type="lastRow">
      <w:rPr>
        <w:b w:val="1"/>
        <w:color w:val="404040"/>
      </w:rPr>
      <w:tblPr/>
      <w:tcPr>
        <w:tcBorders>
          <w:top w:val="single" w:color="ffc000" w:themeColor="accent4" w:sz="4" w:space="0"/>
          <w:left w:val="none" w:color="000000" w:sz="4" w:space="0"/>
          <w:bottom w:val="none" w:color="000000" w:sz="4" w:space="0"/>
          <w:right w:val="none" w:color="000000" w:sz="4" w:space="0"/>
        </w:tcBorders>
      </w:tcPr>
    </w:tblStylePr>
    <w:tblStylePr w:type="firstCol">
      <w:rPr>
        <w:b w:val="1"/>
        <w:color w:val="404040"/>
      </w:rPr>
    </w:tblStylePr>
    <w:tblStylePr w:type="lastCol">
      <w:rPr>
        <w:b w:val="1"/>
        <w:color w:val="404040"/>
      </w:rPr>
    </w:tblStylePr>
    <w:tblStylePr w:type="band1Vert">
      <w:tblPr/>
      <w:tcPr>
        <w:shd w:val="clear" w:color="ffefbf" w:themeColor="accent4" w:themeTint="000040" w:fill="ffefbf" w:themeFill="accent4" w:themeFillTint="000040"/>
      </w:tcPr>
    </w:tblStylePr>
    <w:tblStylePr w:type="band1Horz">
      <w:tblPr/>
      <w:tcPr>
        <w:shd w:val="clear" w:color="ffefbf" w:themeColor="accent4" w:themeTint="000040" w:fill="ffefbf" w:themeFill="accent4" w:themeFillTint="0000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val="1"/>
        <w:color w:val="404040"/>
      </w:rPr>
      <w:tblPr/>
      <w:tcPr>
        <w:tcBorders>
          <w:top w:val="none" w:color="000000" w:sz="4" w:space="0"/>
          <w:left w:val="none" w:color="000000" w:sz="4" w:space="0"/>
          <w:bottom w:val="single" w:color="4472c4" w:themeColor="accent5" w:sz="4" w:space="0"/>
          <w:right w:val="none" w:color="000000" w:sz="4" w:space="0"/>
        </w:tcBorders>
      </w:tcPr>
    </w:tblStylePr>
    <w:tblStylePr w:type="lastRow">
      <w:rPr>
        <w:b w:val="1"/>
        <w:color w:val="404040"/>
      </w:rPr>
      <w:tblPr/>
      <w:tcPr>
        <w:tcBorders>
          <w:top w:val="single" w:color="4472c4" w:themeColor="accent5" w:sz="4" w:space="0"/>
          <w:left w:val="none" w:color="000000" w:sz="4" w:space="0"/>
          <w:bottom w:val="none" w:color="000000" w:sz="4" w:space="0"/>
          <w:right w:val="none" w:color="000000" w:sz="4" w:space="0"/>
        </w:tcBorders>
      </w:tcPr>
    </w:tblStylePr>
    <w:tblStylePr w:type="firstCol">
      <w:rPr>
        <w:b w:val="1"/>
        <w:color w:val="404040"/>
      </w:rPr>
    </w:tblStylePr>
    <w:tblStylePr w:type="lastCol">
      <w:rPr>
        <w:b w:val="1"/>
        <w:color w:val="404040"/>
      </w:rPr>
    </w:tblStylePr>
    <w:tblStylePr w:type="band1Vert">
      <w:tblPr/>
      <w:tcPr>
        <w:shd w:val="clear" w:color="cfdbf0" w:themeColor="accent5" w:themeTint="000040" w:fill="cfdbf0" w:themeFill="accent5" w:themeFillTint="000040"/>
      </w:tcPr>
    </w:tblStylePr>
    <w:tblStylePr w:type="band1Horz">
      <w:tblPr/>
      <w:tcPr>
        <w:shd w:val="clear" w:color="cfdbf0" w:themeColor="accent5" w:themeTint="000040" w:fill="cfdbf0" w:themeFill="accent5" w:themeFillTint="0000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val="1"/>
        <w:color w:val="404040"/>
      </w:rPr>
      <w:tblPr/>
      <w:tcPr>
        <w:tcBorders>
          <w:top w:val="none" w:color="000000" w:sz="4" w:space="0"/>
          <w:left w:val="none" w:color="000000" w:sz="4" w:space="0"/>
          <w:bottom w:val="single" w:color="70ad47" w:themeColor="accent6" w:sz="4" w:space="0"/>
          <w:right w:val="none" w:color="000000" w:sz="4" w:space="0"/>
        </w:tcBorders>
      </w:tcPr>
    </w:tblStylePr>
    <w:tblStylePr w:type="lastRow">
      <w:rPr>
        <w:b w:val="1"/>
        <w:color w:val="404040"/>
      </w:rPr>
      <w:tblPr/>
      <w:tcPr>
        <w:tcBorders>
          <w:top w:val="single" w:color="70ad47" w:themeColor="accent6" w:sz="4" w:space="0"/>
          <w:left w:val="none" w:color="000000" w:sz="4" w:space="0"/>
          <w:bottom w:val="none" w:color="000000" w:sz="4" w:space="0"/>
          <w:right w:val="none" w:color="000000" w:sz="4" w:space="0"/>
        </w:tcBorders>
      </w:tcPr>
    </w:tblStylePr>
    <w:tblStylePr w:type="firstCol">
      <w:rPr>
        <w:b w:val="1"/>
        <w:color w:val="404040"/>
      </w:rPr>
    </w:tblStylePr>
    <w:tblStylePr w:type="lastCol">
      <w:rPr>
        <w:b w:val="1"/>
        <w:color w:val="404040"/>
      </w:rPr>
    </w:tblStylePr>
    <w:tblStylePr w:type="band1Vert">
      <w:tblPr/>
      <w:tcPr>
        <w:shd w:val="clear" w:color="daebcf" w:themeColor="accent6" w:themeTint="000040" w:fill="daebcf" w:themeFill="accent6" w:themeFillTint="000040"/>
      </w:tcPr>
    </w:tblStylePr>
    <w:tblStylePr w:type="band1Horz">
      <w:tblPr/>
      <w:tcPr>
        <w:shd w:val="clear" w:color="daebcf" w:themeColor="accent6" w:themeTint="000040" w:fill="daebcf" w:themeFill="accent6" w:themeFillTint="000040"/>
      </w:tcPr>
    </w:tblStylePr>
  </w:style>
  <w:style w:type="table" w:styleId="ListTable2">
    <w:name w:val="List Table 2"/>
    <w:basedOn w:val="TableNormal"/>
    <w:uiPriority w:val="99"/>
    <w:pPr>
      <w:spacing w:after="0" w:line="240" w:lineRule="auto"/>
    </w:pPr>
    <w:tblPr>
      <w:tblStyleRowBandSize w:val="1"/>
      <w:tblStyleColBandSize w:val="1"/>
      <w:tblBorders>
        <w:top w:val="single" w:color="6f6f6f" w:themeColor="text1" w:themeTint="000090" w:sz="4" w:space="0"/>
        <w:bottom w:val="single" w:color="6f6f6f" w:themeColor="text1" w:themeTint="000090" w:sz="4" w:space="0"/>
        <w:insideH w:val="single" w:color="6f6f6f" w:themeColor="text1" w:themeTint="000090" w:sz="4" w:space="0"/>
      </w:tblBorders>
    </w:tblPr>
    <w:tblStylePr w:type="firstRow">
      <w:rPr>
        <w:rFonts w:ascii="Arial" w:hAnsi="Arial"/>
        <w:b w:val="1"/>
        <w:color w:val="404040"/>
        <w:sz w:val="22"/>
      </w:rPr>
      <w:tblPr/>
      <w:tcPr>
        <w:tcBorders>
          <w:top w:val="single" w:color="6f6f6f" w:themeColor="text1" w:themeTint="000090" w:sz="4" w:space="0"/>
          <w:left w:val="none" w:color="000000" w:sz="4" w:space="0"/>
          <w:bottom w:val="single" w:color="6f6f6f" w:themeColor="text1" w:themeTint="000090" w:sz="4" w:space="0"/>
          <w:right w:val="none" w:color="000000" w:sz="4" w:space="0"/>
        </w:tcBorders>
      </w:tcPr>
    </w:tblStylePr>
    <w:tblStylePr w:type="lastRow">
      <w:rPr>
        <w:rFonts w:ascii="Arial" w:hAnsi="Arial"/>
        <w:b w:val="1"/>
        <w:color w:val="404040"/>
        <w:sz w:val="22"/>
      </w:rPr>
      <w:tblPr/>
      <w:tcPr>
        <w:tcBorders>
          <w:top w:val="single" w:color="6f6f6f" w:themeColor="text1" w:themeTint="000090" w:sz="4" w:space="0"/>
          <w:left w:val="none" w:color="000000" w:sz="4" w:space="0"/>
          <w:bottom w:val="single" w:color="6f6f6f" w:themeColor="text1" w:themeTint="000090" w:sz="4" w:space="0"/>
          <w:right w:val="none" w:color="000000" w:sz="4" w:space="0"/>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val="clear" w:color="bfbfbf" w:themeColor="text1" w:themeTint="000040" w:fill="bfbfbf" w:themeFill="text1" w:themeFillTint="000040"/>
      </w:tcPr>
    </w:tblStylePr>
    <w:tblStylePr w:type="band1Horz">
      <w:rPr>
        <w:rFonts w:ascii="Arial" w:hAnsi="Arial"/>
        <w:color w:val="404040"/>
        <w:sz w:val="22"/>
      </w:rPr>
      <w:tblPr/>
      <w:tcPr>
        <w:shd w:val="clear" w:color="bfbfbf" w:themeColor="text1" w:themeTint="000040" w:fill="bfbfbf" w:themeFill="text1" w:themeFillTint="0000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color="a2c6e7" w:themeColor="accent1" w:themeTint="000090" w:sz="4" w:space="0"/>
        <w:bottom w:val="single" w:color="a2c6e7" w:themeColor="accent1" w:themeTint="000090" w:sz="4" w:space="0"/>
        <w:insideH w:val="single" w:color="a2c6e7" w:themeColor="accent1" w:themeTint="000090" w:sz="4" w:space="0"/>
      </w:tblBorders>
    </w:tblPr>
    <w:tblStylePr w:type="firstRow">
      <w:rPr>
        <w:rFonts w:ascii="Arial" w:hAnsi="Arial"/>
        <w:b w:val="1"/>
        <w:color w:val="404040"/>
        <w:sz w:val="22"/>
      </w:rPr>
      <w:tblPr/>
      <w:tcPr>
        <w:tcBorders>
          <w:top w:val="single" w:color="a2c6e7" w:themeColor="accent1" w:themeTint="000090" w:sz="4" w:space="0"/>
          <w:left w:val="none" w:color="000000" w:sz="4" w:space="0"/>
          <w:bottom w:val="single" w:color="a2c6e7" w:themeColor="accent1" w:themeTint="000090" w:sz="4" w:space="0"/>
          <w:right w:val="none" w:color="000000" w:sz="4" w:space="0"/>
        </w:tcBorders>
      </w:tcPr>
    </w:tblStylePr>
    <w:tblStylePr w:type="lastRow">
      <w:rPr>
        <w:rFonts w:ascii="Arial" w:hAnsi="Arial"/>
        <w:b w:val="1"/>
        <w:color w:val="404040"/>
        <w:sz w:val="22"/>
      </w:rPr>
      <w:tblPr/>
      <w:tcPr>
        <w:tcBorders>
          <w:top w:val="single" w:color="a2c6e7" w:themeColor="accent1" w:themeTint="000090" w:sz="4" w:space="0"/>
          <w:left w:val="none" w:color="000000" w:sz="4" w:space="0"/>
          <w:bottom w:val="single" w:color="a2c6e7" w:themeColor="accent1" w:themeTint="000090" w:sz="4" w:space="0"/>
          <w:right w:val="none" w:color="000000" w:sz="4" w:space="0"/>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val="clear" w:color="d5e5f4" w:themeColor="accent1" w:themeTint="000040" w:fill="d5e5f4" w:themeFill="accent1" w:themeFillTint="000040"/>
      </w:tcPr>
    </w:tblStylePr>
    <w:tblStylePr w:type="band1Horz">
      <w:rPr>
        <w:rFonts w:ascii="Arial" w:hAnsi="Arial"/>
        <w:color w:val="404040"/>
        <w:sz w:val="22"/>
      </w:rPr>
      <w:tblPr/>
      <w:tcPr>
        <w:shd w:val="clear" w:color="d5e5f4" w:themeColor="accent1" w:themeTint="000040" w:fill="d5e5f4" w:themeFill="accent1" w:themeFillTint="0000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color="f4b58a" w:themeColor="accent2" w:themeTint="000090" w:sz="4" w:space="0"/>
        <w:bottom w:val="single" w:color="f4b58a" w:themeColor="accent2" w:themeTint="000090" w:sz="4" w:space="0"/>
        <w:insideH w:val="single" w:color="f4b58a" w:themeColor="accent2" w:themeTint="000090" w:sz="4" w:space="0"/>
      </w:tblBorders>
    </w:tblPr>
    <w:tblStylePr w:type="firstRow">
      <w:rPr>
        <w:rFonts w:ascii="Arial" w:hAnsi="Arial"/>
        <w:b w:val="1"/>
        <w:color w:val="404040"/>
        <w:sz w:val="22"/>
      </w:rPr>
      <w:tblPr/>
      <w:tcPr>
        <w:tcBorders>
          <w:top w:val="single" w:color="f4b58a" w:themeColor="accent2" w:themeTint="000090" w:sz="4" w:space="0"/>
          <w:left w:val="none" w:color="000000" w:sz="4" w:space="0"/>
          <w:bottom w:val="single" w:color="f4b58a" w:themeColor="accent2" w:themeTint="000090" w:sz="4" w:space="0"/>
          <w:right w:val="none" w:color="000000" w:sz="4" w:space="0"/>
        </w:tcBorders>
      </w:tcPr>
    </w:tblStylePr>
    <w:tblStylePr w:type="lastRow">
      <w:rPr>
        <w:rFonts w:ascii="Arial" w:hAnsi="Arial"/>
        <w:b w:val="1"/>
        <w:color w:val="404040"/>
        <w:sz w:val="22"/>
      </w:rPr>
      <w:tblPr/>
      <w:tcPr>
        <w:tcBorders>
          <w:top w:val="single" w:color="f4b58a" w:themeColor="accent2" w:themeTint="000090" w:sz="4" w:space="0"/>
          <w:left w:val="none" w:color="000000" w:sz="4" w:space="0"/>
          <w:bottom w:val="single" w:color="f4b58a" w:themeColor="accent2" w:themeTint="000090" w:sz="4" w:space="0"/>
          <w:right w:val="none" w:color="000000" w:sz="4" w:space="0"/>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val="clear" w:color="fadecb" w:themeColor="accent2" w:themeTint="000040" w:fill="fadecb" w:themeFill="accent2" w:themeFillTint="000040"/>
      </w:tcPr>
    </w:tblStylePr>
    <w:tblStylePr w:type="band1Horz">
      <w:rPr>
        <w:rFonts w:ascii="Arial" w:hAnsi="Arial"/>
        <w:color w:val="404040"/>
        <w:sz w:val="22"/>
      </w:rPr>
      <w:tblPr/>
      <w:tcPr>
        <w:shd w:val="clear" w:color="fadecb" w:themeColor="accent2" w:themeTint="000040" w:fill="fadecb" w:themeFill="accent2" w:themeFillTint="0000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color="cccccc" w:themeColor="accent3" w:themeTint="000090" w:sz="4" w:space="0"/>
        <w:bottom w:val="single" w:color="cccccc" w:themeColor="accent3" w:themeTint="000090" w:sz="4" w:space="0"/>
        <w:insideH w:val="single" w:color="cccccc" w:themeColor="accent3" w:themeTint="000090" w:sz="4" w:space="0"/>
      </w:tblBorders>
    </w:tblPr>
    <w:tblStylePr w:type="firstRow">
      <w:rPr>
        <w:rFonts w:ascii="Arial" w:hAnsi="Arial"/>
        <w:b w:val="1"/>
        <w:color w:val="404040"/>
        <w:sz w:val="22"/>
      </w:rPr>
      <w:tblPr/>
      <w:tcPr>
        <w:tcBorders>
          <w:top w:val="single" w:color="cccccc" w:themeColor="accent3" w:themeTint="000090" w:sz="4" w:space="0"/>
          <w:left w:val="none" w:color="000000" w:sz="4" w:space="0"/>
          <w:bottom w:val="single" w:color="cccccc" w:themeColor="accent3" w:themeTint="000090" w:sz="4" w:space="0"/>
          <w:right w:val="none" w:color="000000" w:sz="4" w:space="0"/>
        </w:tcBorders>
      </w:tcPr>
    </w:tblStylePr>
    <w:tblStylePr w:type="lastRow">
      <w:rPr>
        <w:rFonts w:ascii="Arial" w:hAnsi="Arial"/>
        <w:b w:val="1"/>
        <w:color w:val="404040"/>
        <w:sz w:val="22"/>
      </w:rPr>
      <w:tblPr/>
      <w:tcPr>
        <w:tcBorders>
          <w:top w:val="single" w:color="cccccc" w:themeColor="accent3" w:themeTint="000090" w:sz="4" w:space="0"/>
          <w:left w:val="none" w:color="000000" w:sz="4" w:space="0"/>
          <w:bottom w:val="single" w:color="cccccc" w:themeColor="accent3" w:themeTint="000090" w:sz="4" w:space="0"/>
          <w:right w:val="none" w:color="000000" w:sz="4" w:space="0"/>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val="clear" w:color="e8e8e8" w:themeColor="accent3" w:themeTint="000040" w:fill="e8e8e8" w:themeFill="accent3" w:themeFillTint="000040"/>
      </w:tcPr>
    </w:tblStylePr>
    <w:tblStylePr w:type="band1Horz">
      <w:rPr>
        <w:rFonts w:ascii="Arial" w:hAnsi="Arial"/>
        <w:color w:val="404040"/>
        <w:sz w:val="22"/>
      </w:rPr>
      <w:tblPr/>
      <w:tcPr>
        <w:shd w:val="clear" w:color="e8e8e8" w:themeColor="accent3" w:themeTint="000040" w:fill="e8e8e8" w:themeFill="accent3" w:themeFillTint="0000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color="ffdb6f" w:themeColor="accent4" w:themeTint="000090" w:sz="4" w:space="0"/>
        <w:bottom w:val="single" w:color="ffdb6f" w:themeColor="accent4" w:themeTint="000090" w:sz="4" w:space="0"/>
        <w:insideH w:val="single" w:color="ffdb6f" w:themeColor="accent4" w:themeTint="000090" w:sz="4" w:space="0"/>
      </w:tblBorders>
    </w:tblPr>
    <w:tblStylePr w:type="firstRow">
      <w:rPr>
        <w:rFonts w:ascii="Arial" w:hAnsi="Arial"/>
        <w:b w:val="1"/>
        <w:color w:val="404040"/>
        <w:sz w:val="22"/>
      </w:rPr>
      <w:tblPr/>
      <w:tcPr>
        <w:tcBorders>
          <w:top w:val="single" w:color="ffdb6f" w:themeColor="accent4" w:themeTint="000090" w:sz="4" w:space="0"/>
          <w:left w:val="none" w:color="000000" w:sz="4" w:space="0"/>
          <w:bottom w:val="single" w:color="ffdb6f" w:themeColor="accent4" w:themeTint="000090" w:sz="4" w:space="0"/>
          <w:right w:val="none" w:color="000000" w:sz="4" w:space="0"/>
        </w:tcBorders>
      </w:tcPr>
    </w:tblStylePr>
    <w:tblStylePr w:type="lastRow">
      <w:rPr>
        <w:rFonts w:ascii="Arial" w:hAnsi="Arial"/>
        <w:b w:val="1"/>
        <w:color w:val="404040"/>
        <w:sz w:val="22"/>
      </w:rPr>
      <w:tblPr/>
      <w:tcPr>
        <w:tcBorders>
          <w:top w:val="single" w:color="ffdb6f" w:themeColor="accent4" w:themeTint="000090" w:sz="4" w:space="0"/>
          <w:left w:val="none" w:color="000000" w:sz="4" w:space="0"/>
          <w:bottom w:val="single" w:color="ffdb6f" w:themeColor="accent4" w:themeTint="000090" w:sz="4" w:space="0"/>
          <w:right w:val="none" w:color="000000" w:sz="4" w:space="0"/>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val="clear" w:color="ffefbf" w:themeColor="accent4" w:themeTint="000040" w:fill="ffefbf" w:themeFill="accent4" w:themeFillTint="000040"/>
      </w:tcPr>
    </w:tblStylePr>
    <w:tblStylePr w:type="band1Horz">
      <w:rPr>
        <w:rFonts w:ascii="Arial" w:hAnsi="Arial"/>
        <w:color w:val="404040"/>
        <w:sz w:val="22"/>
      </w:rPr>
      <w:tblPr/>
      <w:tcPr>
        <w:shd w:val="clear" w:color="ffefbf" w:themeColor="accent4" w:themeTint="000040" w:fill="ffefbf" w:themeFill="accent4" w:themeFillTint="0000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color="95afdd" w:themeColor="accent5" w:themeTint="000090" w:sz="4" w:space="0"/>
        <w:bottom w:val="single" w:color="95afdd" w:themeColor="accent5" w:themeTint="000090" w:sz="4" w:space="0"/>
        <w:insideH w:val="single" w:color="95afdd" w:themeColor="accent5" w:themeTint="000090" w:sz="4" w:space="0"/>
      </w:tblBorders>
    </w:tblPr>
    <w:tblStylePr w:type="firstRow">
      <w:rPr>
        <w:rFonts w:ascii="Arial" w:hAnsi="Arial"/>
        <w:b w:val="1"/>
        <w:color w:val="404040"/>
        <w:sz w:val="22"/>
      </w:rPr>
      <w:tblPr/>
      <w:tcPr>
        <w:tcBorders>
          <w:top w:val="single" w:color="95afdd" w:themeColor="accent5" w:themeTint="000090" w:sz="4" w:space="0"/>
          <w:left w:val="none" w:color="000000" w:sz="4" w:space="0"/>
          <w:bottom w:val="single" w:color="95afdd" w:themeColor="accent5" w:themeTint="000090" w:sz="4" w:space="0"/>
          <w:right w:val="none" w:color="000000" w:sz="4" w:space="0"/>
        </w:tcBorders>
      </w:tcPr>
    </w:tblStylePr>
    <w:tblStylePr w:type="lastRow">
      <w:rPr>
        <w:rFonts w:ascii="Arial" w:hAnsi="Arial"/>
        <w:b w:val="1"/>
        <w:color w:val="404040"/>
        <w:sz w:val="22"/>
      </w:rPr>
      <w:tblPr/>
      <w:tcPr>
        <w:tcBorders>
          <w:top w:val="single" w:color="95afdd" w:themeColor="accent5" w:themeTint="000090" w:sz="4" w:space="0"/>
          <w:left w:val="none" w:color="000000" w:sz="4" w:space="0"/>
          <w:bottom w:val="single" w:color="95afdd" w:themeColor="accent5" w:themeTint="000090" w:sz="4" w:space="0"/>
          <w:right w:val="none" w:color="000000" w:sz="4" w:space="0"/>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val="clear" w:color="cfdbf0" w:themeColor="accent5" w:themeTint="000040" w:fill="cfdbf0" w:themeFill="accent5" w:themeFillTint="000040"/>
      </w:tcPr>
    </w:tblStylePr>
    <w:tblStylePr w:type="band1Horz">
      <w:rPr>
        <w:rFonts w:ascii="Arial" w:hAnsi="Arial"/>
        <w:color w:val="404040"/>
        <w:sz w:val="22"/>
      </w:rPr>
      <w:tblPr/>
      <w:tcPr>
        <w:shd w:val="clear" w:color="cfdbf0" w:themeColor="accent5" w:themeTint="000040" w:fill="cfdbf0" w:themeFill="accent5" w:themeFillTint="0000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color="add394" w:themeColor="accent6" w:themeTint="000090" w:sz="4" w:space="0"/>
        <w:bottom w:val="single" w:color="add394" w:themeColor="accent6" w:themeTint="000090" w:sz="4" w:space="0"/>
        <w:insideH w:val="single" w:color="add394" w:themeColor="accent6" w:themeTint="000090" w:sz="4" w:space="0"/>
      </w:tblBorders>
    </w:tblPr>
    <w:tblStylePr w:type="firstRow">
      <w:rPr>
        <w:rFonts w:ascii="Arial" w:hAnsi="Arial"/>
        <w:b w:val="1"/>
        <w:color w:val="404040"/>
        <w:sz w:val="22"/>
      </w:rPr>
      <w:tblPr/>
      <w:tcPr>
        <w:tcBorders>
          <w:top w:val="single" w:color="add394" w:themeColor="accent6" w:themeTint="000090" w:sz="4" w:space="0"/>
          <w:left w:val="none" w:color="000000" w:sz="4" w:space="0"/>
          <w:bottom w:val="single" w:color="add394" w:themeColor="accent6" w:themeTint="000090" w:sz="4" w:space="0"/>
          <w:right w:val="none" w:color="000000" w:sz="4" w:space="0"/>
        </w:tcBorders>
      </w:tcPr>
    </w:tblStylePr>
    <w:tblStylePr w:type="lastRow">
      <w:rPr>
        <w:rFonts w:ascii="Arial" w:hAnsi="Arial"/>
        <w:b w:val="1"/>
        <w:color w:val="404040"/>
        <w:sz w:val="22"/>
      </w:rPr>
      <w:tblPr/>
      <w:tcPr>
        <w:tcBorders>
          <w:top w:val="single" w:color="add394" w:themeColor="accent6" w:themeTint="000090" w:sz="4" w:space="0"/>
          <w:left w:val="none" w:color="000000" w:sz="4" w:space="0"/>
          <w:bottom w:val="single" w:color="add394" w:themeColor="accent6" w:themeTint="000090" w:sz="4" w:space="0"/>
          <w:right w:val="none" w:color="000000" w:sz="4" w:space="0"/>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val="clear" w:color="daebcf" w:themeColor="accent6" w:themeTint="000040" w:fill="daebcf" w:themeFill="accent6" w:themeFillTint="000040"/>
      </w:tcPr>
    </w:tblStylePr>
    <w:tblStylePr w:type="band1Horz">
      <w:rPr>
        <w:rFonts w:ascii="Arial" w:hAnsi="Arial"/>
        <w:color w:val="404040"/>
        <w:sz w:val="22"/>
      </w:rPr>
      <w:tblPr/>
      <w:tcPr>
        <w:shd w:val="clear" w:color="daebcf" w:themeColor="accent6" w:themeTint="000040" w:fill="daebcf" w:themeFill="accent6" w:themeFillTint="000040"/>
      </w:tcPr>
    </w:tblStylePr>
  </w:style>
  <w:style w:type="table" w:styleId="ListTable3">
    <w:name w:val="List Table 3"/>
    <w:basedOn w:val="TableNormal"/>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val="1"/>
        <w:color w:val="ffffff"/>
        <w:sz w:val="22"/>
      </w:rPr>
      <w:tblPr/>
      <w:tcPr>
        <w:shd w:val="clear" w:color="000000" w:themeColor="text1" w:fill="000000" w:themeFill="text1"/>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val="single" w:color="000000" w:themeColor="text1" w:sz="4" w:space="0"/>
          <w:right w:val="single" w:color="000000" w:themeColor="text1" w:sz="4" w:space="0"/>
        </w:tcBorders>
      </w:tcPr>
    </w:tblStylePr>
    <w:tblStylePr w:type="band1Horz">
      <w:rPr>
        <w:rFonts w:ascii="Arial" w:hAnsi="Arial"/>
        <w:color w:val="404040"/>
        <w:sz w:val="22"/>
      </w:rPr>
      <w:tblPr/>
      <w:tcPr>
        <w:tcBorders>
          <w:top w:val="single" w:color="000000" w:themeColor="text1" w:sz="4" w:space="0"/>
          <w:bottom w:val="single" w:color="000000" w:themeColor="text1" w:sz="4" w:space="0"/>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val="1"/>
        <w:color w:val="ffffff"/>
        <w:sz w:val="22"/>
      </w:rPr>
      <w:tblPr/>
      <w:tcPr>
        <w:shd w:val="clear" w:color="5b9bd5" w:themeColor="accent1" w:fill="5b9bd5" w:themeFill="accent1"/>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val="single" w:color="5b9bd5" w:themeColor="accent1" w:sz="4" w:space="0"/>
          <w:right w:val="single" w:color="5b9bd5" w:themeColor="accent1" w:sz="4" w:space="0"/>
        </w:tcBorders>
      </w:tcPr>
    </w:tblStylePr>
    <w:tblStylePr w:type="band1Horz">
      <w:rPr>
        <w:rFonts w:ascii="Arial" w:hAnsi="Arial"/>
        <w:color w:val="404040"/>
        <w:sz w:val="22"/>
      </w:rPr>
      <w:tblPr/>
      <w:tcPr>
        <w:tcBorders>
          <w:top w:val="single" w:color="5b9bd5" w:themeColor="accent1" w:sz="4" w:space="0"/>
          <w:bottom w:val="single" w:color="5b9bd5" w:themeColor="accent1" w:sz="4" w:space="0"/>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color="f4b184" w:themeColor="accent2" w:themeTint="000097" w:sz="4" w:space="0"/>
        <w:left w:val="single" w:color="f4b184" w:themeColor="accent2" w:themeTint="000097" w:sz="4" w:space="0"/>
        <w:bottom w:val="single" w:color="f4b184" w:themeColor="accent2" w:themeTint="000097" w:sz="4" w:space="0"/>
        <w:right w:val="single" w:color="f4b184" w:themeColor="accent2" w:themeTint="000097" w:sz="4" w:space="0"/>
      </w:tblBorders>
    </w:tblPr>
    <w:tblStylePr w:type="firstRow">
      <w:rPr>
        <w:rFonts w:ascii="Arial" w:hAnsi="Arial"/>
        <w:b w:val="1"/>
        <w:color w:val="ffffff"/>
        <w:sz w:val="22"/>
      </w:rPr>
      <w:tblPr/>
      <w:tcPr>
        <w:shd w:val="clear" w:color="f4b184" w:themeColor="accent2" w:themeTint="000097" w:fill="f4b184" w:themeFill="accent2" w:themeFillTint="000097"/>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val="single" w:color="f4b184" w:themeColor="accent2" w:themeTint="000097" w:sz="4" w:space="0"/>
          <w:right w:val="single" w:color="f4b184" w:themeColor="accent2" w:themeTint="000097" w:sz="4" w:space="0"/>
        </w:tcBorders>
      </w:tcPr>
    </w:tblStylePr>
    <w:tblStylePr w:type="band1Horz">
      <w:rPr>
        <w:rFonts w:ascii="Arial" w:hAnsi="Arial"/>
        <w:color w:val="404040"/>
        <w:sz w:val="22"/>
      </w:rPr>
      <w:tblPr/>
      <w:tcPr>
        <w:tcBorders>
          <w:top w:val="single" w:color="f4b184" w:themeColor="accent2" w:themeTint="000097" w:sz="4" w:space="0"/>
          <w:bottom w:val="single" w:color="f4b184" w:themeColor="accent2" w:themeTint="000097" w:sz="4" w:space="0"/>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color="c9c9c9" w:themeColor="accent3" w:themeTint="000098" w:sz="4" w:space="0"/>
        <w:left w:val="single" w:color="c9c9c9" w:themeColor="accent3" w:themeTint="000098" w:sz="4" w:space="0"/>
        <w:bottom w:val="single" w:color="c9c9c9" w:themeColor="accent3" w:themeTint="000098" w:sz="4" w:space="0"/>
        <w:right w:val="single" w:color="c9c9c9" w:themeColor="accent3" w:themeTint="000098" w:sz="4" w:space="0"/>
      </w:tblBorders>
    </w:tblPr>
    <w:tblStylePr w:type="firstRow">
      <w:rPr>
        <w:rFonts w:ascii="Arial" w:hAnsi="Arial"/>
        <w:b w:val="1"/>
        <w:color w:val="ffffff"/>
        <w:sz w:val="22"/>
      </w:rPr>
      <w:tblPr/>
      <w:tcPr>
        <w:shd w:val="clear" w:color="c9c9c9" w:themeColor="accent3" w:themeTint="000098" w:fill="c9c9c9" w:themeFill="accent3" w:themeFillTint="000098"/>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val="single" w:color="c9c9c9" w:themeColor="accent3" w:themeTint="000098" w:sz="4" w:space="0"/>
          <w:right w:val="single" w:color="c9c9c9" w:themeColor="accent3" w:themeTint="000098" w:sz="4" w:space="0"/>
        </w:tcBorders>
      </w:tcPr>
    </w:tblStylePr>
    <w:tblStylePr w:type="band1Horz">
      <w:rPr>
        <w:rFonts w:ascii="Arial" w:hAnsi="Arial"/>
        <w:color w:val="404040"/>
        <w:sz w:val="22"/>
      </w:rPr>
      <w:tblPr/>
      <w:tcPr>
        <w:tcBorders>
          <w:top w:val="single" w:color="c9c9c9" w:themeColor="accent3" w:themeTint="000098" w:sz="4" w:space="0"/>
          <w:bottom w:val="single" w:color="c9c9c9" w:themeColor="accent3" w:themeTint="000098" w:sz="4" w:space="0"/>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color="ffd865" w:themeColor="accent4" w:themeTint="00009A" w:sz="4" w:space="0"/>
        <w:left w:val="single" w:color="ffd865" w:themeColor="accent4" w:themeTint="00009A" w:sz="4" w:space="0"/>
        <w:bottom w:val="single" w:color="ffd865" w:themeColor="accent4" w:themeTint="00009A" w:sz="4" w:space="0"/>
        <w:right w:val="single" w:color="ffd865" w:themeColor="accent4" w:themeTint="00009A" w:sz="4" w:space="0"/>
      </w:tblBorders>
    </w:tblPr>
    <w:tblStylePr w:type="firstRow">
      <w:rPr>
        <w:rFonts w:ascii="Arial" w:hAnsi="Arial"/>
        <w:b w:val="1"/>
        <w:color w:val="ffffff"/>
        <w:sz w:val="22"/>
      </w:rPr>
      <w:tblPr/>
      <w:tcPr>
        <w:shd w:val="clear" w:color="ffd865" w:themeColor="accent4" w:themeTint="00009A" w:fill="ffd865" w:themeFill="accent4" w:themeFillTint="00009A"/>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val="single" w:color="ffd865" w:themeColor="accent4" w:themeTint="00009A" w:sz="4" w:space="0"/>
          <w:right w:val="single" w:color="ffd865" w:themeColor="accent4" w:themeTint="00009A" w:sz="4" w:space="0"/>
        </w:tcBorders>
      </w:tcPr>
    </w:tblStylePr>
    <w:tblStylePr w:type="band1Horz">
      <w:rPr>
        <w:rFonts w:ascii="Arial" w:hAnsi="Arial"/>
        <w:color w:val="404040"/>
        <w:sz w:val="22"/>
      </w:rPr>
      <w:tblPr/>
      <w:tcPr>
        <w:tcBorders>
          <w:top w:val="single" w:color="ffd865" w:themeColor="accent4" w:themeTint="00009A" w:sz="4" w:space="0"/>
          <w:bottom w:val="single" w:color="ffd865" w:themeColor="accent4" w:themeTint="00009A" w:sz="4" w:space="0"/>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color="8da9db" w:themeColor="accent5" w:themeTint="00009A" w:sz="4" w:space="0"/>
        <w:left w:val="single" w:color="8da9db" w:themeColor="accent5" w:themeTint="00009A" w:sz="4" w:space="0"/>
        <w:bottom w:val="single" w:color="8da9db" w:themeColor="accent5" w:themeTint="00009A" w:sz="4" w:space="0"/>
        <w:right w:val="single" w:color="8da9db" w:themeColor="accent5" w:themeTint="00009A" w:sz="4" w:space="0"/>
      </w:tblBorders>
    </w:tblPr>
    <w:tblStylePr w:type="firstRow">
      <w:rPr>
        <w:rFonts w:ascii="Arial" w:hAnsi="Arial"/>
        <w:b w:val="1"/>
        <w:color w:val="ffffff"/>
        <w:sz w:val="22"/>
      </w:rPr>
      <w:tblPr/>
      <w:tcPr>
        <w:shd w:val="clear" w:color="8da9db" w:themeColor="accent5" w:themeTint="00009A" w:fill="8da9db" w:themeFill="accent5" w:themeFillTint="00009A"/>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val="single" w:color="8da9db" w:themeColor="accent5" w:themeTint="00009A" w:sz="4" w:space="0"/>
          <w:right w:val="single" w:color="8da9db" w:themeColor="accent5" w:themeTint="00009A" w:sz="4" w:space="0"/>
        </w:tcBorders>
      </w:tcPr>
    </w:tblStylePr>
    <w:tblStylePr w:type="band1Horz">
      <w:rPr>
        <w:rFonts w:ascii="Arial" w:hAnsi="Arial"/>
        <w:color w:val="404040"/>
        <w:sz w:val="22"/>
      </w:rPr>
      <w:tblPr/>
      <w:tcPr>
        <w:tcBorders>
          <w:top w:val="single" w:color="8da9db" w:themeColor="accent5" w:themeTint="00009A" w:sz="4" w:space="0"/>
          <w:bottom w:val="single" w:color="8da9db" w:themeColor="accent5" w:themeTint="00009A" w:sz="4" w:space="0"/>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color="a9d08e" w:themeColor="accent6" w:themeTint="000098" w:sz="4" w:space="0"/>
        <w:left w:val="single" w:color="a9d08e" w:themeColor="accent6" w:themeTint="000098" w:sz="4" w:space="0"/>
        <w:bottom w:val="single" w:color="a9d08e" w:themeColor="accent6" w:themeTint="000098" w:sz="4" w:space="0"/>
        <w:right w:val="single" w:color="a9d08e" w:themeColor="accent6" w:themeTint="000098" w:sz="4" w:space="0"/>
      </w:tblBorders>
    </w:tblPr>
    <w:tblStylePr w:type="firstRow">
      <w:rPr>
        <w:rFonts w:ascii="Arial" w:hAnsi="Arial"/>
        <w:b w:val="1"/>
        <w:color w:val="ffffff"/>
        <w:sz w:val="22"/>
      </w:rPr>
      <w:tblPr/>
      <w:tcPr>
        <w:shd w:val="clear" w:color="a9d08e" w:themeColor="accent6" w:themeTint="000098" w:fill="a9d08e" w:themeFill="accent6" w:themeFillTint="000098"/>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val="single" w:color="a9d08e" w:themeColor="accent6" w:themeTint="000098" w:sz="4" w:space="0"/>
          <w:right w:val="single" w:color="a9d08e" w:themeColor="accent6" w:themeTint="000098" w:sz="4" w:space="0"/>
        </w:tcBorders>
      </w:tcPr>
    </w:tblStylePr>
    <w:tblStylePr w:type="band1Horz">
      <w:rPr>
        <w:rFonts w:ascii="Arial" w:hAnsi="Arial"/>
        <w:color w:val="404040"/>
        <w:sz w:val="22"/>
      </w:rPr>
      <w:tblPr/>
      <w:tcPr>
        <w:tcBorders>
          <w:top w:val="single" w:color="a9d08e" w:themeColor="accent6" w:themeTint="000098" w:sz="4" w:space="0"/>
          <w:bottom w:val="single" w:color="a9d08e" w:themeColor="accent6" w:themeTint="000098" w:sz="4" w:space="0"/>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val="1"/>
        <w:color w:val="ffffff"/>
        <w:sz w:val="22"/>
      </w:rPr>
      <w:tblPr/>
      <w:tcPr>
        <w:shd w:val="clear" w:color="000000" w:themeColor="text1" w:fill="000000" w:themeFill="text1"/>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val="clear" w:color="bfbfbf" w:themeColor="text1" w:themeTint="000040" w:fill="bfbfbf" w:themeFill="text1" w:themeFillTint="000040"/>
      </w:tcPr>
    </w:tblStylePr>
    <w:tblStylePr w:type="band1Horz">
      <w:rPr>
        <w:rFonts w:ascii="Arial" w:hAnsi="Arial"/>
        <w:color w:val="404040"/>
        <w:sz w:val="22"/>
      </w:rPr>
      <w:tblPr/>
      <w:tcPr>
        <w:shd w:val="clear" w:color="bfbfbf" w:themeColor="text1" w:themeTint="000040" w:fill="bfbfbf" w:themeFill="text1" w:themeFillTint="0000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color="a2c6e7" w:themeColor="accent1" w:themeTint="000090" w:sz="4" w:space="0"/>
        <w:left w:val="single" w:color="a2c6e7" w:themeColor="accent1" w:themeTint="000090" w:sz="4" w:space="0"/>
        <w:bottom w:val="single" w:color="a2c6e7" w:themeColor="accent1" w:themeTint="000090" w:sz="4" w:space="0"/>
        <w:right w:val="single" w:color="a2c6e7" w:themeColor="accent1" w:themeTint="000090" w:sz="4" w:space="0"/>
        <w:insideH w:val="single" w:color="a2c6e7" w:themeColor="accent1" w:themeTint="000090" w:sz="4" w:space="0"/>
      </w:tblBorders>
    </w:tblPr>
    <w:tblStylePr w:type="firstRow">
      <w:rPr>
        <w:rFonts w:ascii="Arial" w:hAnsi="Arial"/>
        <w:b w:val="1"/>
        <w:color w:val="ffffff"/>
        <w:sz w:val="22"/>
      </w:rPr>
      <w:tblPr/>
      <w:tcPr>
        <w:shd w:val="clear" w:color="5b9bd5" w:themeColor="accent1" w:fill="5b9bd5" w:themeFill="accent1"/>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val="clear" w:color="d5e5f4" w:themeColor="accent1" w:themeTint="000040" w:fill="d5e5f4" w:themeFill="accent1" w:themeFillTint="000040"/>
      </w:tcPr>
    </w:tblStylePr>
    <w:tblStylePr w:type="band1Horz">
      <w:rPr>
        <w:rFonts w:ascii="Arial" w:hAnsi="Arial"/>
        <w:color w:val="404040"/>
        <w:sz w:val="22"/>
      </w:rPr>
      <w:tblPr/>
      <w:tcPr>
        <w:shd w:val="clear" w:color="d5e5f4" w:themeColor="accent1" w:themeTint="000040" w:fill="d5e5f4" w:themeFill="accent1" w:themeFillTint="0000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color="f4b58a" w:themeColor="accent2" w:themeTint="000090" w:sz="4" w:space="0"/>
        <w:left w:val="single" w:color="f4b58a" w:themeColor="accent2" w:themeTint="000090" w:sz="4" w:space="0"/>
        <w:bottom w:val="single" w:color="f4b58a" w:themeColor="accent2" w:themeTint="000090" w:sz="4" w:space="0"/>
        <w:right w:val="single" w:color="f4b58a" w:themeColor="accent2" w:themeTint="000090" w:sz="4" w:space="0"/>
        <w:insideH w:val="single" w:color="f4b58a" w:themeColor="accent2" w:themeTint="000090" w:sz="4" w:space="0"/>
      </w:tblBorders>
    </w:tblPr>
    <w:tblStylePr w:type="firstRow">
      <w:rPr>
        <w:rFonts w:ascii="Arial" w:hAnsi="Arial"/>
        <w:b w:val="1"/>
        <w:color w:val="ffffff"/>
        <w:sz w:val="22"/>
      </w:rPr>
      <w:tblPr/>
      <w:tcPr>
        <w:shd w:val="clear" w:color="ed7d31" w:themeColor="accent2" w:fill="ed7d31" w:themeFill="accent2"/>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val="clear" w:color="fadecb" w:themeColor="accent2" w:themeTint="000040" w:fill="fadecb" w:themeFill="accent2" w:themeFillTint="000040"/>
      </w:tcPr>
    </w:tblStylePr>
    <w:tblStylePr w:type="band1Horz">
      <w:rPr>
        <w:rFonts w:ascii="Arial" w:hAnsi="Arial"/>
        <w:color w:val="404040"/>
        <w:sz w:val="22"/>
      </w:rPr>
      <w:tblPr/>
      <w:tcPr>
        <w:shd w:val="clear" w:color="fadecb" w:themeColor="accent2" w:themeTint="000040" w:fill="fadecb" w:themeFill="accent2" w:themeFillTint="0000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color="cccccc" w:themeColor="accent3" w:themeTint="000090" w:sz="4" w:space="0"/>
        <w:left w:val="single" w:color="cccccc" w:themeColor="accent3" w:themeTint="000090" w:sz="4" w:space="0"/>
        <w:bottom w:val="single" w:color="cccccc" w:themeColor="accent3" w:themeTint="000090" w:sz="4" w:space="0"/>
        <w:right w:val="single" w:color="cccccc" w:themeColor="accent3" w:themeTint="000090" w:sz="4" w:space="0"/>
        <w:insideH w:val="single" w:color="cccccc" w:themeColor="accent3" w:themeTint="000090" w:sz="4" w:space="0"/>
      </w:tblBorders>
    </w:tblPr>
    <w:tblStylePr w:type="firstRow">
      <w:rPr>
        <w:rFonts w:ascii="Arial" w:hAnsi="Arial"/>
        <w:b w:val="1"/>
        <w:color w:val="ffffff"/>
        <w:sz w:val="22"/>
      </w:rPr>
      <w:tblPr/>
      <w:tcPr>
        <w:shd w:val="clear" w:color="a5a5a5" w:themeColor="accent3" w:fill="a5a5a5" w:themeFill="accent3"/>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val="clear" w:color="e8e8e8" w:themeColor="accent3" w:themeTint="000040" w:fill="e8e8e8" w:themeFill="accent3" w:themeFillTint="000040"/>
      </w:tcPr>
    </w:tblStylePr>
    <w:tblStylePr w:type="band1Horz">
      <w:rPr>
        <w:rFonts w:ascii="Arial" w:hAnsi="Arial"/>
        <w:color w:val="404040"/>
        <w:sz w:val="22"/>
      </w:rPr>
      <w:tblPr/>
      <w:tcPr>
        <w:shd w:val="clear" w:color="e8e8e8" w:themeColor="accent3" w:themeTint="000040" w:fill="e8e8e8" w:themeFill="accent3" w:themeFillTint="0000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color="ffdb6f" w:themeColor="accent4" w:themeTint="000090" w:sz="4" w:space="0"/>
        <w:left w:val="single" w:color="ffdb6f" w:themeColor="accent4" w:themeTint="000090" w:sz="4" w:space="0"/>
        <w:bottom w:val="single" w:color="ffdb6f" w:themeColor="accent4" w:themeTint="000090" w:sz="4" w:space="0"/>
        <w:right w:val="single" w:color="ffdb6f" w:themeColor="accent4" w:themeTint="000090" w:sz="4" w:space="0"/>
        <w:insideH w:val="single" w:color="ffdb6f" w:themeColor="accent4" w:themeTint="000090" w:sz="4" w:space="0"/>
      </w:tblBorders>
    </w:tblPr>
    <w:tblStylePr w:type="firstRow">
      <w:rPr>
        <w:rFonts w:ascii="Arial" w:hAnsi="Arial"/>
        <w:b w:val="1"/>
        <w:color w:val="ffffff"/>
        <w:sz w:val="22"/>
      </w:rPr>
      <w:tblPr/>
      <w:tcPr>
        <w:shd w:val="clear" w:color="ffc000" w:themeColor="accent4" w:fill="ffc000" w:themeFill="accent4"/>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val="clear" w:color="ffefbf" w:themeColor="accent4" w:themeTint="000040" w:fill="ffefbf" w:themeFill="accent4" w:themeFillTint="000040"/>
      </w:tcPr>
    </w:tblStylePr>
    <w:tblStylePr w:type="band1Horz">
      <w:rPr>
        <w:rFonts w:ascii="Arial" w:hAnsi="Arial"/>
        <w:color w:val="404040"/>
        <w:sz w:val="22"/>
      </w:rPr>
      <w:tblPr/>
      <w:tcPr>
        <w:shd w:val="clear" w:color="ffefbf" w:themeColor="accent4" w:themeTint="000040" w:fill="ffefbf" w:themeFill="accent4" w:themeFillTint="0000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color="95afdd" w:themeColor="accent5" w:themeTint="000090" w:sz="4" w:space="0"/>
        <w:left w:val="single" w:color="95afdd" w:themeColor="accent5" w:themeTint="000090" w:sz="4" w:space="0"/>
        <w:bottom w:val="single" w:color="95afdd" w:themeColor="accent5" w:themeTint="000090" w:sz="4" w:space="0"/>
        <w:right w:val="single" w:color="95afdd" w:themeColor="accent5" w:themeTint="000090" w:sz="4" w:space="0"/>
        <w:insideH w:val="single" w:color="95afdd" w:themeColor="accent5" w:themeTint="000090" w:sz="4" w:space="0"/>
      </w:tblBorders>
    </w:tblPr>
    <w:tblStylePr w:type="firstRow">
      <w:rPr>
        <w:rFonts w:ascii="Arial" w:hAnsi="Arial"/>
        <w:b w:val="1"/>
        <w:color w:val="ffffff"/>
        <w:sz w:val="22"/>
      </w:rPr>
      <w:tblPr/>
      <w:tcPr>
        <w:shd w:val="clear" w:color="4472c4" w:themeColor="accent5" w:fill="4472c4" w:themeFill="accent5"/>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val="clear" w:color="cfdbf0" w:themeColor="accent5" w:themeTint="000040" w:fill="cfdbf0" w:themeFill="accent5" w:themeFillTint="000040"/>
      </w:tcPr>
    </w:tblStylePr>
    <w:tblStylePr w:type="band1Horz">
      <w:rPr>
        <w:rFonts w:ascii="Arial" w:hAnsi="Arial"/>
        <w:color w:val="404040"/>
        <w:sz w:val="22"/>
      </w:rPr>
      <w:tblPr/>
      <w:tcPr>
        <w:shd w:val="clear" w:color="cfdbf0" w:themeColor="accent5" w:themeTint="000040" w:fill="cfdbf0" w:themeFill="accent5" w:themeFillTint="0000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color="add394" w:themeColor="accent6" w:themeTint="000090" w:sz="4" w:space="0"/>
        <w:left w:val="single" w:color="add394" w:themeColor="accent6" w:themeTint="000090" w:sz="4" w:space="0"/>
        <w:bottom w:val="single" w:color="add394" w:themeColor="accent6" w:themeTint="000090" w:sz="4" w:space="0"/>
        <w:right w:val="single" w:color="add394" w:themeColor="accent6" w:themeTint="000090" w:sz="4" w:space="0"/>
        <w:insideH w:val="single" w:color="add394" w:themeColor="accent6" w:themeTint="000090" w:sz="4" w:space="0"/>
      </w:tblBorders>
    </w:tblPr>
    <w:tblStylePr w:type="firstRow">
      <w:rPr>
        <w:rFonts w:ascii="Arial" w:hAnsi="Arial"/>
        <w:b w:val="1"/>
        <w:color w:val="ffffff"/>
        <w:sz w:val="22"/>
      </w:rPr>
      <w:tblPr/>
      <w:tcPr>
        <w:shd w:val="clear" w:color="70ad47" w:themeColor="accent6" w:fill="70ad47" w:themeFill="accent6"/>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val="clear" w:color="daebcf" w:themeColor="accent6" w:themeTint="000040" w:fill="daebcf" w:themeFill="accent6" w:themeFillTint="000040"/>
      </w:tcPr>
    </w:tblStylePr>
    <w:tblStylePr w:type="band1Horz">
      <w:rPr>
        <w:rFonts w:ascii="Arial" w:hAnsi="Arial"/>
        <w:color w:val="404040"/>
        <w:sz w:val="22"/>
      </w:rPr>
      <w:tblPr/>
      <w:tcPr>
        <w:shd w:val="clear" w:color="daebcf" w:themeColor="accent6" w:themeTint="000040" w:fill="daebcf" w:themeFill="accent6" w:themeFillTint="0000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color="7f7f7f" w:themeColor="text1" w:themeTint="000080" w:sz="32" w:space="0"/>
        <w:left w:val="single" w:color="7f7f7f" w:themeColor="text1" w:themeTint="000080" w:sz="32" w:space="0"/>
        <w:bottom w:val="single" w:color="7f7f7f" w:themeColor="text1" w:themeTint="000080" w:sz="32" w:space="0"/>
        <w:right w:val="single" w:color="7f7f7f" w:themeColor="text1" w:themeTint="000080" w:sz="32" w:space="0"/>
      </w:tblBorders>
      <w:shd w:val="clear" w:color="7f7f7f" w:themeColor="text1" w:themeTint="000080" w:fill="7f7f7f" w:themeFill="text1" w:themeFillTint="000080"/>
    </w:tblPr>
    <w:tblStylePr w:type="firstRow">
      <w:rPr>
        <w:rFonts w:ascii="Arial" w:hAnsi="Arial"/>
        <w:b w:val="1"/>
        <w:color w:val="ffffff" w:themeColor="light1"/>
        <w:sz w:val="22"/>
      </w:rPr>
      <w:tblPr/>
      <w:tcPr>
        <w:tcBorders>
          <w:top w:val="single" w:color="7f7f7f" w:themeColor="text1" w:themeTint="000080" w:sz="32" w:space="0"/>
          <w:bottom w:val="single" w:color="ffffff" w:themeColor="light1" w:sz="12" w:space="0"/>
        </w:tcBorders>
        <w:shd w:val="clear" w:color="7f7f7f" w:themeColor="text1" w:themeTint="000080" w:fill="7f7f7f" w:themeFill="text1" w:themeFillTint="000080"/>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val="single" w:color="7f7f7f" w:themeColor="text1" w:themeTint="000080" w:sz="32" w:space="0"/>
          <w:right w:val="single" w:color="ffffff" w:themeColor="light1" w:sz="4" w:space="0"/>
        </w:tcBorders>
      </w:tcPr>
    </w:tblStylePr>
    <w:tblStylePr w:type="lastCol">
      <w:tblPr/>
      <w:tcPr>
        <w:tcBorders>
          <w:left w:val="single" w:color="ffffff" w:themeColor="light1" w:sz="4" w:space="0"/>
          <w:right w:val="single" w:color="7f7f7f" w:themeColor="text1" w:themeTint="000080" w:sz="32" w:space="0"/>
        </w:tcBorders>
      </w:tcPr>
    </w:tblStylePr>
    <w:tblStylePr w:type="band1Vert">
      <w:tblPr/>
      <w:tcPr>
        <w:tcBorders>
          <w:left w:val="single" w:color="ffffff" w:themeColor="light1" w:sz="4" w:space="0"/>
          <w:right w:val="single" w:color="ffffff" w:themeColor="light1" w:sz="4" w:space="0"/>
        </w:tcBorders>
        <w:shd w:val="clear" w:color="7f7f7f" w:themeColor="text1" w:themeTint="000080" w:fill="7f7f7f" w:themeFill="text1" w:themeFillTint="0000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f7f7f" w:themeColor="text1" w:themeTint="000080" w:fill="7f7f7f" w:themeFill="text1" w:themeFillTint="000080"/>
      </w:tcPr>
    </w:tblStylePr>
    <w:tblStylePr w:type="band2Horz">
      <w:tblPr/>
      <w:tcPr>
        <w:tcBorders>
          <w:top w:val="single" w:color="ffffff" w:themeColor="light1" w:sz="4" w:space="0"/>
          <w:bottom w:val="single" w:color="ffffff" w:themeColor="light1" w:sz="4" w:space="0"/>
        </w:tcBorders>
        <w:shd w:val="clear" w:color="7f7f7f" w:themeColor="text1" w:themeTint="000080" w:fill="7f7f7f" w:themeFill="text1" w:themeFillTint="0000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blStylePr w:type="firstRow">
      <w:rPr>
        <w:rFonts w:ascii="Arial" w:hAnsi="Arial"/>
        <w:b w:val="1"/>
        <w:color w:val="ffffff" w:themeColor="light1"/>
        <w:sz w:val="22"/>
      </w:rPr>
      <w:tbl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val="single" w:color="5b9bd5" w:themeColor="accent1" w:sz="32" w:space="0"/>
          <w:right w:val="single" w:color="ffffff" w:themeColor="light1" w:sz="4" w:space="0"/>
        </w:tcBorders>
      </w:tcPr>
    </w:tblStylePr>
    <w:tblStylePr w:type="lastCol">
      <w:tblPr/>
      <w:tcPr>
        <w:tcBorders>
          <w:left w:val="single" w:color="ffffff" w:themeColor="light1" w:sz="4" w:space="0"/>
          <w:right w:val="single" w:color="5b9bd5" w:themeColor="accent1" w:sz="32" w:space="0"/>
        </w:tcBorders>
      </w:tcPr>
    </w:tblStylePr>
    <w:tblStylePr w:type="band1Vert">
      <w:tblPr/>
      <w:tcPr>
        <w:tcBorders>
          <w:left w:val="single" w:color="ffffff" w:themeColor="light1" w:sz="4" w:space="0"/>
          <w:right w:val="single" w:color="ffffff" w:themeColor="light1" w:sz="4" w:space="0"/>
        </w:tcBorders>
        <w:shd w:val="clear" w:color="5b9bd5" w:themeColor="accent1" w:fill="5b9bd5"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5b9bd5" w:themeColor="accent1" w:fill="5b9bd5" w:themeFill="accent1"/>
      </w:tcPr>
    </w:tblStylePr>
    <w:tblStylePr w:type="band2Horz">
      <w:tblPr/>
      <w:tcPr>
        <w:tcBorders>
          <w:top w:val="single" w:color="ffffff" w:themeColor="light1" w:sz="4" w:space="0"/>
          <w:bottom w:val="single" w:color="ffffff" w:themeColor="light1" w:sz="4" w:space="0"/>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color="f4b184" w:themeColor="accent2" w:themeTint="000097" w:sz="32" w:space="0"/>
        <w:left w:val="single" w:color="f4b184" w:themeColor="accent2" w:themeTint="000097" w:sz="32" w:space="0"/>
        <w:bottom w:val="single" w:color="f4b184" w:themeColor="accent2" w:themeTint="000097" w:sz="32" w:space="0"/>
        <w:right w:val="single" w:color="f4b184" w:themeColor="accent2" w:themeTint="000097" w:sz="32" w:space="0"/>
      </w:tblBorders>
      <w:shd w:val="clear" w:color="f4b184" w:themeColor="accent2" w:themeTint="000097" w:fill="f4b184" w:themeFill="accent2" w:themeFillTint="000097"/>
    </w:tblPr>
    <w:tblStylePr w:type="firstRow">
      <w:rPr>
        <w:rFonts w:ascii="Arial" w:hAnsi="Arial"/>
        <w:b w:val="1"/>
        <w:color w:val="ffffff" w:themeColor="light1"/>
        <w:sz w:val="22"/>
      </w:rPr>
      <w:tblPr/>
      <w:tcPr>
        <w:tcBorders>
          <w:top w:val="single" w:color="f4b184" w:themeColor="accent2" w:themeTint="000097" w:sz="32" w:space="0"/>
          <w:bottom w:val="single" w:color="ffffff" w:themeColor="light1" w:sz="12" w:space="0"/>
        </w:tcBorders>
        <w:shd w:val="clear" w:color="f4b184" w:themeColor="accent2" w:themeTint="000097" w:fill="f4b184" w:themeFill="accent2" w:themeFillTint="000097"/>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val="single" w:color="f4b184" w:themeColor="accent2" w:themeTint="000097" w:sz="32" w:space="0"/>
          <w:right w:val="single" w:color="ffffff" w:themeColor="light1" w:sz="4" w:space="0"/>
        </w:tcBorders>
      </w:tcPr>
    </w:tblStylePr>
    <w:tblStylePr w:type="lastCol">
      <w:tblPr/>
      <w:tcPr>
        <w:tcBorders>
          <w:left w:val="single" w:color="ffffff" w:themeColor="light1" w:sz="4" w:space="0"/>
          <w:right w:val="single" w:color="f4b184" w:themeColor="accent2" w:themeTint="000097" w:sz="32" w:space="0"/>
        </w:tcBorders>
      </w:tcPr>
    </w:tblStylePr>
    <w:tblStylePr w:type="band1Vert">
      <w:tblPr/>
      <w:tcPr>
        <w:tcBorders>
          <w:left w:val="single" w:color="ffffff" w:themeColor="light1" w:sz="4" w:space="0"/>
          <w:right w:val="single" w:color="ffffff" w:themeColor="light1" w:sz="4" w:space="0"/>
        </w:tcBorders>
        <w:shd w:val="clear" w:color="f4b184" w:themeColor="accent2" w:themeTint="000097" w:fill="f4b184" w:themeFill="accent2" w:themeFillTint="0000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4b184" w:themeColor="accent2" w:themeTint="000097" w:fill="f4b184" w:themeFill="accent2" w:themeFillTint="000097"/>
      </w:tcPr>
    </w:tblStylePr>
    <w:tblStylePr w:type="band2Horz">
      <w:tblPr/>
      <w:tcPr>
        <w:tcBorders>
          <w:top w:val="single" w:color="ffffff" w:themeColor="light1" w:sz="4" w:space="0"/>
          <w:bottom w:val="single" w:color="ffffff" w:themeColor="light1" w:sz="4" w:space="0"/>
        </w:tcBorders>
        <w:shd w:val="clear" w:color="f4b184" w:themeColor="accent2" w:themeTint="000097" w:fill="f4b184" w:themeFill="accent2" w:themeFillTint="0000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color="c9c9c9" w:themeColor="accent3" w:themeTint="000098" w:sz="32" w:space="0"/>
        <w:left w:val="single" w:color="c9c9c9" w:themeColor="accent3" w:themeTint="000098" w:sz="32" w:space="0"/>
        <w:bottom w:val="single" w:color="c9c9c9" w:themeColor="accent3" w:themeTint="000098" w:sz="32" w:space="0"/>
        <w:right w:val="single" w:color="c9c9c9" w:themeColor="accent3" w:themeTint="000098" w:sz="32" w:space="0"/>
      </w:tblBorders>
      <w:shd w:val="clear" w:color="c9c9c9" w:themeColor="accent3" w:themeTint="000098" w:fill="c9c9c9" w:themeFill="accent3" w:themeFillTint="000098"/>
    </w:tblPr>
    <w:tblStylePr w:type="firstRow">
      <w:rPr>
        <w:rFonts w:ascii="Arial" w:hAnsi="Arial"/>
        <w:b w:val="1"/>
        <w:color w:val="ffffff" w:themeColor="light1"/>
        <w:sz w:val="22"/>
      </w:rPr>
      <w:tblPr/>
      <w:tcPr>
        <w:tcBorders>
          <w:top w:val="single" w:color="c9c9c9" w:themeColor="accent3" w:themeTint="000098" w:sz="32" w:space="0"/>
          <w:bottom w:val="single" w:color="ffffff" w:themeColor="light1" w:sz="12" w:space="0"/>
        </w:tcBorders>
        <w:shd w:val="clear" w:color="c9c9c9" w:themeColor="accent3" w:themeTint="000098" w:fill="c9c9c9" w:themeFill="accent3" w:themeFillTint="000098"/>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val="single" w:color="c9c9c9" w:themeColor="accent3" w:themeTint="000098" w:sz="32" w:space="0"/>
          <w:right w:val="single" w:color="ffffff" w:themeColor="light1" w:sz="4" w:space="0"/>
        </w:tcBorders>
      </w:tcPr>
    </w:tblStylePr>
    <w:tblStylePr w:type="lastCol">
      <w:tblPr/>
      <w:tcPr>
        <w:tcBorders>
          <w:left w:val="single" w:color="ffffff" w:themeColor="light1" w:sz="4" w:space="0"/>
          <w:right w:val="single" w:color="c9c9c9" w:themeColor="accent3" w:themeTint="000098" w:sz="32" w:space="0"/>
        </w:tcBorders>
      </w:tcPr>
    </w:tblStylePr>
    <w:tblStylePr w:type="band1Vert">
      <w:tblPr/>
      <w:tcPr>
        <w:tcBorders>
          <w:left w:val="single" w:color="ffffff" w:themeColor="light1" w:sz="4" w:space="0"/>
          <w:right w:val="single" w:color="ffffff" w:themeColor="light1" w:sz="4" w:space="0"/>
        </w:tcBorders>
        <w:shd w:val="clear" w:color="c9c9c9" w:themeColor="accent3" w:themeTint="000098" w:fill="c9c9c9" w:themeFill="accent3" w:themeFillTint="0000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9c9c9" w:themeColor="accent3" w:themeTint="000098" w:fill="c9c9c9" w:themeFill="accent3" w:themeFillTint="000098"/>
      </w:tcPr>
    </w:tblStylePr>
    <w:tblStylePr w:type="band2Horz">
      <w:tblPr/>
      <w:tcPr>
        <w:tcBorders>
          <w:top w:val="single" w:color="ffffff" w:themeColor="light1" w:sz="4" w:space="0"/>
          <w:bottom w:val="single" w:color="ffffff" w:themeColor="light1" w:sz="4" w:space="0"/>
        </w:tcBorders>
        <w:shd w:val="clear" w:color="c9c9c9" w:themeColor="accent3" w:themeTint="000098" w:fill="c9c9c9" w:themeFill="accent3" w:themeFillTint="0000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color="ffd865" w:themeColor="accent4" w:themeTint="00009A" w:sz="32" w:space="0"/>
        <w:left w:val="single" w:color="ffd865" w:themeColor="accent4" w:themeTint="00009A" w:sz="32" w:space="0"/>
        <w:bottom w:val="single" w:color="ffd865" w:themeColor="accent4" w:themeTint="00009A" w:sz="32" w:space="0"/>
        <w:right w:val="single" w:color="ffd865" w:themeColor="accent4" w:themeTint="00009A" w:sz="32" w:space="0"/>
      </w:tblBorders>
      <w:shd w:val="clear" w:color="ffd865" w:themeColor="accent4" w:themeTint="00009A" w:fill="ffd865" w:themeFill="accent4" w:themeFillTint="00009A"/>
    </w:tblPr>
    <w:tblStylePr w:type="firstRow">
      <w:rPr>
        <w:rFonts w:ascii="Arial" w:hAnsi="Arial"/>
        <w:b w:val="1"/>
        <w:color w:val="ffffff" w:themeColor="light1"/>
        <w:sz w:val="22"/>
      </w:rPr>
      <w:tblPr/>
      <w:tcPr>
        <w:tcBorders>
          <w:top w:val="single" w:color="ffd865" w:themeColor="accent4" w:themeTint="00009A" w:sz="32" w:space="0"/>
          <w:bottom w:val="single" w:color="ffffff" w:themeColor="light1" w:sz="12" w:space="0"/>
        </w:tcBorders>
        <w:shd w:val="clear" w:color="ffd865" w:themeColor="accent4" w:themeTint="00009A" w:fill="ffd865" w:themeFill="accent4" w:themeFillTint="00009A"/>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val="single" w:color="ffd865" w:themeColor="accent4" w:themeTint="00009A" w:sz="32" w:space="0"/>
          <w:right w:val="single" w:color="ffffff" w:themeColor="light1" w:sz="4" w:space="0"/>
        </w:tcBorders>
      </w:tcPr>
    </w:tblStylePr>
    <w:tblStylePr w:type="lastCol">
      <w:tblPr/>
      <w:tcPr>
        <w:tcBorders>
          <w:left w:val="single" w:color="ffffff" w:themeColor="light1" w:sz="4" w:space="0"/>
          <w:right w:val="single" w:color="ffd865" w:themeColor="accent4" w:themeTint="00009A" w:sz="32" w:space="0"/>
        </w:tcBorders>
      </w:tcPr>
    </w:tblStylePr>
    <w:tblStylePr w:type="band1Vert">
      <w:tblPr/>
      <w:tcPr>
        <w:tcBorders>
          <w:left w:val="single" w:color="ffffff" w:themeColor="light1" w:sz="4" w:space="0"/>
          <w:right w:val="single" w:color="ffffff" w:themeColor="light1" w:sz="4" w:space="0"/>
        </w:tcBorders>
        <w:shd w:val="clear" w:color="ffd865" w:themeColor="accent4" w:themeTint="00009A" w:fill="ffd865" w:themeFill="accent4" w:themeFillTint="0000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d865" w:themeColor="accent4" w:themeTint="00009A" w:fill="ffd865" w:themeFill="accent4" w:themeFillTint="00009A"/>
      </w:tcPr>
    </w:tblStylePr>
    <w:tblStylePr w:type="band2Horz">
      <w:tblPr/>
      <w:tcPr>
        <w:tcBorders>
          <w:top w:val="single" w:color="ffffff" w:themeColor="light1" w:sz="4" w:space="0"/>
          <w:bottom w:val="single" w:color="ffffff" w:themeColor="light1" w:sz="4" w:space="0"/>
        </w:tcBorders>
        <w:shd w:val="clear" w:color="ffd865" w:themeColor="accent4" w:themeTint="00009A" w:fill="ffd865" w:themeFill="accent4" w:themeFillTint="0000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color="8da9db" w:themeColor="accent5" w:themeTint="00009A" w:sz="32" w:space="0"/>
        <w:left w:val="single" w:color="8da9db" w:themeColor="accent5" w:themeTint="00009A" w:sz="32" w:space="0"/>
        <w:bottom w:val="single" w:color="8da9db" w:themeColor="accent5" w:themeTint="00009A" w:sz="32" w:space="0"/>
        <w:right w:val="single" w:color="8da9db" w:themeColor="accent5" w:themeTint="00009A" w:sz="32" w:space="0"/>
      </w:tblBorders>
      <w:shd w:val="clear" w:color="8da9db" w:themeColor="accent5" w:themeTint="00009A" w:fill="8da9db" w:themeFill="accent5" w:themeFillTint="00009A"/>
    </w:tblPr>
    <w:tblStylePr w:type="firstRow">
      <w:rPr>
        <w:rFonts w:ascii="Arial" w:hAnsi="Arial"/>
        <w:b w:val="1"/>
        <w:color w:val="ffffff" w:themeColor="light1"/>
        <w:sz w:val="22"/>
      </w:rPr>
      <w:tblPr/>
      <w:tcPr>
        <w:tcBorders>
          <w:top w:val="single" w:color="8da9db" w:themeColor="accent5" w:themeTint="00009A" w:sz="32" w:space="0"/>
          <w:bottom w:val="single" w:color="ffffff" w:themeColor="light1" w:sz="12" w:space="0"/>
        </w:tcBorders>
        <w:shd w:val="clear" w:color="8da9db" w:themeColor="accent5" w:themeTint="00009A" w:fill="8da9db" w:themeFill="accent5" w:themeFillTint="00009A"/>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val="single" w:color="8da9db" w:themeColor="accent5" w:themeTint="00009A" w:sz="32" w:space="0"/>
          <w:right w:val="single" w:color="ffffff" w:themeColor="light1" w:sz="4" w:space="0"/>
        </w:tcBorders>
      </w:tcPr>
    </w:tblStylePr>
    <w:tblStylePr w:type="lastCol">
      <w:tblPr/>
      <w:tcPr>
        <w:tcBorders>
          <w:left w:val="single" w:color="ffffff" w:themeColor="light1" w:sz="4" w:space="0"/>
          <w:right w:val="single" w:color="8da9db" w:themeColor="accent5" w:themeTint="00009A" w:sz="32" w:space="0"/>
        </w:tcBorders>
      </w:tcPr>
    </w:tblStylePr>
    <w:tblStylePr w:type="band1Vert">
      <w:tblPr/>
      <w:tcPr>
        <w:tcBorders>
          <w:left w:val="single" w:color="ffffff" w:themeColor="light1" w:sz="4" w:space="0"/>
          <w:right w:val="single" w:color="ffffff" w:themeColor="light1" w:sz="4" w:space="0"/>
        </w:tcBorders>
        <w:shd w:val="clear" w:color="8da9db" w:themeColor="accent5" w:themeTint="00009A" w:fill="8da9db" w:themeFill="accent5" w:themeFillTint="0000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8da9db" w:themeColor="accent5" w:themeTint="00009A" w:fill="8da9db" w:themeFill="accent5" w:themeFillTint="00009A"/>
      </w:tcPr>
    </w:tblStylePr>
    <w:tblStylePr w:type="band2Horz">
      <w:tblPr/>
      <w:tcPr>
        <w:tcBorders>
          <w:top w:val="single" w:color="ffffff" w:themeColor="light1" w:sz="4" w:space="0"/>
          <w:bottom w:val="single" w:color="ffffff" w:themeColor="light1" w:sz="4" w:space="0"/>
        </w:tcBorders>
        <w:shd w:val="clear" w:color="8da9db" w:themeColor="accent5" w:themeTint="00009A" w:fill="8da9db" w:themeFill="accent5" w:themeFillTint="0000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color="a9d08e" w:themeColor="accent6" w:themeTint="000098" w:sz="32" w:space="0"/>
        <w:left w:val="single" w:color="a9d08e" w:themeColor="accent6" w:themeTint="000098" w:sz="32" w:space="0"/>
        <w:bottom w:val="single" w:color="a9d08e" w:themeColor="accent6" w:themeTint="000098" w:sz="32" w:space="0"/>
        <w:right w:val="single" w:color="a9d08e" w:themeColor="accent6" w:themeTint="000098" w:sz="32" w:space="0"/>
      </w:tblBorders>
      <w:shd w:val="clear" w:color="a9d08e" w:themeColor="accent6" w:themeTint="000098" w:fill="a9d08e" w:themeFill="accent6" w:themeFillTint="000098"/>
    </w:tblPr>
    <w:tblStylePr w:type="firstRow">
      <w:rPr>
        <w:rFonts w:ascii="Arial" w:hAnsi="Arial"/>
        <w:b w:val="1"/>
        <w:color w:val="ffffff" w:themeColor="light1"/>
        <w:sz w:val="22"/>
      </w:rPr>
      <w:tblPr/>
      <w:tcPr>
        <w:tcBorders>
          <w:top w:val="single" w:color="a9d08e" w:themeColor="accent6" w:themeTint="000098" w:sz="32" w:space="0"/>
          <w:bottom w:val="single" w:color="ffffff" w:themeColor="light1" w:sz="12" w:space="0"/>
        </w:tcBorders>
        <w:shd w:val="clear" w:color="a9d08e" w:themeColor="accent6" w:themeTint="000098" w:fill="a9d08e" w:themeFill="accent6" w:themeFillTint="000098"/>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val="single" w:color="a9d08e" w:themeColor="accent6" w:themeTint="000098" w:sz="32" w:space="0"/>
          <w:right w:val="single" w:color="ffffff" w:themeColor="light1" w:sz="4" w:space="0"/>
        </w:tcBorders>
      </w:tcPr>
    </w:tblStylePr>
    <w:tblStylePr w:type="lastCol">
      <w:tblPr/>
      <w:tcPr>
        <w:tcBorders>
          <w:left w:val="single" w:color="ffffff" w:themeColor="light1" w:sz="4" w:space="0"/>
          <w:right w:val="single" w:color="a9d08e" w:themeColor="accent6" w:themeTint="000098" w:sz="32" w:space="0"/>
        </w:tcBorders>
      </w:tcPr>
    </w:tblStylePr>
    <w:tblStylePr w:type="band1Vert">
      <w:tblPr/>
      <w:tcPr>
        <w:tcBorders>
          <w:left w:val="single" w:color="ffffff" w:themeColor="light1" w:sz="4" w:space="0"/>
          <w:right w:val="single" w:color="ffffff" w:themeColor="light1" w:sz="4" w:space="0"/>
        </w:tcBorders>
        <w:shd w:val="clear" w:color="a9d08e" w:themeColor="accent6" w:themeTint="000098" w:fill="a9d08e" w:themeFill="accent6" w:themeFillTint="0000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a9d08e" w:themeColor="accent6" w:themeTint="000098" w:fill="a9d08e" w:themeFill="accent6" w:themeFillTint="000098"/>
      </w:tcPr>
    </w:tblStylePr>
    <w:tblStylePr w:type="band2Horz">
      <w:tblPr/>
      <w:tcPr>
        <w:tcBorders>
          <w:top w:val="single" w:color="ffffff" w:themeColor="light1" w:sz="4" w:space="0"/>
          <w:bottom w:val="single" w:color="ffffff" w:themeColor="light1" w:sz="4" w:space="0"/>
        </w:tcBorders>
        <w:shd w:val="clear" w:color="a9d08e" w:themeColor="accent6" w:themeTint="000098" w:fill="a9d08e" w:themeFill="accent6" w:themeFillTint="0000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color="7f7f7f" w:themeColor="text1" w:themeTint="000080" w:sz="4" w:space="0"/>
        <w:bottom w:val="single" w:color="7f7f7f" w:themeColor="text1" w:themeTint="000080" w:sz="4" w:space="0"/>
      </w:tblBorders>
    </w:tblPr>
    <w:tblStylePr w:type="firstRow">
      <w:rPr>
        <w:b w:val="1"/>
        <w:color w:val="000000" w:themeColor="text1"/>
      </w:rPr>
      <w:tblPr/>
      <w:tcPr>
        <w:tcBorders>
          <w:bottom w:val="single" w:color="7f7f7f" w:themeColor="text1" w:themeTint="000080" w:sz="4" w:space="0"/>
        </w:tcBorders>
      </w:tcPr>
    </w:tblStylePr>
    <w:tblStylePr w:type="lastRow">
      <w:rPr>
        <w:b w:val="1"/>
        <w:color w:val="000000" w:themeColor="text1"/>
      </w:rPr>
      <w:tblPr/>
      <w:tcPr>
        <w:tcBorders>
          <w:top w:val="single" w:color="7f7f7f" w:themeColor="text1" w:themeTint="000080" w:sz="4" w:space="0"/>
        </w:tcBorders>
      </w:tcPr>
    </w:tblStylePr>
    <w:tblStylePr w:type="firstCol">
      <w:rPr>
        <w:b w:val="1"/>
        <w:color w:val="000000" w:themeColor="text1"/>
      </w:rPr>
    </w:tblStylePr>
    <w:tblStylePr w:type="lastCol">
      <w:rPr>
        <w:b w:val="1"/>
        <w:color w:val="000000" w:themeColor="text1"/>
      </w:rPr>
    </w:tblStylePr>
    <w:tblStylePr w:type="band1Vert">
      <w:tblPr/>
      <w:tcPr>
        <w:shd w:val="clear" w:color="bfbfbf" w:themeColor="text1" w:themeTint="000040" w:fill="bfbfbf" w:themeFill="text1" w:themeFillTint="000040"/>
      </w:tcPr>
    </w:tblStylePr>
    <w:tblStylePr w:type="band1Horz">
      <w:rPr>
        <w:rFonts w:ascii="Arial" w:hAnsi="Arial"/>
        <w:color w:val="000000" w:themeColor="text1"/>
        <w:sz w:val="22"/>
      </w:rPr>
      <w:tblPr/>
      <w:tcPr>
        <w:shd w:val="clear" w:color="bfbfbf" w:themeColor="text1" w:themeTint="000040" w:fill="bfbfbf" w:themeFill="text1" w:themeFillTint="0000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color="5b9bd5" w:themeColor="accent1" w:sz="4" w:space="0"/>
        <w:bottom w:val="single" w:color="5b9bd5" w:themeColor="accent1" w:sz="4" w:space="0"/>
      </w:tblBorders>
    </w:tblPr>
    <w:tblStylePr w:type="firstRow">
      <w:rPr>
        <w:b w:val="1"/>
        <w:color w:val="245a8d" w:themeColor="accent1" w:themeShade="000095"/>
      </w:rPr>
      <w:tblPr/>
      <w:tcPr>
        <w:tcBorders>
          <w:bottom w:val="single" w:color="5b9bd5" w:themeColor="accent1" w:sz="4" w:space="0"/>
        </w:tcBorders>
      </w:tcPr>
    </w:tblStylePr>
    <w:tblStylePr w:type="lastRow">
      <w:rPr>
        <w:b w:val="1"/>
        <w:color w:val="245a8d" w:themeColor="accent1" w:themeShade="000095"/>
      </w:rPr>
      <w:tblPr/>
      <w:tcPr>
        <w:tcBorders>
          <w:top w:val="single" w:color="5b9bd5" w:themeColor="accent1" w:sz="4" w:space="0"/>
        </w:tcBorders>
      </w:tcPr>
    </w:tblStylePr>
    <w:tblStylePr w:type="firstCol">
      <w:rPr>
        <w:b w:val="1"/>
        <w:color w:val="245a8d" w:themeColor="accent1" w:themeShade="000095"/>
      </w:rPr>
    </w:tblStylePr>
    <w:tblStylePr w:type="lastCol">
      <w:rPr>
        <w:b w:val="1"/>
        <w:color w:val="245a8d" w:themeColor="accent1" w:themeShade="000095"/>
      </w:rPr>
    </w:tblStylePr>
    <w:tblStylePr w:type="band1Vert">
      <w:tblPr/>
      <w:tcPr>
        <w:shd w:val="clear" w:color="d5e5f4" w:themeColor="accent1" w:themeTint="000040" w:fill="d5e5f4" w:themeFill="accent1" w:themeFillTint="000040"/>
      </w:tcPr>
    </w:tblStylePr>
    <w:tblStylePr w:type="band1Horz">
      <w:rPr>
        <w:rFonts w:ascii="Arial" w:hAnsi="Arial"/>
        <w:color w:val="245a8d" w:themeColor="accent1" w:themeShade="000095"/>
        <w:sz w:val="22"/>
      </w:rPr>
      <w:tblPr/>
      <w:tcPr>
        <w:shd w:val="clear" w:color="d5e5f4" w:themeColor="accent1" w:themeTint="000040" w:fill="d5e5f4" w:themeFill="accent1" w:themeFillTint="000040"/>
      </w:tcPr>
    </w:tblStylePr>
    <w:tblStylePr w:type="band2Horz">
      <w:rPr>
        <w:rFonts w:ascii="Arial" w:hAnsi="Arial"/>
        <w:color w:val="245a8d" w:themeColor="accent1" w:themeShade="0000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color="f4b184" w:themeColor="accent2" w:themeTint="000097" w:sz="4" w:space="0"/>
        <w:bottom w:val="single" w:color="f4b184" w:themeColor="accent2" w:themeTint="000097" w:sz="4" w:space="0"/>
      </w:tblBorders>
    </w:tblPr>
    <w:tblStylePr w:type="firstRow">
      <w:rPr>
        <w:b w:val="1"/>
        <w:color w:val="f4b184" w:themeColor="accent2" w:themeTint="000097" w:themeShade="000095"/>
      </w:rPr>
      <w:tblPr/>
      <w:tcPr>
        <w:tcBorders>
          <w:bottom w:val="single" w:color="f4b184" w:themeColor="accent2" w:themeTint="000097" w:sz="4" w:space="0"/>
        </w:tcBorders>
      </w:tcPr>
    </w:tblStylePr>
    <w:tblStylePr w:type="lastRow">
      <w:rPr>
        <w:b w:val="1"/>
        <w:color w:val="f4b184" w:themeColor="accent2" w:themeTint="000097" w:themeShade="000095"/>
      </w:rPr>
      <w:tblPr/>
      <w:tcPr>
        <w:tcBorders>
          <w:top w:val="single" w:color="f4b184" w:themeColor="accent2" w:themeTint="000097" w:sz="4" w:space="0"/>
        </w:tcBorders>
      </w:tcPr>
    </w:tblStylePr>
    <w:tblStylePr w:type="firstCol">
      <w:rPr>
        <w:b w:val="1"/>
        <w:color w:val="f4b184" w:themeColor="accent2" w:themeTint="000097" w:themeShade="000095"/>
      </w:rPr>
    </w:tblStylePr>
    <w:tblStylePr w:type="lastCol">
      <w:rPr>
        <w:b w:val="1"/>
        <w:color w:val="f4b184" w:themeColor="accent2" w:themeTint="000097" w:themeShade="000095"/>
      </w:rPr>
    </w:tblStylePr>
    <w:tblStylePr w:type="band1Vert">
      <w:tblPr/>
      <w:tcPr>
        <w:shd w:val="clear" w:color="fadecb" w:themeColor="accent2" w:themeTint="000040" w:fill="fadecb" w:themeFill="accent2" w:themeFillTint="000040"/>
      </w:tcPr>
    </w:tblStylePr>
    <w:tblStylePr w:type="band1Horz">
      <w:rPr>
        <w:rFonts w:ascii="Arial" w:hAnsi="Arial"/>
        <w:color w:val="f4b184" w:themeColor="accent2" w:themeTint="000097" w:themeShade="000095"/>
        <w:sz w:val="22"/>
      </w:rPr>
      <w:tblPr/>
      <w:tcPr>
        <w:shd w:val="clear" w:color="fadecb" w:themeColor="accent2" w:themeTint="000040" w:fill="fadecb" w:themeFill="accent2" w:themeFillTint="000040"/>
      </w:tcPr>
    </w:tblStylePr>
    <w:tblStylePr w:type="band2Horz">
      <w:rPr>
        <w:rFonts w:ascii="Arial" w:hAnsi="Arial"/>
        <w:color w:val="f4b184" w:themeColor="accent2" w:themeTint="000097" w:themeShade="0000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color="c9c9c9" w:themeColor="accent3" w:themeTint="000098" w:sz="4" w:space="0"/>
        <w:bottom w:val="single" w:color="c9c9c9" w:themeColor="accent3" w:themeTint="000098" w:sz="4" w:space="0"/>
      </w:tblBorders>
    </w:tblPr>
    <w:tblStylePr w:type="firstRow">
      <w:rPr>
        <w:b w:val="1"/>
        <w:color w:val="c9c9c9" w:themeColor="accent3" w:themeTint="000098" w:themeShade="000095"/>
      </w:rPr>
      <w:tblPr/>
      <w:tcPr>
        <w:tcBorders>
          <w:bottom w:val="single" w:color="c9c9c9" w:themeColor="accent3" w:themeTint="000098" w:sz="4" w:space="0"/>
        </w:tcBorders>
      </w:tcPr>
    </w:tblStylePr>
    <w:tblStylePr w:type="lastRow">
      <w:rPr>
        <w:b w:val="1"/>
        <w:color w:val="c9c9c9" w:themeColor="accent3" w:themeTint="000098" w:themeShade="000095"/>
      </w:rPr>
      <w:tblPr/>
      <w:tcPr>
        <w:tcBorders>
          <w:top w:val="single" w:color="c9c9c9" w:themeColor="accent3" w:themeTint="000098" w:sz="4" w:space="0"/>
        </w:tcBorders>
      </w:tcPr>
    </w:tblStylePr>
    <w:tblStylePr w:type="firstCol">
      <w:rPr>
        <w:b w:val="1"/>
        <w:color w:val="c9c9c9" w:themeColor="accent3" w:themeTint="000098" w:themeShade="000095"/>
      </w:rPr>
    </w:tblStylePr>
    <w:tblStylePr w:type="lastCol">
      <w:rPr>
        <w:b w:val="1"/>
        <w:color w:val="c9c9c9" w:themeColor="accent3" w:themeTint="000098" w:themeShade="000095"/>
      </w:rPr>
    </w:tblStylePr>
    <w:tblStylePr w:type="band1Vert">
      <w:tblPr/>
      <w:tcPr>
        <w:shd w:val="clear" w:color="e8e8e8" w:themeColor="accent3" w:themeTint="000040" w:fill="e8e8e8" w:themeFill="accent3" w:themeFillTint="000040"/>
      </w:tcPr>
    </w:tblStylePr>
    <w:tblStylePr w:type="band1Horz">
      <w:rPr>
        <w:rFonts w:ascii="Arial" w:hAnsi="Arial"/>
        <w:color w:val="c9c9c9" w:themeColor="accent3" w:themeTint="000098" w:themeShade="000095"/>
        <w:sz w:val="22"/>
      </w:rPr>
      <w:tblPr/>
      <w:tcPr>
        <w:shd w:val="clear" w:color="e8e8e8" w:themeColor="accent3" w:themeTint="000040" w:fill="e8e8e8" w:themeFill="accent3" w:themeFillTint="000040"/>
      </w:tcPr>
    </w:tblStylePr>
    <w:tblStylePr w:type="band2Horz">
      <w:rPr>
        <w:rFonts w:ascii="Arial" w:hAnsi="Arial"/>
        <w:color w:val="c9c9c9" w:themeColor="accent3" w:themeTint="000098" w:themeShade="0000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color="ffd865" w:themeColor="accent4" w:themeTint="00009A" w:sz="4" w:space="0"/>
        <w:bottom w:val="single" w:color="ffd865" w:themeColor="accent4" w:themeTint="00009A" w:sz="4" w:space="0"/>
      </w:tblBorders>
    </w:tblPr>
    <w:tblStylePr w:type="firstRow">
      <w:rPr>
        <w:b w:val="1"/>
        <w:color w:val="ffd865" w:themeColor="accent4" w:themeTint="00009A" w:themeShade="000095"/>
      </w:rPr>
      <w:tblPr/>
      <w:tcPr>
        <w:tcBorders>
          <w:bottom w:val="single" w:color="ffd865" w:themeColor="accent4" w:themeTint="00009A" w:sz="4" w:space="0"/>
        </w:tcBorders>
      </w:tcPr>
    </w:tblStylePr>
    <w:tblStylePr w:type="lastRow">
      <w:rPr>
        <w:b w:val="1"/>
        <w:color w:val="ffd865" w:themeColor="accent4" w:themeTint="00009A" w:themeShade="000095"/>
      </w:rPr>
      <w:tblPr/>
      <w:tcPr>
        <w:tcBorders>
          <w:top w:val="single" w:color="ffd865" w:themeColor="accent4" w:themeTint="00009A" w:sz="4" w:space="0"/>
        </w:tcBorders>
      </w:tcPr>
    </w:tblStylePr>
    <w:tblStylePr w:type="firstCol">
      <w:rPr>
        <w:b w:val="1"/>
        <w:color w:val="ffd865" w:themeColor="accent4" w:themeTint="00009A" w:themeShade="000095"/>
      </w:rPr>
    </w:tblStylePr>
    <w:tblStylePr w:type="lastCol">
      <w:rPr>
        <w:b w:val="1"/>
        <w:color w:val="ffd865" w:themeColor="accent4" w:themeTint="00009A" w:themeShade="000095"/>
      </w:rPr>
    </w:tblStylePr>
    <w:tblStylePr w:type="band1Vert">
      <w:tblPr/>
      <w:tcPr>
        <w:shd w:val="clear" w:color="ffefbf" w:themeColor="accent4" w:themeTint="000040" w:fill="ffefbf" w:themeFill="accent4" w:themeFillTint="000040"/>
      </w:tcPr>
    </w:tblStylePr>
    <w:tblStylePr w:type="band1Horz">
      <w:rPr>
        <w:rFonts w:ascii="Arial" w:hAnsi="Arial"/>
        <w:color w:val="ffd865" w:themeColor="accent4" w:themeTint="00009A" w:themeShade="000095"/>
        <w:sz w:val="22"/>
      </w:rPr>
      <w:tblPr/>
      <w:tcPr>
        <w:shd w:val="clear" w:color="ffefbf" w:themeColor="accent4" w:themeTint="000040" w:fill="ffefbf" w:themeFill="accent4" w:themeFillTint="000040"/>
      </w:tcPr>
    </w:tblStylePr>
    <w:tblStylePr w:type="band2Horz">
      <w:rPr>
        <w:rFonts w:ascii="Arial" w:hAnsi="Arial"/>
        <w:color w:val="ffd865" w:themeColor="accent4" w:themeTint="00009A" w:themeShade="0000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color="8da9db" w:themeColor="accent5" w:themeTint="00009A" w:sz="4" w:space="0"/>
        <w:bottom w:val="single" w:color="8da9db" w:themeColor="accent5" w:themeTint="00009A" w:sz="4" w:space="0"/>
      </w:tblBorders>
    </w:tblPr>
    <w:tblStylePr w:type="firstRow">
      <w:rPr>
        <w:b w:val="1"/>
        <w:color w:val="8da9db" w:themeColor="accent5" w:themeTint="00009A" w:themeShade="000095"/>
      </w:rPr>
      <w:tblPr/>
      <w:tcPr>
        <w:tcBorders>
          <w:bottom w:val="single" w:color="8da9db" w:themeColor="accent5" w:themeTint="00009A" w:sz="4" w:space="0"/>
        </w:tcBorders>
      </w:tcPr>
    </w:tblStylePr>
    <w:tblStylePr w:type="lastRow">
      <w:rPr>
        <w:b w:val="1"/>
        <w:color w:val="8da9db" w:themeColor="accent5" w:themeTint="00009A" w:themeShade="000095"/>
      </w:rPr>
      <w:tblPr/>
      <w:tcPr>
        <w:tcBorders>
          <w:top w:val="single" w:color="8da9db" w:themeColor="accent5" w:themeTint="00009A" w:sz="4" w:space="0"/>
        </w:tcBorders>
      </w:tcPr>
    </w:tblStylePr>
    <w:tblStylePr w:type="firstCol">
      <w:rPr>
        <w:b w:val="1"/>
        <w:color w:val="8da9db" w:themeColor="accent5" w:themeTint="00009A" w:themeShade="000095"/>
      </w:rPr>
    </w:tblStylePr>
    <w:tblStylePr w:type="lastCol">
      <w:rPr>
        <w:b w:val="1"/>
        <w:color w:val="8da9db" w:themeColor="accent5" w:themeTint="00009A" w:themeShade="000095"/>
      </w:rPr>
    </w:tblStylePr>
    <w:tblStylePr w:type="band1Vert">
      <w:tblPr/>
      <w:tcPr>
        <w:shd w:val="clear" w:color="cfdbf0" w:themeColor="accent5" w:themeTint="000040" w:fill="cfdbf0" w:themeFill="accent5" w:themeFillTint="000040"/>
      </w:tcPr>
    </w:tblStylePr>
    <w:tblStylePr w:type="band1Horz">
      <w:rPr>
        <w:rFonts w:ascii="Arial" w:hAnsi="Arial"/>
        <w:color w:val="8da9db" w:themeColor="accent5" w:themeTint="00009A" w:themeShade="000095"/>
        <w:sz w:val="22"/>
      </w:rPr>
      <w:tblPr/>
      <w:tcPr>
        <w:shd w:val="clear" w:color="cfdbf0" w:themeColor="accent5" w:themeTint="000040" w:fill="cfdbf0" w:themeFill="accent5" w:themeFillTint="000040"/>
      </w:tcPr>
    </w:tblStylePr>
    <w:tblStylePr w:type="band2Horz">
      <w:rPr>
        <w:rFonts w:ascii="Arial" w:hAnsi="Arial"/>
        <w:color w:val="8da9db" w:themeColor="accent5" w:themeTint="00009A" w:themeShade="0000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color="a9d08e" w:themeColor="accent6" w:themeTint="000098" w:sz="4" w:space="0"/>
        <w:bottom w:val="single" w:color="a9d08e" w:themeColor="accent6" w:themeTint="000098" w:sz="4" w:space="0"/>
      </w:tblBorders>
    </w:tblPr>
    <w:tblStylePr w:type="firstRow">
      <w:rPr>
        <w:b w:val="1"/>
        <w:color w:val="a9d08e" w:themeColor="accent6" w:themeTint="000098" w:themeShade="000095"/>
      </w:rPr>
      <w:tblPr/>
      <w:tcPr>
        <w:tcBorders>
          <w:bottom w:val="single" w:color="a9d08e" w:themeColor="accent6" w:themeTint="000098" w:sz="4" w:space="0"/>
        </w:tcBorders>
      </w:tcPr>
    </w:tblStylePr>
    <w:tblStylePr w:type="lastRow">
      <w:rPr>
        <w:b w:val="1"/>
        <w:color w:val="a9d08e" w:themeColor="accent6" w:themeTint="000098" w:themeShade="000095"/>
      </w:rPr>
      <w:tblPr/>
      <w:tcPr>
        <w:tcBorders>
          <w:top w:val="single" w:color="a9d08e" w:themeColor="accent6" w:themeTint="000098" w:sz="4" w:space="0"/>
        </w:tcBorders>
      </w:tcPr>
    </w:tblStylePr>
    <w:tblStylePr w:type="firstCol">
      <w:rPr>
        <w:b w:val="1"/>
        <w:color w:val="a9d08e" w:themeColor="accent6" w:themeTint="000098" w:themeShade="000095"/>
      </w:rPr>
    </w:tblStylePr>
    <w:tblStylePr w:type="lastCol">
      <w:rPr>
        <w:b w:val="1"/>
        <w:color w:val="a9d08e" w:themeColor="accent6" w:themeTint="000098" w:themeShade="000095"/>
      </w:rPr>
    </w:tblStylePr>
    <w:tblStylePr w:type="band1Vert">
      <w:tblPr/>
      <w:tcPr>
        <w:shd w:val="clear" w:color="daebcf" w:themeColor="accent6" w:themeTint="000040" w:fill="daebcf" w:themeFill="accent6" w:themeFillTint="000040"/>
      </w:tcPr>
    </w:tblStylePr>
    <w:tblStylePr w:type="band1Horz">
      <w:rPr>
        <w:rFonts w:ascii="Arial" w:hAnsi="Arial"/>
        <w:color w:val="a9d08e" w:themeColor="accent6" w:themeTint="000098" w:themeShade="000095"/>
        <w:sz w:val="22"/>
      </w:rPr>
      <w:tblPr/>
      <w:tcPr>
        <w:shd w:val="clear" w:color="daebcf" w:themeColor="accent6" w:themeTint="000040" w:fill="daebcf" w:themeFill="accent6" w:themeFillTint="000040"/>
      </w:tcPr>
    </w:tblStylePr>
    <w:tblStylePr w:type="band2Horz">
      <w:rPr>
        <w:rFonts w:ascii="Arial" w:hAnsi="Arial"/>
        <w:color w:val="a9d08e" w:themeColor="accent6" w:themeTint="000098" w:themeShade="0000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color="7f7f7f" w:themeColor="text1" w:themeTint="000080" w:sz="4" w:space="0"/>
      </w:tblBorders>
    </w:tblPr>
    <w:tblStylePr w:type="firstRow">
      <w:rPr>
        <w:rFonts w:ascii="Arial" w:hAnsi="Arial"/>
        <w:i w:val="1"/>
        <w:color w:val="7f7f7f" w:themeColor="text1" w:themeTint="000080" w:themeShade="000095"/>
        <w:sz w:val="22"/>
      </w:rPr>
      <w:tblPr/>
      <w:tcPr>
        <w:tcBorders>
          <w:top w:val="none" w:color="000000" w:sz="4" w:space="0"/>
          <w:left w:val="none" w:color="000000" w:sz="4" w:space="0"/>
          <w:bottom w:val="single" w:color="7f7f7f" w:themeColor="text1" w:themeTint="000080" w:sz="4" w:space="0"/>
          <w:right w:val="none" w:color="000000" w:sz="4" w:space="0"/>
        </w:tcBorders>
        <w:shd w:val="clear" w:color="ffffff" w:themeColor="light1" w:fill="ffffff" w:themeFill="light1"/>
      </w:tcPr>
    </w:tblStylePr>
    <w:tblStylePr w:type="lastRow">
      <w:rPr>
        <w:rFonts w:ascii="Arial" w:hAnsi="Arial"/>
        <w:i w:val="1"/>
        <w:color w:val="7f7f7f" w:themeColor="text1" w:themeTint="000080" w:themeShade="000095"/>
        <w:sz w:val="22"/>
      </w:rPr>
      <w:tblPr/>
      <w:tcPr>
        <w:tcBorders>
          <w:top w:val="single" w:color="7f7f7f" w:themeColor="text1" w:themeTint="00008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val="1"/>
        <w:color w:val="7f7f7f" w:themeColor="text1" w:themeTint="000080" w:themeShade="000095"/>
        <w:sz w:val="22"/>
      </w:rPr>
      <w:tblPr/>
      <w:tcPr>
        <w:tcBorders>
          <w:top w:val="none" w:color="000000" w:sz="4" w:space="0"/>
          <w:left w:val="none" w:color="000000" w:sz="4" w:space="0"/>
          <w:bottom w:val="none" w:color="000000" w:sz="4" w:space="0"/>
          <w:right w:val="single" w:color="7f7f7f" w:themeColor="text1" w:themeTint="000080" w:sz="4" w:space="0"/>
        </w:tcBorders>
        <w:shd w:val="clear" w:color="ffffff" w:fill="auto"/>
      </w:tcPr>
    </w:tblStylePr>
    <w:tblStylePr w:type="lastCol">
      <w:rPr>
        <w:rFonts w:ascii="Arial" w:hAnsi="Arial"/>
        <w:i w:val="1"/>
        <w:color w:val="7f7f7f" w:themeColor="text1" w:themeTint="000080" w:themeShade="000095"/>
        <w:sz w:val="22"/>
      </w:rPr>
      <w:tblPr/>
      <w:tcPr>
        <w:tcBorders>
          <w:top w:val="none" w:color="000000" w:sz="4" w:space="0"/>
          <w:left w:val="single" w:color="7f7f7f" w:themeColor="text1" w:themeTint="000080" w:sz="4" w:space="0"/>
          <w:bottom w:val="none" w:color="000000" w:sz="4" w:space="0"/>
          <w:right w:val="none" w:color="000000" w:sz="4" w:space="0"/>
        </w:tcBorders>
        <w:shd w:val="clear" w:color="ffffff" w:fill="auto"/>
      </w:tcPr>
    </w:tblStylePr>
    <w:tblStylePr w:type="band1Vert">
      <w:tblPr/>
      <w:tcPr>
        <w:shd w:val="clear" w:color="bfbfbf" w:themeColor="text1" w:themeTint="000040" w:fill="bfbfbf" w:themeFill="text1" w:themeFillTint="000040"/>
      </w:tcPr>
    </w:tblStylePr>
    <w:tblStylePr w:type="band1Horz">
      <w:rPr>
        <w:rFonts w:ascii="Arial" w:hAnsi="Arial"/>
        <w:color w:val="7f7f7f" w:themeColor="text1" w:themeTint="000080" w:themeShade="000095"/>
        <w:sz w:val="22"/>
      </w:rPr>
      <w:tblPr/>
      <w:tcPr>
        <w:shd w:val="clear" w:color="bfbfbf" w:themeColor="text1" w:themeTint="000040" w:fill="bfbfbf" w:themeFill="text1" w:themeFillTint="000040"/>
      </w:tcPr>
    </w:tblStylePr>
    <w:tblStylePr w:type="band2Horz">
      <w:rPr>
        <w:rFonts w:ascii="Arial" w:hAnsi="Arial"/>
        <w:color w:val="7f7f7f" w:themeColor="text1" w:themeTint="000080" w:themeShade="0000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color="5b9bd5" w:themeColor="accent1" w:sz="4" w:space="0"/>
      </w:tblBorders>
    </w:tblPr>
    <w:tblStylePr w:type="firstRow">
      <w:rPr>
        <w:rFonts w:ascii="Arial" w:hAnsi="Arial"/>
        <w:i w:val="1"/>
        <w:color w:val="245a8d" w:themeColor="accent1" w:themeShade="000095"/>
        <w:sz w:val="22"/>
      </w:rPr>
      <w:tblPr/>
      <w:tcPr>
        <w:tcBorders>
          <w:top w:val="none" w:color="000000" w:sz="4" w:space="0"/>
          <w:left w:val="none" w:color="000000" w:sz="4" w:space="0"/>
          <w:bottom w:val="single" w:color="5b9bd5" w:themeColor="accent1" w:sz="4" w:space="0"/>
          <w:right w:val="none" w:color="000000" w:sz="4" w:space="0"/>
        </w:tcBorders>
        <w:shd w:val="clear" w:color="ffffff" w:themeColor="light1" w:fill="ffffff" w:themeFill="light1"/>
      </w:tcPr>
    </w:tblStylePr>
    <w:tblStylePr w:type="lastRow">
      <w:rPr>
        <w:rFonts w:ascii="Arial" w:hAnsi="Arial"/>
        <w:i w:val="1"/>
        <w:color w:val="245a8d" w:themeColor="accent1" w:themeShade="000095"/>
        <w:sz w:val="22"/>
      </w:rPr>
      <w:tblPr/>
      <w:tcPr>
        <w:tcBorders>
          <w:top w:val="single" w:color="5b9bd5" w:themeColor="accent1"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val="1"/>
        <w:color w:val="245a8d" w:themeColor="accent1" w:themeShade="000095"/>
        <w:sz w:val="22"/>
      </w:rPr>
      <w:tblPr/>
      <w:tcPr>
        <w:tcBorders>
          <w:top w:val="none" w:color="000000" w:sz="4" w:space="0"/>
          <w:left w:val="none" w:color="000000" w:sz="4" w:space="0"/>
          <w:bottom w:val="none" w:color="000000" w:sz="4" w:space="0"/>
          <w:right w:val="single" w:color="5b9bd5" w:themeColor="accent1" w:sz="4" w:space="0"/>
        </w:tcBorders>
        <w:shd w:val="clear" w:color="ffffff" w:fill="auto"/>
      </w:tcPr>
    </w:tblStylePr>
    <w:tblStylePr w:type="lastCol">
      <w:rPr>
        <w:rFonts w:ascii="Arial" w:hAnsi="Arial"/>
        <w:i w:val="1"/>
        <w:color w:val="245a8d" w:themeColor="accent1" w:themeShade="000095"/>
        <w:sz w:val="22"/>
      </w:rPr>
      <w:tblPr/>
      <w:tcPr>
        <w:tcBorders>
          <w:top w:val="none" w:color="000000" w:sz="4" w:space="0"/>
          <w:left w:val="single" w:color="5b9bd5" w:themeColor="accent1" w:sz="4" w:space="0"/>
          <w:bottom w:val="none" w:color="000000" w:sz="4" w:space="0"/>
          <w:right w:val="none" w:color="000000" w:sz="4" w:space="0"/>
        </w:tcBorders>
        <w:shd w:val="clear" w:color="ffffff" w:fill="auto"/>
      </w:tcPr>
    </w:tblStylePr>
    <w:tblStylePr w:type="band1Vert">
      <w:tblPr/>
      <w:tcPr>
        <w:shd w:val="clear" w:color="d5e5f4" w:themeColor="accent1" w:themeTint="000040" w:fill="d5e5f4" w:themeFill="accent1" w:themeFillTint="000040"/>
      </w:tcPr>
    </w:tblStylePr>
    <w:tblStylePr w:type="band1Horz">
      <w:rPr>
        <w:rFonts w:ascii="Arial" w:hAnsi="Arial"/>
        <w:color w:val="245a8d" w:themeColor="accent1" w:themeShade="000095"/>
        <w:sz w:val="22"/>
      </w:rPr>
      <w:tblPr/>
      <w:tcPr>
        <w:shd w:val="clear" w:color="d5e5f4" w:themeColor="accent1" w:themeTint="000040" w:fill="d5e5f4" w:themeFill="accent1" w:themeFillTint="000040"/>
      </w:tcPr>
    </w:tblStylePr>
    <w:tblStylePr w:type="band2Horz">
      <w:rPr>
        <w:rFonts w:ascii="Arial" w:hAnsi="Arial"/>
        <w:color w:val="245a8d" w:themeColor="accent1" w:themeShade="0000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color="f4b184" w:themeColor="accent2" w:themeTint="000097" w:sz="4" w:space="0"/>
      </w:tblBorders>
    </w:tblPr>
    <w:tblStylePr w:type="firstRow">
      <w:rPr>
        <w:rFonts w:ascii="Arial" w:hAnsi="Arial"/>
        <w:i w:val="1"/>
        <w:color w:val="f4b184" w:themeColor="accent2" w:themeTint="000097" w:themeShade="000095"/>
        <w:sz w:val="22"/>
      </w:rPr>
      <w:tblPr/>
      <w:tcPr>
        <w:tcBorders>
          <w:top w:val="none" w:color="000000" w:sz="4" w:space="0"/>
          <w:left w:val="none" w:color="000000" w:sz="4" w:space="0"/>
          <w:bottom w:val="single" w:color="f4b184" w:themeColor="accent2" w:themeTint="000097" w:sz="4" w:space="0"/>
          <w:right w:val="none" w:color="000000" w:sz="4" w:space="0"/>
        </w:tcBorders>
        <w:shd w:val="clear" w:color="ffffff" w:themeColor="light1" w:fill="ffffff" w:themeFill="light1"/>
      </w:tcPr>
    </w:tblStylePr>
    <w:tblStylePr w:type="lastRow">
      <w:rPr>
        <w:rFonts w:ascii="Arial" w:hAnsi="Arial"/>
        <w:i w:val="1"/>
        <w:color w:val="f4b184" w:themeColor="accent2" w:themeTint="000097" w:themeShade="000095"/>
        <w:sz w:val="22"/>
      </w:rPr>
      <w:tblPr/>
      <w:tcPr>
        <w:tcBorders>
          <w:top w:val="single" w:color="f4b184" w:themeColor="accent2" w:themeTint="000097"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val="1"/>
        <w:color w:val="f4b184" w:themeColor="accent2" w:themeTint="000097" w:themeShade="000095"/>
        <w:sz w:val="22"/>
      </w:rPr>
      <w:tblPr/>
      <w:tcPr>
        <w:tcBorders>
          <w:top w:val="none" w:color="000000" w:sz="4" w:space="0"/>
          <w:left w:val="none" w:color="000000" w:sz="4" w:space="0"/>
          <w:bottom w:val="none" w:color="000000" w:sz="4" w:space="0"/>
          <w:right w:val="single" w:color="f4b184" w:themeColor="accent2" w:themeTint="000097" w:sz="4" w:space="0"/>
        </w:tcBorders>
        <w:shd w:val="clear" w:color="ffffff" w:fill="auto"/>
      </w:tcPr>
    </w:tblStylePr>
    <w:tblStylePr w:type="lastCol">
      <w:rPr>
        <w:rFonts w:ascii="Arial" w:hAnsi="Arial"/>
        <w:i w:val="1"/>
        <w:color w:val="f4b184" w:themeColor="accent2" w:themeTint="000097" w:themeShade="000095"/>
        <w:sz w:val="22"/>
      </w:rPr>
      <w:tblPr/>
      <w:tcPr>
        <w:tcBorders>
          <w:top w:val="none" w:color="000000" w:sz="4" w:space="0"/>
          <w:left w:val="single" w:color="f4b184" w:themeColor="accent2" w:themeTint="000097" w:sz="4" w:space="0"/>
          <w:bottom w:val="none" w:color="000000" w:sz="4" w:space="0"/>
          <w:right w:val="none" w:color="000000" w:sz="4" w:space="0"/>
        </w:tcBorders>
        <w:shd w:val="clear" w:color="ffffff" w:fill="auto"/>
      </w:tcPr>
    </w:tblStylePr>
    <w:tblStylePr w:type="band1Vert">
      <w:tblPr/>
      <w:tcPr>
        <w:shd w:val="clear" w:color="fadecb" w:themeColor="accent2" w:themeTint="000040" w:fill="fadecb" w:themeFill="accent2" w:themeFillTint="000040"/>
      </w:tcPr>
    </w:tblStylePr>
    <w:tblStylePr w:type="band1Horz">
      <w:rPr>
        <w:rFonts w:ascii="Arial" w:hAnsi="Arial"/>
        <w:color w:val="f4b184" w:themeColor="accent2" w:themeTint="000097" w:themeShade="000095"/>
        <w:sz w:val="22"/>
      </w:rPr>
      <w:tblPr/>
      <w:tcPr>
        <w:shd w:val="clear" w:color="fadecb" w:themeColor="accent2" w:themeTint="000040" w:fill="fadecb" w:themeFill="accent2" w:themeFillTint="000040"/>
      </w:tcPr>
    </w:tblStylePr>
    <w:tblStylePr w:type="band2Horz">
      <w:rPr>
        <w:rFonts w:ascii="Arial" w:hAnsi="Arial"/>
        <w:color w:val="f4b184" w:themeColor="accent2" w:themeTint="000097" w:themeShade="0000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color="c9c9c9" w:themeColor="accent3" w:themeTint="000098" w:sz="4" w:space="0"/>
      </w:tblBorders>
    </w:tblPr>
    <w:tblStylePr w:type="firstRow">
      <w:rPr>
        <w:rFonts w:ascii="Arial" w:hAnsi="Arial"/>
        <w:i w:val="1"/>
        <w:color w:val="c9c9c9" w:themeColor="accent3" w:themeTint="000098" w:themeShade="000095"/>
        <w:sz w:val="22"/>
      </w:rPr>
      <w:tblPr/>
      <w:tcPr>
        <w:tcBorders>
          <w:top w:val="none" w:color="000000" w:sz="4" w:space="0"/>
          <w:left w:val="none" w:color="000000" w:sz="4" w:space="0"/>
          <w:bottom w:val="single" w:color="c9c9c9" w:themeColor="accent3" w:themeTint="000098" w:sz="4" w:space="0"/>
          <w:right w:val="none" w:color="000000" w:sz="4" w:space="0"/>
        </w:tcBorders>
        <w:shd w:val="clear" w:color="ffffff" w:themeColor="light1" w:fill="ffffff" w:themeFill="light1"/>
      </w:tcPr>
    </w:tblStylePr>
    <w:tblStylePr w:type="lastRow">
      <w:rPr>
        <w:rFonts w:ascii="Arial" w:hAnsi="Arial"/>
        <w:i w:val="1"/>
        <w:color w:val="c9c9c9" w:themeColor="accent3" w:themeTint="000098" w:themeShade="000095"/>
        <w:sz w:val="22"/>
      </w:rPr>
      <w:tblPr/>
      <w:tcPr>
        <w:tcBorders>
          <w:top w:val="single" w:color="c9c9c9" w:themeColor="accent3" w:themeTint="000098"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val="1"/>
        <w:color w:val="c9c9c9" w:themeColor="accent3" w:themeTint="000098" w:themeShade="000095"/>
        <w:sz w:val="22"/>
      </w:rPr>
      <w:tblPr/>
      <w:tcPr>
        <w:tcBorders>
          <w:top w:val="none" w:color="000000" w:sz="4" w:space="0"/>
          <w:left w:val="none" w:color="000000" w:sz="4" w:space="0"/>
          <w:bottom w:val="none" w:color="000000" w:sz="4" w:space="0"/>
          <w:right w:val="single" w:color="c9c9c9" w:themeColor="accent3" w:themeTint="000098" w:sz="4" w:space="0"/>
        </w:tcBorders>
        <w:shd w:val="clear" w:color="ffffff" w:fill="auto"/>
      </w:tcPr>
    </w:tblStylePr>
    <w:tblStylePr w:type="lastCol">
      <w:rPr>
        <w:rFonts w:ascii="Arial" w:hAnsi="Arial"/>
        <w:i w:val="1"/>
        <w:color w:val="c9c9c9" w:themeColor="accent3" w:themeTint="000098" w:themeShade="000095"/>
        <w:sz w:val="22"/>
      </w:rPr>
      <w:tblPr/>
      <w:tcPr>
        <w:tcBorders>
          <w:top w:val="none" w:color="000000" w:sz="4" w:space="0"/>
          <w:left w:val="single" w:color="c9c9c9" w:themeColor="accent3" w:themeTint="000098" w:sz="4" w:space="0"/>
          <w:bottom w:val="none" w:color="000000" w:sz="4" w:space="0"/>
          <w:right w:val="none" w:color="000000" w:sz="4" w:space="0"/>
        </w:tcBorders>
        <w:shd w:val="clear" w:color="ffffff" w:fill="auto"/>
      </w:tcPr>
    </w:tblStylePr>
    <w:tblStylePr w:type="band1Vert">
      <w:tblPr/>
      <w:tcPr>
        <w:shd w:val="clear" w:color="e8e8e8" w:themeColor="accent3" w:themeTint="000040" w:fill="e8e8e8" w:themeFill="accent3" w:themeFillTint="000040"/>
      </w:tcPr>
    </w:tblStylePr>
    <w:tblStylePr w:type="band1Horz">
      <w:rPr>
        <w:rFonts w:ascii="Arial" w:hAnsi="Arial"/>
        <w:color w:val="c9c9c9" w:themeColor="accent3" w:themeTint="000098" w:themeShade="000095"/>
        <w:sz w:val="22"/>
      </w:rPr>
      <w:tblPr/>
      <w:tcPr>
        <w:shd w:val="clear" w:color="e8e8e8" w:themeColor="accent3" w:themeTint="000040" w:fill="e8e8e8" w:themeFill="accent3" w:themeFillTint="000040"/>
      </w:tcPr>
    </w:tblStylePr>
    <w:tblStylePr w:type="band2Horz">
      <w:rPr>
        <w:rFonts w:ascii="Arial" w:hAnsi="Arial"/>
        <w:color w:val="c9c9c9" w:themeColor="accent3" w:themeTint="000098" w:themeShade="0000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color="ffd865" w:themeColor="accent4" w:themeTint="00009A" w:sz="4" w:space="0"/>
      </w:tblBorders>
    </w:tblPr>
    <w:tblStylePr w:type="firstRow">
      <w:rPr>
        <w:rFonts w:ascii="Arial" w:hAnsi="Arial"/>
        <w:i w:val="1"/>
        <w:color w:val="ffd865" w:themeColor="accent4" w:themeTint="00009A" w:themeShade="000095"/>
        <w:sz w:val="22"/>
      </w:rPr>
      <w:tblPr/>
      <w:tcPr>
        <w:tcBorders>
          <w:top w:val="none" w:color="000000" w:sz="4" w:space="0"/>
          <w:left w:val="none" w:color="000000" w:sz="4" w:space="0"/>
          <w:bottom w:val="single" w:color="ffd865" w:themeColor="accent4" w:themeTint="00009A" w:sz="4" w:space="0"/>
          <w:right w:val="none" w:color="000000" w:sz="4" w:space="0"/>
        </w:tcBorders>
        <w:shd w:val="clear" w:color="ffffff" w:themeColor="light1" w:fill="ffffff" w:themeFill="light1"/>
      </w:tcPr>
    </w:tblStylePr>
    <w:tblStylePr w:type="lastRow">
      <w:rPr>
        <w:rFonts w:ascii="Arial" w:hAnsi="Arial"/>
        <w:i w:val="1"/>
        <w:color w:val="ffd865" w:themeColor="accent4" w:themeTint="00009A" w:themeShade="000095"/>
        <w:sz w:val="22"/>
      </w:rPr>
      <w:tblPr/>
      <w:tcPr>
        <w:tcBorders>
          <w:top w:val="single" w:color="ffd865" w:themeColor="accent4" w:themeTint="00009A"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val="1"/>
        <w:color w:val="ffd865" w:themeColor="accent4" w:themeTint="00009A" w:themeShade="000095"/>
        <w:sz w:val="22"/>
      </w:rPr>
      <w:tblPr/>
      <w:tcPr>
        <w:tcBorders>
          <w:top w:val="none" w:color="000000" w:sz="4" w:space="0"/>
          <w:left w:val="none" w:color="000000" w:sz="4" w:space="0"/>
          <w:bottom w:val="none" w:color="000000" w:sz="4" w:space="0"/>
          <w:right w:val="single" w:color="ffd865" w:themeColor="accent4" w:themeTint="00009A" w:sz="4" w:space="0"/>
        </w:tcBorders>
        <w:shd w:val="clear" w:color="ffffff" w:fill="auto"/>
      </w:tcPr>
    </w:tblStylePr>
    <w:tblStylePr w:type="lastCol">
      <w:rPr>
        <w:rFonts w:ascii="Arial" w:hAnsi="Arial"/>
        <w:i w:val="1"/>
        <w:color w:val="ffd865" w:themeColor="accent4" w:themeTint="00009A" w:themeShade="000095"/>
        <w:sz w:val="22"/>
      </w:rPr>
      <w:tblPr/>
      <w:tcPr>
        <w:tcBorders>
          <w:top w:val="none" w:color="000000" w:sz="4" w:space="0"/>
          <w:left w:val="single" w:color="ffd865" w:themeColor="accent4" w:themeTint="00009A" w:sz="4" w:space="0"/>
          <w:bottom w:val="none" w:color="000000" w:sz="4" w:space="0"/>
          <w:right w:val="none" w:color="000000" w:sz="4" w:space="0"/>
        </w:tcBorders>
        <w:shd w:val="clear" w:color="ffffff" w:fill="auto"/>
      </w:tcPr>
    </w:tblStylePr>
    <w:tblStylePr w:type="band1Vert">
      <w:tblPr/>
      <w:tcPr>
        <w:shd w:val="clear" w:color="ffefbf" w:themeColor="accent4" w:themeTint="000040" w:fill="ffefbf" w:themeFill="accent4" w:themeFillTint="000040"/>
      </w:tcPr>
    </w:tblStylePr>
    <w:tblStylePr w:type="band1Horz">
      <w:rPr>
        <w:rFonts w:ascii="Arial" w:hAnsi="Arial"/>
        <w:color w:val="ffd865" w:themeColor="accent4" w:themeTint="00009A" w:themeShade="000095"/>
        <w:sz w:val="22"/>
      </w:rPr>
      <w:tblPr/>
      <w:tcPr>
        <w:shd w:val="clear" w:color="ffefbf" w:themeColor="accent4" w:themeTint="000040" w:fill="ffefbf" w:themeFill="accent4" w:themeFillTint="000040"/>
      </w:tcPr>
    </w:tblStylePr>
    <w:tblStylePr w:type="band2Horz">
      <w:rPr>
        <w:rFonts w:ascii="Arial" w:hAnsi="Arial"/>
        <w:color w:val="ffd865" w:themeColor="accent4" w:themeTint="00009A" w:themeShade="0000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color="8da9db" w:themeColor="accent5" w:themeTint="00009A" w:sz="4" w:space="0"/>
      </w:tblBorders>
    </w:tblPr>
    <w:tblStylePr w:type="firstRow">
      <w:rPr>
        <w:rFonts w:ascii="Arial" w:hAnsi="Arial"/>
        <w:i w:val="1"/>
        <w:color w:val="8da9db" w:themeColor="accent5" w:themeTint="00009A" w:themeShade="000095"/>
        <w:sz w:val="22"/>
      </w:rPr>
      <w:tblPr/>
      <w:tcPr>
        <w:tcBorders>
          <w:top w:val="none" w:color="000000" w:sz="4" w:space="0"/>
          <w:left w:val="none" w:color="000000" w:sz="4" w:space="0"/>
          <w:bottom w:val="single" w:color="8da9db" w:themeColor="accent5" w:themeTint="00009A" w:sz="4" w:space="0"/>
          <w:right w:val="none" w:color="000000" w:sz="4" w:space="0"/>
        </w:tcBorders>
        <w:shd w:val="clear" w:color="ffffff" w:themeColor="light1" w:fill="ffffff" w:themeFill="light1"/>
      </w:tcPr>
    </w:tblStylePr>
    <w:tblStylePr w:type="lastRow">
      <w:rPr>
        <w:rFonts w:ascii="Arial" w:hAnsi="Arial"/>
        <w:i w:val="1"/>
        <w:color w:val="8da9db" w:themeColor="accent5" w:themeTint="00009A" w:themeShade="000095"/>
        <w:sz w:val="22"/>
      </w:rPr>
      <w:tblPr/>
      <w:tcPr>
        <w:tcBorders>
          <w:top w:val="single" w:color="8da9db" w:themeColor="accent5" w:themeTint="00009A"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val="1"/>
        <w:color w:val="8da9db" w:themeColor="accent5" w:themeTint="00009A" w:themeShade="000095"/>
        <w:sz w:val="22"/>
      </w:rPr>
      <w:tblPr/>
      <w:tcPr>
        <w:tcBorders>
          <w:top w:val="none" w:color="000000" w:sz="4" w:space="0"/>
          <w:left w:val="none" w:color="000000" w:sz="4" w:space="0"/>
          <w:bottom w:val="none" w:color="000000" w:sz="4" w:space="0"/>
          <w:right w:val="single" w:color="8da9db" w:themeColor="accent5" w:themeTint="00009A" w:sz="4" w:space="0"/>
        </w:tcBorders>
        <w:shd w:val="clear" w:color="ffffff" w:fill="auto"/>
      </w:tcPr>
    </w:tblStylePr>
    <w:tblStylePr w:type="lastCol">
      <w:rPr>
        <w:rFonts w:ascii="Arial" w:hAnsi="Arial"/>
        <w:i w:val="1"/>
        <w:color w:val="8da9db" w:themeColor="accent5" w:themeTint="00009A" w:themeShade="000095"/>
        <w:sz w:val="22"/>
      </w:rPr>
      <w:tblPr/>
      <w:tcPr>
        <w:tcBorders>
          <w:top w:val="none" w:color="000000" w:sz="4" w:space="0"/>
          <w:left w:val="single" w:color="8da9db" w:themeColor="accent5" w:themeTint="00009A" w:sz="4" w:space="0"/>
          <w:bottom w:val="none" w:color="000000" w:sz="4" w:space="0"/>
          <w:right w:val="none" w:color="000000" w:sz="4" w:space="0"/>
        </w:tcBorders>
        <w:shd w:val="clear" w:color="ffffff" w:fill="auto"/>
      </w:tcPr>
    </w:tblStylePr>
    <w:tblStylePr w:type="band1Vert">
      <w:tblPr/>
      <w:tcPr>
        <w:shd w:val="clear" w:color="cfdbf0" w:themeColor="accent5" w:themeTint="000040" w:fill="cfdbf0" w:themeFill="accent5" w:themeFillTint="000040"/>
      </w:tcPr>
    </w:tblStylePr>
    <w:tblStylePr w:type="band1Horz">
      <w:rPr>
        <w:rFonts w:ascii="Arial" w:hAnsi="Arial"/>
        <w:color w:val="8da9db" w:themeColor="accent5" w:themeTint="00009A" w:themeShade="000095"/>
        <w:sz w:val="22"/>
      </w:rPr>
      <w:tblPr/>
      <w:tcPr>
        <w:shd w:val="clear" w:color="cfdbf0" w:themeColor="accent5" w:themeTint="000040" w:fill="cfdbf0" w:themeFill="accent5" w:themeFillTint="000040"/>
      </w:tcPr>
    </w:tblStylePr>
    <w:tblStylePr w:type="band2Horz">
      <w:rPr>
        <w:rFonts w:ascii="Arial" w:hAnsi="Arial"/>
        <w:color w:val="8da9db" w:themeColor="accent5" w:themeTint="00009A" w:themeShade="0000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color="a9d08e" w:themeColor="accent6" w:themeTint="000098" w:sz="4" w:space="0"/>
      </w:tblBorders>
    </w:tblPr>
    <w:tblStylePr w:type="firstRow">
      <w:rPr>
        <w:rFonts w:ascii="Arial" w:hAnsi="Arial"/>
        <w:i w:val="1"/>
        <w:color w:val="a9d08e" w:themeColor="accent6" w:themeTint="000098" w:themeShade="000095"/>
        <w:sz w:val="22"/>
      </w:rPr>
      <w:tblPr/>
      <w:tcPr>
        <w:tcBorders>
          <w:top w:val="none" w:color="000000" w:sz="4" w:space="0"/>
          <w:left w:val="none" w:color="000000" w:sz="4" w:space="0"/>
          <w:bottom w:val="single" w:color="a9d08e" w:themeColor="accent6" w:themeTint="000098" w:sz="4" w:space="0"/>
          <w:right w:val="none" w:color="000000" w:sz="4" w:space="0"/>
        </w:tcBorders>
        <w:shd w:val="clear" w:color="ffffff" w:themeColor="light1" w:fill="ffffff" w:themeFill="light1"/>
      </w:tcPr>
    </w:tblStylePr>
    <w:tblStylePr w:type="lastRow">
      <w:rPr>
        <w:rFonts w:ascii="Arial" w:hAnsi="Arial"/>
        <w:i w:val="1"/>
        <w:color w:val="a9d08e" w:themeColor="accent6" w:themeTint="000098" w:themeShade="000095"/>
        <w:sz w:val="22"/>
      </w:rPr>
      <w:tblPr/>
      <w:tcPr>
        <w:tcBorders>
          <w:top w:val="single" w:color="a9d08e" w:themeColor="accent6" w:themeTint="000098"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val="1"/>
        <w:color w:val="a9d08e" w:themeColor="accent6" w:themeTint="000098" w:themeShade="000095"/>
        <w:sz w:val="22"/>
      </w:rPr>
      <w:tblPr/>
      <w:tcPr>
        <w:tcBorders>
          <w:top w:val="none" w:color="000000" w:sz="4" w:space="0"/>
          <w:left w:val="none" w:color="000000" w:sz="4" w:space="0"/>
          <w:bottom w:val="none" w:color="000000" w:sz="4" w:space="0"/>
          <w:right w:val="single" w:color="a9d08e" w:themeColor="accent6" w:themeTint="000098" w:sz="4" w:space="0"/>
        </w:tcBorders>
        <w:shd w:val="clear" w:color="ffffff" w:fill="auto"/>
      </w:tcPr>
    </w:tblStylePr>
    <w:tblStylePr w:type="lastCol">
      <w:rPr>
        <w:rFonts w:ascii="Arial" w:hAnsi="Arial"/>
        <w:i w:val="1"/>
        <w:color w:val="a9d08e" w:themeColor="accent6" w:themeTint="000098" w:themeShade="000095"/>
        <w:sz w:val="22"/>
      </w:rPr>
      <w:tblPr/>
      <w:tcPr>
        <w:tcBorders>
          <w:top w:val="none" w:color="000000" w:sz="4" w:space="0"/>
          <w:left w:val="single" w:color="a9d08e" w:themeColor="accent6" w:themeTint="000098" w:sz="4" w:space="0"/>
          <w:bottom w:val="none" w:color="000000" w:sz="4" w:space="0"/>
          <w:right w:val="none" w:color="000000" w:sz="4" w:space="0"/>
        </w:tcBorders>
        <w:shd w:val="clear" w:color="ffffff" w:fill="auto"/>
      </w:tcPr>
    </w:tblStylePr>
    <w:tblStylePr w:type="band1Vert">
      <w:tblPr/>
      <w:tcPr>
        <w:shd w:val="clear" w:color="daebcf" w:themeColor="accent6" w:themeTint="000040" w:fill="daebcf" w:themeFill="accent6" w:themeFillTint="000040"/>
      </w:tcPr>
    </w:tblStylePr>
    <w:tblStylePr w:type="band1Horz">
      <w:rPr>
        <w:rFonts w:ascii="Arial" w:hAnsi="Arial"/>
        <w:color w:val="a9d08e" w:themeColor="accent6" w:themeTint="000098" w:themeShade="000095"/>
        <w:sz w:val="22"/>
      </w:rPr>
      <w:tblPr/>
      <w:tcPr>
        <w:shd w:val="clear" w:color="daebcf" w:themeColor="accent6" w:themeTint="000040" w:fill="daebcf" w:themeFill="accent6" w:themeFillTint="000040"/>
      </w:tcPr>
    </w:tblStylePr>
    <w:tblStylePr w:type="band2Horz">
      <w:rPr>
        <w:rFonts w:ascii="Arial" w:hAnsi="Arial"/>
        <w:color w:val="a9d08e" w:themeColor="accent6" w:themeTint="000098" w:themeShade="000095"/>
        <w:sz w:val="22"/>
      </w:rPr>
    </w:tblStylePr>
  </w:style>
  <w:style w:type="table" w:styleId="Lined-Accent" w:customStyle="1">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000080" w:fill="7f7f7f" w:themeFill="text1" w:themeFillTint="000080"/>
      </w:tcPr>
    </w:tblStylePr>
    <w:tblStylePr w:type="lastRow">
      <w:rPr>
        <w:rFonts w:ascii="Arial" w:hAnsi="Arial"/>
        <w:color w:val="f2f2f2"/>
        <w:sz w:val="22"/>
      </w:rPr>
      <w:tblPr/>
      <w:tcPr>
        <w:shd w:val="clear" w:color="7f7f7f" w:themeColor="text1" w:themeTint="000080" w:fill="7f7f7f" w:themeFill="text1" w:themeFillTint="000080"/>
      </w:tcPr>
    </w:tblStylePr>
    <w:tblStylePr w:type="firstCol">
      <w:rPr>
        <w:rFonts w:ascii="Arial" w:hAnsi="Arial"/>
        <w:color w:val="f2f2f2"/>
        <w:sz w:val="22"/>
      </w:rPr>
      <w:tblPr/>
      <w:tcPr>
        <w:shd w:val="clear" w:color="7f7f7f" w:themeColor="text1" w:themeTint="000080" w:fill="7f7f7f" w:themeFill="text1" w:themeFillTint="000080"/>
      </w:tcPr>
    </w:tblStylePr>
    <w:tblStylePr w:type="lastCol">
      <w:rPr>
        <w:rFonts w:ascii="Arial" w:hAnsi="Arial"/>
        <w:color w:val="f2f2f2"/>
        <w:sz w:val="22"/>
      </w:rPr>
      <w:tblPr/>
      <w:tcPr>
        <w:shd w:val="clear" w:color="7f7f7f" w:themeColor="text1" w:themeTint="000080" w:fill="7f7f7f" w:themeFill="text1" w:themeFillTint="0000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0000D" w:fill="f2f2f2" w:themeFill="text1" w:themeFillTint="0000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0000D" w:fill="f2f2f2" w:themeFill="text1" w:themeFillTint="00000D"/>
      </w:tcPr>
    </w:tblStylePr>
  </w:style>
  <w:style w:type="table" w:styleId="Lined-Accent1" w:customStyle="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0000EA" w:fill="68a2d8" w:themeFill="accent1" w:themeFillTint="0000EA"/>
      </w:tcPr>
    </w:tblStylePr>
    <w:tblStylePr w:type="lastRow">
      <w:rPr>
        <w:rFonts w:ascii="Arial" w:hAnsi="Arial"/>
        <w:color w:val="f2f2f2"/>
        <w:sz w:val="22"/>
      </w:rPr>
      <w:tblPr/>
      <w:tcPr>
        <w:shd w:val="clear" w:color="68a2d8" w:themeColor="accent1" w:themeTint="0000EA" w:fill="68a2d8" w:themeFill="accent1" w:themeFillTint="0000EA"/>
      </w:tcPr>
    </w:tblStylePr>
    <w:tblStylePr w:type="firstCol">
      <w:rPr>
        <w:rFonts w:ascii="Arial" w:hAnsi="Arial"/>
        <w:color w:val="f2f2f2"/>
        <w:sz w:val="22"/>
      </w:rPr>
      <w:tblPr/>
      <w:tcPr>
        <w:shd w:val="clear" w:color="68a2d8" w:themeColor="accent1" w:themeTint="0000EA" w:fill="68a2d8" w:themeFill="accent1" w:themeFillTint="0000EA"/>
      </w:tcPr>
    </w:tblStylePr>
    <w:tblStylePr w:type="lastCol">
      <w:rPr>
        <w:rFonts w:ascii="Arial" w:hAnsi="Arial"/>
        <w:color w:val="f2f2f2"/>
        <w:sz w:val="22"/>
      </w:rPr>
      <w:tblPr/>
      <w:tcPr>
        <w:shd w:val="clear" w:color="68a2d8" w:themeColor="accent1" w:themeTint="0000EA" w:fill="68a2d8" w:themeFill="accent1" w:themeFillTint="0000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000050" w:fill="cbdff1" w:themeFill="accent1" w:themeFillTint="0000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000050" w:fill="cbdff1" w:themeFill="accent1" w:themeFillTint="000050"/>
      </w:tcPr>
    </w:tblStylePr>
  </w:style>
  <w:style w:type="table" w:styleId="Lined-Accent2" w:customStyle="1">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000097" w:fill="f4b184" w:themeFill="accent2" w:themeFillTint="000097"/>
      </w:tcPr>
    </w:tblStylePr>
    <w:tblStylePr w:type="lastRow">
      <w:rPr>
        <w:rFonts w:ascii="Arial" w:hAnsi="Arial"/>
        <w:color w:val="f2f2f2"/>
        <w:sz w:val="22"/>
      </w:rPr>
      <w:tblPr/>
      <w:tcPr>
        <w:shd w:val="clear" w:color="f4b184" w:themeColor="accent2" w:themeTint="000097" w:fill="f4b184" w:themeFill="accent2" w:themeFillTint="000097"/>
      </w:tcPr>
    </w:tblStylePr>
    <w:tblStylePr w:type="firstCol">
      <w:rPr>
        <w:rFonts w:ascii="Arial" w:hAnsi="Arial"/>
        <w:color w:val="f2f2f2"/>
        <w:sz w:val="22"/>
      </w:rPr>
      <w:tblPr/>
      <w:tcPr>
        <w:shd w:val="clear" w:color="f4b184" w:themeColor="accent2" w:themeTint="000097" w:fill="f4b184" w:themeFill="accent2" w:themeFillTint="000097"/>
      </w:tcPr>
    </w:tblStylePr>
    <w:tblStylePr w:type="lastCol">
      <w:rPr>
        <w:rFonts w:ascii="Arial" w:hAnsi="Arial"/>
        <w:color w:val="f2f2f2"/>
        <w:sz w:val="22"/>
      </w:rPr>
      <w:tblPr/>
      <w:tcPr>
        <w:shd w:val="clear" w:color="f4b184" w:themeColor="accent2" w:themeTint="000097" w:fill="f4b184" w:themeFill="accent2" w:themeFillTint="0000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000032" w:fill="fbe5d6" w:themeFill="accent2" w:themeFillTint="0000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000032" w:fill="fbe5d6" w:themeFill="accent2" w:themeFillTint="000032"/>
      </w:tcPr>
    </w:tblStylePr>
  </w:style>
  <w:style w:type="table" w:styleId="Lined-Accent3" w:customStyle="1">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0000FE" w:fill="a5a5a5" w:themeFill="accent3" w:themeFillTint="0000FE"/>
      </w:tcPr>
    </w:tblStylePr>
    <w:tblStylePr w:type="lastRow">
      <w:rPr>
        <w:rFonts w:ascii="Arial" w:hAnsi="Arial"/>
        <w:color w:val="f2f2f2"/>
        <w:sz w:val="22"/>
      </w:rPr>
      <w:tblPr/>
      <w:tcPr>
        <w:shd w:val="clear" w:color="a5a5a5" w:themeColor="accent3" w:themeTint="0000FE" w:fill="a5a5a5" w:themeFill="accent3" w:themeFillTint="0000FE"/>
      </w:tcPr>
    </w:tblStylePr>
    <w:tblStylePr w:type="firstCol">
      <w:rPr>
        <w:rFonts w:ascii="Arial" w:hAnsi="Arial"/>
        <w:color w:val="f2f2f2"/>
        <w:sz w:val="22"/>
      </w:rPr>
      <w:tblPr/>
      <w:tcPr>
        <w:shd w:val="clear" w:color="a5a5a5" w:themeColor="accent3" w:themeTint="0000FE" w:fill="a5a5a5" w:themeFill="accent3" w:themeFillTint="0000FE"/>
      </w:tcPr>
    </w:tblStylePr>
    <w:tblStylePr w:type="lastCol">
      <w:rPr>
        <w:rFonts w:ascii="Arial" w:hAnsi="Arial"/>
        <w:color w:val="f2f2f2"/>
        <w:sz w:val="22"/>
      </w:rPr>
      <w:tblPr/>
      <w:tcPr>
        <w:shd w:val="clear" w:color="a5a5a5" w:themeColor="accent3" w:themeTint="0000FE" w:fill="a5a5a5" w:themeFill="accent3" w:themeFillTint="0000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000034" w:fill="ececec" w:themeFill="accent3" w:themeFillTint="0000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000034" w:fill="ececec" w:themeFill="accent3" w:themeFillTint="000034"/>
      </w:tcPr>
    </w:tblStylePr>
  </w:style>
  <w:style w:type="table" w:styleId="Lined-Accent4" w:customStyle="1">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00009A" w:fill="ffd865" w:themeFill="accent4" w:themeFillTint="00009A"/>
      </w:tcPr>
    </w:tblStylePr>
    <w:tblStylePr w:type="lastRow">
      <w:rPr>
        <w:rFonts w:ascii="Arial" w:hAnsi="Arial"/>
        <w:color w:val="f2f2f2"/>
        <w:sz w:val="22"/>
      </w:rPr>
      <w:tblPr/>
      <w:tcPr>
        <w:shd w:val="clear" w:color="ffd865" w:themeColor="accent4" w:themeTint="00009A" w:fill="ffd865" w:themeFill="accent4" w:themeFillTint="00009A"/>
      </w:tcPr>
    </w:tblStylePr>
    <w:tblStylePr w:type="firstCol">
      <w:rPr>
        <w:rFonts w:ascii="Arial" w:hAnsi="Arial"/>
        <w:color w:val="f2f2f2"/>
        <w:sz w:val="22"/>
      </w:rPr>
      <w:tblPr/>
      <w:tcPr>
        <w:shd w:val="clear" w:color="ffd865" w:themeColor="accent4" w:themeTint="00009A" w:fill="ffd865" w:themeFill="accent4" w:themeFillTint="00009A"/>
      </w:tcPr>
    </w:tblStylePr>
    <w:tblStylePr w:type="lastCol">
      <w:rPr>
        <w:rFonts w:ascii="Arial" w:hAnsi="Arial"/>
        <w:color w:val="f2f2f2"/>
        <w:sz w:val="22"/>
      </w:rPr>
      <w:tblPr/>
      <w:tcPr>
        <w:shd w:val="clear" w:color="ffd865" w:themeColor="accent4" w:themeTint="00009A" w:fill="ffd865" w:themeFill="accent4" w:themeFillTint="0000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000034" w:fill="fff2cb" w:themeFill="accent4" w:themeFillTint="0000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000034" w:fill="fff2cb" w:themeFill="accent4" w:themeFillTint="000034"/>
      </w:tcPr>
    </w:tblStylePr>
  </w:style>
  <w:style w:type="table" w:styleId="Lined-Accent5" w:customStyle="1">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000034" w:fill="d8e2f3" w:themeFill="accent5" w:themeFillTint="0000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000034" w:fill="d8e2f3" w:themeFill="accent5" w:themeFillTint="000034"/>
      </w:tcPr>
    </w:tblStylePr>
  </w:style>
  <w:style w:type="table" w:styleId="Lined-Accent6" w:customStyle="1">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000034" w:fill="e1efd8" w:themeFill="accent6" w:themeFillTint="0000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000034" w:fill="e1efd8" w:themeFill="accent6" w:themeFillTint="000034"/>
      </w:tcPr>
    </w:tblStylePr>
  </w:style>
  <w:style w:type="table" w:styleId="BorderedLined-Accent" w:customStyle="1">
    <w:name w:val="Bordered &amp; Lined - Accent"/>
    <w:basedOn w:val="TableNormal"/>
    <w:uiPriority w:val="99"/>
    <w:pPr>
      <w:spacing w:after="0" w:line="240" w:lineRule="auto"/>
    </w:pPr>
    <w:rPr>
      <w:color w:val="404040"/>
      <w:sz w:val="20"/>
      <w:szCs w:val="20"/>
    </w:rPr>
    <w:tblPr>
      <w:tblStyleRowBandSize w:val="1"/>
      <w:tblStyleColBandSize w:val="1"/>
      <w:tblBorders>
        <w:top w:val="single" w:color="595959" w:themeColor="text1" w:themeTint="0000A6" w:sz="4" w:space="0"/>
        <w:left w:val="single" w:color="595959" w:themeColor="text1" w:themeTint="0000A6" w:sz="4" w:space="0"/>
        <w:bottom w:val="single" w:color="595959" w:themeColor="text1" w:themeTint="0000A6" w:sz="4" w:space="0"/>
        <w:right w:val="single" w:color="595959" w:themeColor="text1" w:themeTint="0000A6" w:sz="4" w:space="0"/>
        <w:insideH w:val="single" w:color="595959" w:themeColor="text1" w:themeTint="0000A6" w:sz="4" w:space="0"/>
        <w:insideV w:val="single" w:color="595959" w:themeColor="text1" w:themeTint="0000A6" w:sz="4" w:space="0"/>
      </w:tblBorders>
    </w:tblPr>
    <w:tblStylePr w:type="firstRow">
      <w:rPr>
        <w:rFonts w:ascii="Arial" w:hAnsi="Arial"/>
        <w:color w:val="f2f2f2"/>
        <w:sz w:val="22"/>
      </w:rPr>
      <w:tblPr/>
      <w:tcPr>
        <w:shd w:val="clear" w:color="7f7f7f" w:themeColor="text1" w:themeTint="000080" w:fill="7f7f7f" w:themeFill="text1" w:themeFillTint="000080"/>
      </w:tcPr>
    </w:tblStylePr>
    <w:tblStylePr w:type="lastRow">
      <w:rPr>
        <w:rFonts w:ascii="Arial" w:hAnsi="Arial"/>
        <w:color w:val="f2f2f2"/>
        <w:sz w:val="22"/>
      </w:rPr>
      <w:tblPr/>
      <w:tcPr>
        <w:shd w:val="clear" w:color="7f7f7f" w:themeColor="text1" w:themeTint="000080" w:fill="7f7f7f" w:themeFill="text1" w:themeFillTint="000080"/>
      </w:tcPr>
    </w:tblStylePr>
    <w:tblStylePr w:type="firstCol">
      <w:rPr>
        <w:rFonts w:ascii="Arial" w:hAnsi="Arial"/>
        <w:color w:val="f2f2f2"/>
        <w:sz w:val="22"/>
      </w:rPr>
      <w:tblPr/>
      <w:tcPr>
        <w:shd w:val="clear" w:color="7f7f7f" w:themeColor="text1" w:themeTint="000080" w:fill="7f7f7f" w:themeFill="text1" w:themeFillTint="000080"/>
      </w:tcPr>
    </w:tblStylePr>
    <w:tblStylePr w:type="lastCol">
      <w:rPr>
        <w:rFonts w:ascii="Arial" w:hAnsi="Arial"/>
        <w:color w:val="f2f2f2"/>
        <w:sz w:val="22"/>
      </w:rPr>
      <w:tblPr/>
      <w:tcPr>
        <w:shd w:val="clear" w:color="7f7f7f" w:themeColor="text1" w:themeTint="000080" w:fill="7f7f7f" w:themeFill="text1" w:themeFillTint="0000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0000D" w:fill="f2f2f2" w:themeFill="text1" w:themeFillTint="0000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0000D" w:fill="f2f2f2" w:themeFill="text1" w:themeFillTint="00000D"/>
      </w:tcPr>
    </w:tblStylePr>
  </w:style>
  <w:style w:type="table" w:styleId="BorderedLined-Accent1" w:customStyle="1">
    <w:name w:val="Bordered &amp; Lined - Accent 1"/>
    <w:basedOn w:val="TableNormal"/>
    <w:uiPriority w:val="99"/>
    <w:pPr>
      <w:spacing w:after="0" w:line="240" w:lineRule="auto"/>
    </w:pPr>
    <w:rPr>
      <w:color w:val="404040"/>
      <w:sz w:val="20"/>
      <w:szCs w:val="20"/>
    </w:rPr>
    <w:tblPr>
      <w:tblStyleRowBandSize w:val="1"/>
      <w:tblStyleColBandSize w:val="1"/>
      <w:tblBorders>
        <w:top w:val="single" w:color="245a8d" w:themeColor="accent1" w:themeShade="000095" w:sz="4" w:space="0"/>
        <w:left w:val="single" w:color="245a8d" w:themeColor="accent1" w:themeShade="000095" w:sz="4" w:space="0"/>
        <w:bottom w:val="single" w:color="245a8d" w:themeColor="accent1" w:themeShade="000095" w:sz="4" w:space="0"/>
        <w:right w:val="single" w:color="245a8d" w:themeColor="accent1" w:themeShade="000095" w:sz="4" w:space="0"/>
        <w:insideH w:val="single" w:color="245a8d" w:themeColor="accent1" w:themeShade="000095" w:sz="4" w:space="0"/>
        <w:insideV w:val="single" w:color="245a8d" w:themeColor="accent1" w:themeShade="000095" w:sz="4" w:space="0"/>
      </w:tblBorders>
    </w:tblPr>
    <w:tblStylePr w:type="firstRow">
      <w:rPr>
        <w:rFonts w:ascii="Arial" w:hAnsi="Arial"/>
        <w:color w:val="f2f2f2"/>
        <w:sz w:val="22"/>
      </w:rPr>
      <w:tblPr/>
      <w:tcPr>
        <w:shd w:val="clear" w:color="68a2d8" w:themeColor="accent1" w:themeTint="0000EA" w:fill="68a2d8" w:themeFill="accent1" w:themeFillTint="0000EA"/>
      </w:tcPr>
    </w:tblStylePr>
    <w:tblStylePr w:type="lastRow">
      <w:rPr>
        <w:rFonts w:ascii="Arial" w:hAnsi="Arial"/>
        <w:color w:val="f2f2f2"/>
        <w:sz w:val="22"/>
      </w:rPr>
      <w:tblPr/>
      <w:tcPr>
        <w:shd w:val="clear" w:color="68a2d8" w:themeColor="accent1" w:themeTint="0000EA" w:fill="68a2d8" w:themeFill="accent1" w:themeFillTint="0000EA"/>
      </w:tcPr>
    </w:tblStylePr>
    <w:tblStylePr w:type="firstCol">
      <w:rPr>
        <w:rFonts w:ascii="Arial" w:hAnsi="Arial"/>
        <w:color w:val="f2f2f2"/>
        <w:sz w:val="22"/>
      </w:rPr>
      <w:tblPr/>
      <w:tcPr>
        <w:shd w:val="clear" w:color="68a2d8" w:themeColor="accent1" w:themeTint="0000EA" w:fill="68a2d8" w:themeFill="accent1" w:themeFillTint="0000EA"/>
      </w:tcPr>
    </w:tblStylePr>
    <w:tblStylePr w:type="lastCol">
      <w:rPr>
        <w:rFonts w:ascii="Arial" w:hAnsi="Arial"/>
        <w:color w:val="f2f2f2"/>
        <w:sz w:val="22"/>
      </w:rPr>
      <w:tblPr/>
      <w:tcPr>
        <w:shd w:val="clear" w:color="68a2d8" w:themeColor="accent1" w:themeTint="0000EA" w:fill="68a2d8" w:themeFill="accent1" w:themeFillTint="0000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000050" w:fill="cbdff1" w:themeFill="accent1" w:themeFillTint="0000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000050" w:fill="cbdff1" w:themeFill="accent1" w:themeFillTint="000050"/>
      </w:tcPr>
    </w:tblStylePr>
  </w:style>
  <w:style w:type="table" w:styleId="BorderedLined-Accent2" w:customStyle="1">
    <w:name w:val="Bordered &amp; Lined - Accent 2"/>
    <w:basedOn w:val="TableNormal"/>
    <w:uiPriority w:val="99"/>
    <w:pPr>
      <w:spacing w:after="0" w:line="240" w:lineRule="auto"/>
    </w:pPr>
    <w:rPr>
      <w:color w:val="404040"/>
      <w:sz w:val="20"/>
      <w:szCs w:val="20"/>
    </w:rPr>
    <w:tblPr>
      <w:tblStyleRowBandSize w:val="1"/>
      <w:tblStyleColBandSize w:val="1"/>
      <w:tblBorders>
        <w:top w:val="single" w:color="99460d" w:themeColor="accent2" w:themeShade="000095" w:sz="4" w:space="0"/>
        <w:left w:val="single" w:color="99460d" w:themeColor="accent2" w:themeShade="000095" w:sz="4" w:space="0"/>
        <w:bottom w:val="single" w:color="99460d" w:themeColor="accent2" w:themeShade="000095" w:sz="4" w:space="0"/>
        <w:right w:val="single" w:color="99460d" w:themeColor="accent2" w:themeShade="000095" w:sz="4" w:space="0"/>
        <w:insideH w:val="single" w:color="99460d" w:themeColor="accent2" w:themeShade="000095" w:sz="4" w:space="0"/>
        <w:insideV w:val="single" w:color="99460d" w:themeColor="accent2" w:themeShade="000095" w:sz="4" w:space="0"/>
      </w:tblBorders>
    </w:tblPr>
    <w:tblStylePr w:type="firstRow">
      <w:rPr>
        <w:rFonts w:ascii="Arial" w:hAnsi="Arial"/>
        <w:color w:val="f2f2f2"/>
        <w:sz w:val="22"/>
      </w:rPr>
      <w:tblPr/>
      <w:tcPr>
        <w:shd w:val="clear" w:color="f4b184" w:themeColor="accent2" w:themeTint="000097" w:fill="f4b184" w:themeFill="accent2" w:themeFillTint="000097"/>
      </w:tcPr>
    </w:tblStylePr>
    <w:tblStylePr w:type="lastRow">
      <w:rPr>
        <w:rFonts w:ascii="Arial" w:hAnsi="Arial"/>
        <w:color w:val="f2f2f2"/>
        <w:sz w:val="22"/>
      </w:rPr>
      <w:tblPr/>
      <w:tcPr>
        <w:shd w:val="clear" w:color="f4b184" w:themeColor="accent2" w:themeTint="000097" w:fill="f4b184" w:themeFill="accent2" w:themeFillTint="000097"/>
      </w:tcPr>
    </w:tblStylePr>
    <w:tblStylePr w:type="firstCol">
      <w:rPr>
        <w:rFonts w:ascii="Arial" w:hAnsi="Arial"/>
        <w:color w:val="f2f2f2"/>
        <w:sz w:val="22"/>
      </w:rPr>
      <w:tblPr/>
      <w:tcPr>
        <w:shd w:val="clear" w:color="f4b184" w:themeColor="accent2" w:themeTint="000097" w:fill="f4b184" w:themeFill="accent2" w:themeFillTint="000097"/>
      </w:tcPr>
    </w:tblStylePr>
    <w:tblStylePr w:type="lastCol">
      <w:rPr>
        <w:rFonts w:ascii="Arial" w:hAnsi="Arial"/>
        <w:color w:val="f2f2f2"/>
        <w:sz w:val="22"/>
      </w:rPr>
      <w:tblPr/>
      <w:tcPr>
        <w:shd w:val="clear" w:color="f4b184" w:themeColor="accent2" w:themeTint="000097" w:fill="f4b184" w:themeFill="accent2" w:themeFillTint="0000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000032" w:fill="fbe5d6" w:themeFill="accent2" w:themeFillTint="0000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000032" w:fill="fbe5d6" w:themeFill="accent2" w:themeFillTint="000032"/>
      </w:tcPr>
    </w:tblStylePr>
  </w:style>
  <w:style w:type="table" w:styleId="BorderedLined-Accent3" w:customStyle="1">
    <w:name w:val="Bordered &amp; Lined - Accent 3"/>
    <w:basedOn w:val="TableNormal"/>
    <w:uiPriority w:val="99"/>
    <w:pPr>
      <w:spacing w:after="0" w:line="240" w:lineRule="auto"/>
    </w:pPr>
    <w:rPr>
      <w:color w:val="404040"/>
      <w:sz w:val="20"/>
      <w:szCs w:val="20"/>
    </w:rPr>
    <w:tblPr>
      <w:tblStyleRowBandSize w:val="1"/>
      <w:tblStyleColBandSize w:val="1"/>
      <w:tblBorders>
        <w:top w:val="single" w:color="606060" w:themeColor="accent3" w:themeShade="000095" w:sz="4" w:space="0"/>
        <w:left w:val="single" w:color="606060" w:themeColor="accent3" w:themeShade="000095" w:sz="4" w:space="0"/>
        <w:bottom w:val="single" w:color="606060" w:themeColor="accent3" w:themeShade="000095" w:sz="4" w:space="0"/>
        <w:right w:val="single" w:color="606060" w:themeColor="accent3" w:themeShade="000095" w:sz="4" w:space="0"/>
        <w:insideH w:val="single" w:color="606060" w:themeColor="accent3" w:themeShade="000095" w:sz="4" w:space="0"/>
        <w:insideV w:val="single" w:color="606060" w:themeColor="accent3" w:themeShade="000095" w:sz="4" w:space="0"/>
      </w:tblBorders>
    </w:tblPr>
    <w:tblStylePr w:type="firstRow">
      <w:rPr>
        <w:rFonts w:ascii="Arial" w:hAnsi="Arial"/>
        <w:color w:val="f2f2f2"/>
        <w:sz w:val="22"/>
      </w:rPr>
      <w:tblPr/>
      <w:tcPr>
        <w:shd w:val="clear" w:color="a5a5a5" w:themeColor="accent3" w:themeTint="0000FE" w:fill="a5a5a5" w:themeFill="accent3" w:themeFillTint="0000FE"/>
      </w:tcPr>
    </w:tblStylePr>
    <w:tblStylePr w:type="lastRow">
      <w:rPr>
        <w:rFonts w:ascii="Arial" w:hAnsi="Arial"/>
        <w:color w:val="f2f2f2"/>
        <w:sz w:val="22"/>
      </w:rPr>
      <w:tblPr/>
      <w:tcPr>
        <w:shd w:val="clear" w:color="a5a5a5" w:themeColor="accent3" w:themeTint="0000FE" w:fill="a5a5a5" w:themeFill="accent3" w:themeFillTint="0000FE"/>
      </w:tcPr>
    </w:tblStylePr>
    <w:tblStylePr w:type="firstCol">
      <w:rPr>
        <w:rFonts w:ascii="Arial" w:hAnsi="Arial"/>
        <w:color w:val="f2f2f2"/>
        <w:sz w:val="22"/>
      </w:rPr>
      <w:tblPr/>
      <w:tcPr>
        <w:shd w:val="clear" w:color="a5a5a5" w:themeColor="accent3" w:themeTint="0000FE" w:fill="a5a5a5" w:themeFill="accent3" w:themeFillTint="0000FE"/>
      </w:tcPr>
    </w:tblStylePr>
    <w:tblStylePr w:type="lastCol">
      <w:rPr>
        <w:rFonts w:ascii="Arial" w:hAnsi="Arial"/>
        <w:color w:val="f2f2f2"/>
        <w:sz w:val="22"/>
      </w:rPr>
      <w:tblPr/>
      <w:tcPr>
        <w:shd w:val="clear" w:color="a5a5a5" w:themeColor="accent3" w:themeTint="0000FE" w:fill="a5a5a5" w:themeFill="accent3" w:themeFillTint="0000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000034" w:fill="ececec" w:themeFill="accent3" w:themeFillTint="0000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000034" w:fill="ececec" w:themeFill="accent3" w:themeFillTint="000034"/>
      </w:tcPr>
    </w:tblStylePr>
  </w:style>
  <w:style w:type="table" w:styleId="BorderedLined-Accent4" w:customStyle="1">
    <w:name w:val="Bordered &amp; Lined - Accent 4"/>
    <w:basedOn w:val="TableNormal"/>
    <w:uiPriority w:val="99"/>
    <w:pPr>
      <w:spacing w:after="0" w:line="240" w:lineRule="auto"/>
    </w:pPr>
    <w:rPr>
      <w:color w:val="404040"/>
      <w:sz w:val="20"/>
      <w:szCs w:val="20"/>
    </w:rPr>
    <w:tblPr>
      <w:tblStyleRowBandSize w:val="1"/>
      <w:tblStyleColBandSize w:val="1"/>
      <w:tblBorders>
        <w:top w:val="single" w:color="957000" w:themeColor="accent4" w:themeShade="000095" w:sz="4" w:space="0"/>
        <w:left w:val="single" w:color="957000" w:themeColor="accent4" w:themeShade="000095" w:sz="4" w:space="0"/>
        <w:bottom w:val="single" w:color="957000" w:themeColor="accent4" w:themeShade="000095" w:sz="4" w:space="0"/>
        <w:right w:val="single" w:color="957000" w:themeColor="accent4" w:themeShade="000095" w:sz="4" w:space="0"/>
        <w:insideH w:val="single" w:color="957000" w:themeColor="accent4" w:themeShade="000095" w:sz="4" w:space="0"/>
        <w:insideV w:val="single" w:color="957000" w:themeColor="accent4" w:themeShade="000095" w:sz="4" w:space="0"/>
      </w:tblBorders>
    </w:tblPr>
    <w:tblStylePr w:type="firstRow">
      <w:rPr>
        <w:rFonts w:ascii="Arial" w:hAnsi="Arial"/>
        <w:color w:val="f2f2f2"/>
        <w:sz w:val="22"/>
      </w:rPr>
      <w:tblPr/>
      <w:tcPr>
        <w:shd w:val="clear" w:color="ffd865" w:themeColor="accent4" w:themeTint="00009A" w:fill="ffd865" w:themeFill="accent4" w:themeFillTint="00009A"/>
      </w:tcPr>
    </w:tblStylePr>
    <w:tblStylePr w:type="lastRow">
      <w:rPr>
        <w:rFonts w:ascii="Arial" w:hAnsi="Arial"/>
        <w:color w:val="f2f2f2"/>
        <w:sz w:val="22"/>
      </w:rPr>
      <w:tblPr/>
      <w:tcPr>
        <w:shd w:val="clear" w:color="ffd865" w:themeColor="accent4" w:themeTint="00009A" w:fill="ffd865" w:themeFill="accent4" w:themeFillTint="00009A"/>
      </w:tcPr>
    </w:tblStylePr>
    <w:tblStylePr w:type="firstCol">
      <w:rPr>
        <w:rFonts w:ascii="Arial" w:hAnsi="Arial"/>
        <w:color w:val="f2f2f2"/>
        <w:sz w:val="22"/>
      </w:rPr>
      <w:tblPr/>
      <w:tcPr>
        <w:shd w:val="clear" w:color="ffd865" w:themeColor="accent4" w:themeTint="00009A" w:fill="ffd865" w:themeFill="accent4" w:themeFillTint="00009A"/>
      </w:tcPr>
    </w:tblStylePr>
    <w:tblStylePr w:type="lastCol">
      <w:rPr>
        <w:rFonts w:ascii="Arial" w:hAnsi="Arial"/>
        <w:color w:val="f2f2f2"/>
        <w:sz w:val="22"/>
      </w:rPr>
      <w:tblPr/>
      <w:tcPr>
        <w:shd w:val="clear" w:color="ffd865" w:themeColor="accent4" w:themeTint="00009A" w:fill="ffd865" w:themeFill="accent4" w:themeFillTint="0000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000034" w:fill="fff2cb" w:themeFill="accent4" w:themeFillTint="0000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000034" w:fill="fff2cb" w:themeFill="accent4" w:themeFillTint="000034"/>
      </w:tcPr>
    </w:tblStylePr>
  </w:style>
  <w:style w:type="table" w:styleId="BorderedLined-Accent5" w:customStyle="1">
    <w:name w:val="Bordered &amp; Lined - Accent 5"/>
    <w:basedOn w:val="TableNormal"/>
    <w:uiPriority w:val="99"/>
    <w:pPr>
      <w:spacing w:after="0" w:line="240" w:lineRule="auto"/>
    </w:pPr>
    <w:rPr>
      <w:color w:val="404040"/>
      <w:sz w:val="20"/>
      <w:szCs w:val="20"/>
    </w:rPr>
    <w:tblPr>
      <w:tblStyleRowBandSize w:val="1"/>
      <w:tblStyleColBandSize w:val="1"/>
      <w:tblBorders>
        <w:top w:val="single" w:color="254175" w:themeColor="accent5" w:themeShade="000095" w:sz="4" w:space="0"/>
        <w:left w:val="single" w:color="254175" w:themeColor="accent5" w:themeShade="000095" w:sz="4" w:space="0"/>
        <w:bottom w:val="single" w:color="254175" w:themeColor="accent5" w:themeShade="000095" w:sz="4" w:space="0"/>
        <w:right w:val="single" w:color="254175" w:themeColor="accent5" w:themeShade="000095" w:sz="4" w:space="0"/>
        <w:insideH w:val="single" w:color="254175" w:themeColor="accent5" w:themeShade="000095" w:sz="4" w:space="0"/>
        <w:insideV w:val="single" w:color="254175" w:themeColor="accent5" w:themeShade="000095" w:sz="4" w:space="0"/>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000034" w:fill="d8e2f3" w:themeFill="accent5" w:themeFillTint="0000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000034" w:fill="d8e2f3" w:themeFill="accent5" w:themeFillTint="000034"/>
      </w:tcPr>
    </w:tblStylePr>
  </w:style>
  <w:style w:type="table" w:styleId="BorderedLined-Accent6" w:customStyle="1">
    <w:name w:val="Bordered &amp; Lined - Accent 6"/>
    <w:basedOn w:val="TableNormal"/>
    <w:uiPriority w:val="99"/>
    <w:pPr>
      <w:spacing w:after="0" w:line="240" w:lineRule="auto"/>
    </w:pPr>
    <w:rPr>
      <w:color w:val="404040"/>
      <w:sz w:val="20"/>
      <w:szCs w:val="20"/>
    </w:rPr>
    <w:tblPr>
      <w:tblStyleRowBandSize w:val="1"/>
      <w:tblStyleColBandSize w:val="1"/>
      <w:tblBorders>
        <w:top w:val="single" w:color="416429" w:themeColor="accent6" w:themeShade="000095" w:sz="4" w:space="0"/>
        <w:left w:val="single" w:color="416429" w:themeColor="accent6" w:themeShade="000095" w:sz="4" w:space="0"/>
        <w:bottom w:val="single" w:color="416429" w:themeColor="accent6" w:themeShade="000095" w:sz="4" w:space="0"/>
        <w:right w:val="single" w:color="416429" w:themeColor="accent6" w:themeShade="000095" w:sz="4" w:space="0"/>
        <w:insideH w:val="single" w:color="416429" w:themeColor="accent6" w:themeShade="000095" w:sz="4" w:space="0"/>
        <w:insideV w:val="single" w:color="416429" w:themeColor="accent6" w:themeShade="000095" w:sz="4" w:space="0"/>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000034" w:fill="e1efd8" w:themeFill="accent6" w:themeFillTint="0000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000034" w:fill="e1efd8" w:themeFill="accent6" w:themeFillTint="000034"/>
      </w:tcPr>
    </w:tblStylePr>
  </w:style>
  <w:style w:type="table" w:styleId="Bordered" w:customStyle="1">
    <w:name w:val="Bordered"/>
    <w:basedOn w:val="TableNormal"/>
    <w:uiPriority w:val="99"/>
    <w:pPr>
      <w:spacing w:after="0" w:line="240" w:lineRule="auto"/>
    </w:pPr>
    <w:tblPr>
      <w:tblStyleRowBandSize w:val="1"/>
      <w:tblStyleColBandSize w:val="1"/>
      <w:tblBorders>
        <w:top w:val="single" w:color="d9d9d9" w:themeColor="text1" w:themeTint="000026" w:sz="4" w:space="0"/>
        <w:left w:val="single" w:color="d9d9d9" w:themeColor="text1" w:themeTint="000026" w:sz="4" w:space="0"/>
        <w:bottom w:val="single" w:color="d9d9d9" w:themeColor="text1" w:themeTint="000026" w:sz="4" w:space="0"/>
        <w:right w:val="single" w:color="d9d9d9" w:themeColor="text1" w:themeTint="000026" w:sz="4" w:space="0"/>
        <w:insideH w:val="single" w:color="d9d9d9" w:themeColor="text1" w:themeTint="000026" w:sz="4" w:space="0"/>
        <w:insideV w:val="single" w:color="d9d9d9" w:themeColor="text1" w:themeTint="000026" w:sz="4" w:space="0"/>
      </w:tblBorders>
    </w:tblPr>
    <w:tblStylePr w:type="firstRow">
      <w:rPr>
        <w:rFonts w:ascii="Arial" w:hAnsi="Arial"/>
        <w:color w:val="404040"/>
        <w:sz w:val="22"/>
      </w:rPr>
      <w:tblPr/>
      <w:tcPr>
        <w:tcBorders>
          <w:bottom w:val="single" w:color="7f7f7f" w:themeColor="text1" w:themeTint="000080" w:sz="12" w:space="0"/>
        </w:tcBorders>
      </w:tcPr>
    </w:tblStylePr>
    <w:tblStylePr w:type="lastRow">
      <w:rPr>
        <w:rFonts w:ascii="Arial" w:hAnsi="Arial"/>
        <w:color w:val="404040"/>
        <w:sz w:val="22"/>
      </w:rPr>
      <w:tblPr/>
      <w:tcPr>
        <w:tcBorders>
          <w:top w:val="single" w:color="7f7f7f" w:themeColor="text1" w:themeTint="000080"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7f7f7f" w:themeColor="text1" w:themeTint="000080" w:sz="12" w:space="0"/>
        </w:tcBorders>
      </w:tcPr>
    </w:tblStylePr>
    <w:tblStylePr w:type="band1Horz">
      <w:rPr>
        <w:rFonts w:ascii="Arial" w:hAnsi="Arial"/>
        <w:color w:val="404040"/>
        <w:sz w:val="22"/>
      </w:rPr>
      <w:tblPr/>
      <w:tcPr>
        <w:tcBorders>
          <w:top w:val="single" w:color="d9d9d9" w:themeColor="text1" w:themeTint="000026" w:sz="4" w:space="0"/>
          <w:left w:val="single" w:color="d9d9d9" w:themeColor="text1" w:themeTint="000026" w:sz="4" w:space="0"/>
          <w:bottom w:val="single" w:color="d9d9d9" w:themeColor="text1" w:themeTint="000026" w:sz="4" w:space="0"/>
          <w:right w:val="single" w:color="d9d9d9" w:themeColor="text1" w:themeTint="000026" w:sz="4" w:space="0"/>
        </w:tcBorders>
      </w:tcPr>
    </w:tblStylePr>
  </w:style>
  <w:style w:type="table" w:styleId="Bordered-Accent1" w:customStyle="1">
    <w:name w:val="Bordered - Accent 1"/>
    <w:basedOn w:val="TableNormal"/>
    <w:uiPriority w:val="99"/>
    <w:pPr>
      <w:spacing w:after="0" w:line="240" w:lineRule="auto"/>
    </w:pPr>
    <w:tblPr>
      <w:tblStyleRowBandSize w:val="1"/>
      <w:tblStyleColBandSize w:val="1"/>
      <w:tblBorders>
        <w:top w:val="single" w:color="bcd6ee" w:themeColor="accent1" w:themeTint="000067" w:sz="4" w:space="0"/>
        <w:left w:val="single" w:color="bcd6ee" w:themeColor="accent1" w:themeTint="000067" w:sz="4" w:space="0"/>
        <w:bottom w:val="single" w:color="bcd6ee" w:themeColor="accent1" w:themeTint="000067" w:sz="4" w:space="0"/>
        <w:right w:val="single" w:color="bcd6ee" w:themeColor="accent1" w:themeTint="000067" w:sz="4" w:space="0"/>
        <w:insideH w:val="single" w:color="bcd6ee" w:themeColor="accent1" w:themeTint="000067" w:sz="4" w:space="0"/>
        <w:insideV w:val="single" w:color="bcd6ee" w:themeColor="accent1" w:themeTint="000067" w:sz="4" w:space="0"/>
      </w:tblBorders>
    </w:tblPr>
    <w:tblStylePr w:type="firstRow">
      <w:rPr>
        <w:rFonts w:ascii="Arial" w:hAnsi="Arial"/>
        <w:color w:val="404040"/>
        <w:sz w:val="22"/>
      </w:rPr>
      <w:tblPr/>
      <w:tcPr>
        <w:tcBorders>
          <w:bottom w:val="single" w:color="5b9bd5" w:themeColor="accent1" w:sz="12" w:space="0"/>
        </w:tcBorders>
      </w:tcPr>
    </w:tblStylePr>
    <w:tblStylePr w:type="lastRow">
      <w:rPr>
        <w:rFonts w:ascii="Arial" w:hAnsi="Arial"/>
        <w:color w:val="404040"/>
        <w:sz w:val="22"/>
      </w:rPr>
      <w:tblPr/>
      <w:tcPr>
        <w:tcBorders>
          <w:top w:val="single" w:color="5b9bd5" w:themeColor="accent1"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5b9bd5" w:themeColor="accent1" w:sz="12" w:space="0"/>
        </w:tcBorders>
      </w:tcPr>
    </w:tblStylePr>
    <w:tblStylePr w:type="band1Horz">
      <w:rPr>
        <w:rFonts w:ascii="Arial" w:hAnsi="Arial"/>
        <w:color w:val="404040"/>
        <w:sz w:val="22"/>
      </w:rPr>
      <w:tblPr/>
      <w:tcPr>
        <w:tcBorders>
          <w:top w:val="single" w:color="bcd6ee" w:themeColor="accent1" w:themeTint="000067" w:sz="4" w:space="0"/>
          <w:left w:val="single" w:color="bcd6ee" w:themeColor="accent1" w:themeTint="000067" w:sz="4" w:space="0"/>
          <w:bottom w:val="single" w:color="bcd6ee" w:themeColor="accent1" w:themeTint="000067" w:sz="4" w:space="0"/>
          <w:right w:val="single" w:color="bcd6ee" w:themeColor="accent1" w:themeTint="000067" w:sz="4" w:space="0"/>
        </w:tcBorders>
      </w:tcPr>
    </w:tblStylePr>
  </w:style>
  <w:style w:type="table" w:styleId="Bordered-Accent2" w:customStyle="1">
    <w:name w:val="Bordered - Accent 2"/>
    <w:basedOn w:val="TableNormal"/>
    <w:uiPriority w:val="99"/>
    <w:pPr>
      <w:spacing w:after="0" w:line="240" w:lineRule="auto"/>
    </w:pPr>
    <w:tblPr>
      <w:tblStyleRowBandSize w:val="1"/>
      <w:tblStyleColBandSize w:val="1"/>
      <w:tblBorders>
        <w:top w:val="single" w:color="f7caab" w:themeColor="accent2" w:themeTint="000067" w:sz="4" w:space="0"/>
        <w:left w:val="single" w:color="f7caab" w:themeColor="accent2" w:themeTint="000067" w:sz="4" w:space="0"/>
        <w:bottom w:val="single" w:color="f7caab" w:themeColor="accent2" w:themeTint="000067" w:sz="4" w:space="0"/>
        <w:right w:val="single" w:color="f7caab" w:themeColor="accent2" w:themeTint="000067" w:sz="4" w:space="0"/>
        <w:insideH w:val="single" w:color="f7caab" w:themeColor="accent2" w:themeTint="000067" w:sz="4" w:space="0"/>
        <w:insideV w:val="single" w:color="f7caab" w:themeColor="accent2" w:themeTint="000067" w:sz="4" w:space="0"/>
      </w:tblBorders>
    </w:tblPr>
    <w:tblStylePr w:type="firstRow">
      <w:rPr>
        <w:rFonts w:ascii="Arial" w:hAnsi="Arial"/>
        <w:color w:val="404040"/>
        <w:sz w:val="22"/>
      </w:rPr>
      <w:tblPr/>
      <w:tcPr>
        <w:tcBorders>
          <w:bottom w:val="single" w:color="f4b184" w:themeColor="accent2" w:themeTint="000097" w:sz="12" w:space="0"/>
        </w:tcBorders>
      </w:tcPr>
    </w:tblStylePr>
    <w:tblStylePr w:type="lastRow">
      <w:rPr>
        <w:rFonts w:ascii="Arial" w:hAnsi="Arial"/>
        <w:color w:val="404040"/>
        <w:sz w:val="22"/>
      </w:rPr>
      <w:tblPr/>
      <w:tcPr>
        <w:tcBorders>
          <w:top w:val="single" w:color="f4b184" w:themeColor="accent2" w:themeTint="000097"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f4b184" w:themeColor="accent2" w:themeTint="000097" w:sz="12" w:space="0"/>
        </w:tcBorders>
      </w:tcPr>
    </w:tblStylePr>
    <w:tblStylePr w:type="band1Horz">
      <w:rPr>
        <w:rFonts w:ascii="Arial" w:hAnsi="Arial"/>
        <w:color w:val="404040"/>
        <w:sz w:val="22"/>
      </w:rPr>
      <w:tblPr/>
      <w:tcPr>
        <w:tcBorders>
          <w:top w:val="single" w:color="f7caab" w:themeColor="accent2" w:themeTint="000067" w:sz="4" w:space="0"/>
          <w:left w:val="single" w:color="f7caab" w:themeColor="accent2" w:themeTint="000067" w:sz="4" w:space="0"/>
          <w:bottom w:val="single" w:color="f7caab" w:themeColor="accent2" w:themeTint="000067" w:sz="4" w:space="0"/>
          <w:right w:val="single" w:color="f7caab" w:themeColor="accent2" w:themeTint="000067" w:sz="4" w:space="0"/>
        </w:tcBorders>
      </w:tcPr>
    </w:tblStylePr>
  </w:style>
  <w:style w:type="table" w:styleId="Bordered-Accent3" w:customStyle="1">
    <w:name w:val="Bordered - Accent 3"/>
    <w:basedOn w:val="TableNormal"/>
    <w:uiPriority w:val="99"/>
    <w:pPr>
      <w:spacing w:after="0" w:line="240" w:lineRule="auto"/>
    </w:pPr>
    <w:tblPr>
      <w:tblStyleRowBandSize w:val="1"/>
      <w:tblStyleColBandSize w:val="1"/>
      <w:tblBorders>
        <w:top w:val="single" w:color="dadada" w:themeColor="accent3" w:themeTint="000067" w:sz="4" w:space="0"/>
        <w:left w:val="single" w:color="dadada" w:themeColor="accent3" w:themeTint="000067" w:sz="4" w:space="0"/>
        <w:bottom w:val="single" w:color="dadada" w:themeColor="accent3" w:themeTint="000067" w:sz="4" w:space="0"/>
        <w:right w:val="single" w:color="dadada" w:themeColor="accent3" w:themeTint="000067" w:sz="4" w:space="0"/>
        <w:insideH w:val="single" w:color="dadada" w:themeColor="accent3" w:themeTint="000067" w:sz="4" w:space="0"/>
        <w:insideV w:val="single" w:color="dadada" w:themeColor="accent3" w:themeTint="000067" w:sz="4" w:space="0"/>
      </w:tblBorders>
    </w:tblPr>
    <w:tblStylePr w:type="firstRow">
      <w:rPr>
        <w:rFonts w:ascii="Arial" w:hAnsi="Arial"/>
        <w:color w:val="404040"/>
        <w:sz w:val="22"/>
      </w:rPr>
      <w:tblPr/>
      <w:tcPr>
        <w:tcBorders>
          <w:bottom w:val="single" w:color="c9c9c9" w:themeColor="accent3" w:themeTint="000098" w:sz="12" w:space="0"/>
        </w:tcBorders>
      </w:tcPr>
    </w:tblStylePr>
    <w:tblStylePr w:type="lastRow">
      <w:rPr>
        <w:rFonts w:ascii="Arial" w:hAnsi="Arial"/>
        <w:color w:val="404040"/>
        <w:sz w:val="22"/>
      </w:rPr>
      <w:tblPr/>
      <w:tcPr>
        <w:tcBorders>
          <w:top w:val="single" w:color="c9c9c9" w:themeColor="accent3" w:themeTint="000098"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c9c9c9" w:themeColor="accent3" w:themeTint="000098" w:sz="12" w:space="0"/>
        </w:tcBorders>
      </w:tcPr>
    </w:tblStylePr>
    <w:tblStylePr w:type="band1Horz">
      <w:rPr>
        <w:rFonts w:ascii="Arial" w:hAnsi="Arial"/>
        <w:color w:val="404040"/>
        <w:sz w:val="22"/>
      </w:rPr>
      <w:tblPr/>
      <w:tcPr>
        <w:tcBorders>
          <w:top w:val="single" w:color="dadada" w:themeColor="accent3" w:themeTint="000067" w:sz="4" w:space="0"/>
          <w:left w:val="single" w:color="dadada" w:themeColor="accent3" w:themeTint="000067" w:sz="4" w:space="0"/>
          <w:bottom w:val="single" w:color="dadada" w:themeColor="accent3" w:themeTint="000067" w:sz="4" w:space="0"/>
          <w:right w:val="single" w:color="dadada" w:themeColor="accent3" w:themeTint="000067" w:sz="4" w:space="0"/>
        </w:tcBorders>
      </w:tcPr>
    </w:tblStylePr>
  </w:style>
  <w:style w:type="table" w:styleId="Bordered-Accent4" w:customStyle="1">
    <w:name w:val="Bordered - Accent 4"/>
    <w:basedOn w:val="TableNormal"/>
    <w:uiPriority w:val="99"/>
    <w:pPr>
      <w:spacing w:after="0" w:line="240" w:lineRule="auto"/>
    </w:pPr>
    <w:tblPr>
      <w:tblStyleRowBandSize w:val="1"/>
      <w:tblStyleColBandSize w:val="1"/>
      <w:tblBorders>
        <w:top w:val="single" w:color="ffe598" w:themeColor="accent4" w:themeTint="000067" w:sz="4" w:space="0"/>
        <w:left w:val="single" w:color="ffe598" w:themeColor="accent4" w:themeTint="000067" w:sz="4" w:space="0"/>
        <w:bottom w:val="single" w:color="ffe598" w:themeColor="accent4" w:themeTint="000067" w:sz="4" w:space="0"/>
        <w:right w:val="single" w:color="ffe598" w:themeColor="accent4" w:themeTint="000067" w:sz="4" w:space="0"/>
        <w:insideH w:val="single" w:color="ffe598" w:themeColor="accent4" w:themeTint="000067" w:sz="4" w:space="0"/>
        <w:insideV w:val="single" w:color="ffe598" w:themeColor="accent4" w:themeTint="000067" w:sz="4" w:space="0"/>
      </w:tblBorders>
    </w:tblPr>
    <w:tblStylePr w:type="firstRow">
      <w:rPr>
        <w:rFonts w:ascii="Arial" w:hAnsi="Arial"/>
        <w:color w:val="404040"/>
        <w:sz w:val="22"/>
      </w:rPr>
      <w:tblPr/>
      <w:tcPr>
        <w:tcBorders>
          <w:bottom w:val="single" w:color="ffd865" w:themeColor="accent4" w:themeTint="00009A" w:sz="12" w:space="0"/>
        </w:tcBorders>
      </w:tcPr>
    </w:tblStylePr>
    <w:tblStylePr w:type="lastRow">
      <w:rPr>
        <w:rFonts w:ascii="Arial" w:hAnsi="Arial"/>
        <w:color w:val="404040"/>
        <w:sz w:val="22"/>
      </w:rPr>
      <w:tblPr/>
      <w:tcPr>
        <w:tcBorders>
          <w:top w:val="single" w:color="ffd865" w:themeColor="accent4" w:themeTint="00009A"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ffd865" w:themeColor="accent4" w:themeTint="00009A" w:sz="12" w:space="0"/>
        </w:tcBorders>
      </w:tcPr>
    </w:tblStylePr>
    <w:tblStylePr w:type="band1Horz">
      <w:rPr>
        <w:rFonts w:ascii="Arial" w:hAnsi="Arial"/>
        <w:color w:val="404040"/>
        <w:sz w:val="22"/>
      </w:rPr>
      <w:tblPr/>
      <w:tcPr>
        <w:tcBorders>
          <w:top w:val="single" w:color="ffe598" w:themeColor="accent4" w:themeTint="000067" w:sz="4" w:space="0"/>
          <w:left w:val="single" w:color="ffe598" w:themeColor="accent4" w:themeTint="000067" w:sz="4" w:space="0"/>
          <w:bottom w:val="single" w:color="ffe598" w:themeColor="accent4" w:themeTint="000067" w:sz="4" w:space="0"/>
          <w:right w:val="single" w:color="ffe598" w:themeColor="accent4" w:themeTint="000067" w:sz="4" w:space="0"/>
        </w:tcBorders>
      </w:tcPr>
    </w:tblStylePr>
  </w:style>
  <w:style w:type="table" w:styleId="Bordered-Accent5" w:customStyle="1">
    <w:name w:val="Bordered - Accent 5"/>
    <w:basedOn w:val="TableNormal"/>
    <w:uiPriority w:val="99"/>
    <w:pPr>
      <w:spacing w:after="0" w:line="240" w:lineRule="auto"/>
    </w:pPr>
    <w:tblPr>
      <w:tblStyleRowBandSize w:val="1"/>
      <w:tblStyleColBandSize w:val="1"/>
      <w:tblBorders>
        <w:top w:val="single" w:color="b3c5e7" w:themeColor="accent5" w:themeTint="000067" w:sz="4" w:space="0"/>
        <w:left w:val="single" w:color="b3c5e7" w:themeColor="accent5" w:themeTint="000067" w:sz="4" w:space="0"/>
        <w:bottom w:val="single" w:color="b3c5e7" w:themeColor="accent5" w:themeTint="000067" w:sz="4" w:space="0"/>
        <w:right w:val="single" w:color="b3c5e7" w:themeColor="accent5" w:themeTint="000067" w:sz="4" w:space="0"/>
        <w:insideH w:val="single" w:color="b3c5e7" w:themeColor="accent5" w:themeTint="000067" w:sz="4" w:space="0"/>
        <w:insideV w:val="single" w:color="b3c5e7" w:themeColor="accent5" w:themeTint="000067" w:sz="4" w:space="0"/>
      </w:tblBorders>
    </w:tblPr>
    <w:tblStylePr w:type="firstRow">
      <w:rPr>
        <w:rFonts w:ascii="Arial" w:hAnsi="Arial"/>
        <w:color w:val="404040"/>
        <w:sz w:val="22"/>
      </w:rPr>
      <w:tblPr/>
      <w:tcPr>
        <w:tcBorders>
          <w:bottom w:val="single" w:color="8da9db" w:themeColor="accent5" w:themeTint="00009A" w:sz="12" w:space="0"/>
        </w:tcBorders>
      </w:tcPr>
    </w:tblStylePr>
    <w:tblStylePr w:type="lastRow">
      <w:rPr>
        <w:rFonts w:ascii="Arial" w:hAnsi="Arial"/>
        <w:color w:val="404040"/>
        <w:sz w:val="22"/>
      </w:rPr>
      <w:tblPr/>
      <w:tcPr>
        <w:tcBorders>
          <w:top w:val="single" w:color="8da9db" w:themeColor="accent5" w:themeTint="00009A"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8da9db" w:themeColor="accent5" w:themeTint="00009A" w:sz="12" w:space="0"/>
        </w:tcBorders>
      </w:tcPr>
    </w:tblStylePr>
    <w:tblStylePr w:type="band1Horz">
      <w:rPr>
        <w:rFonts w:ascii="Arial" w:hAnsi="Arial"/>
        <w:color w:val="404040"/>
        <w:sz w:val="22"/>
      </w:rPr>
      <w:tblPr/>
      <w:tcPr>
        <w:tcBorders>
          <w:top w:val="single" w:color="b3c5e7" w:themeColor="accent5" w:themeTint="000067" w:sz="4" w:space="0"/>
          <w:left w:val="single" w:color="b3c5e7" w:themeColor="accent5" w:themeTint="000067" w:sz="4" w:space="0"/>
          <w:bottom w:val="single" w:color="b3c5e7" w:themeColor="accent5" w:themeTint="000067" w:sz="4" w:space="0"/>
          <w:right w:val="single" w:color="b3c5e7" w:themeColor="accent5" w:themeTint="000067" w:sz="4" w:space="0"/>
        </w:tcBorders>
      </w:tcPr>
    </w:tblStylePr>
  </w:style>
  <w:style w:type="table" w:styleId="Bordered-Accent6" w:customStyle="1">
    <w:name w:val="Bordered - Accent 6"/>
    <w:basedOn w:val="TableNormal"/>
    <w:uiPriority w:val="99"/>
    <w:pPr>
      <w:spacing w:after="0" w:line="240" w:lineRule="auto"/>
    </w:pPr>
    <w:tblPr>
      <w:tblStyleRowBandSize w:val="1"/>
      <w:tblStyleColBandSize w:val="1"/>
      <w:tblBorders>
        <w:top w:val="single" w:color="c4dfb2" w:themeColor="accent6" w:themeTint="000067" w:sz="4" w:space="0"/>
        <w:left w:val="single" w:color="c4dfb2" w:themeColor="accent6" w:themeTint="000067" w:sz="4" w:space="0"/>
        <w:bottom w:val="single" w:color="c4dfb2" w:themeColor="accent6" w:themeTint="000067" w:sz="4" w:space="0"/>
        <w:right w:val="single" w:color="c4dfb2" w:themeColor="accent6" w:themeTint="000067" w:sz="4" w:space="0"/>
        <w:insideH w:val="single" w:color="c4dfb2" w:themeColor="accent6" w:themeTint="000067" w:sz="4" w:space="0"/>
        <w:insideV w:val="single" w:color="c4dfb2" w:themeColor="accent6" w:themeTint="000067" w:sz="4" w:space="0"/>
      </w:tblBorders>
    </w:tblPr>
    <w:tblStylePr w:type="firstRow">
      <w:rPr>
        <w:rFonts w:ascii="Arial" w:hAnsi="Arial"/>
        <w:color w:val="404040"/>
        <w:sz w:val="22"/>
      </w:rPr>
      <w:tblPr/>
      <w:tcPr>
        <w:tcBorders>
          <w:bottom w:val="single" w:color="a9d08e" w:themeColor="accent6" w:themeTint="000098" w:sz="12" w:space="0"/>
        </w:tcBorders>
      </w:tcPr>
    </w:tblStylePr>
    <w:tblStylePr w:type="lastRow">
      <w:rPr>
        <w:rFonts w:ascii="Arial" w:hAnsi="Arial"/>
        <w:color w:val="404040"/>
        <w:sz w:val="22"/>
      </w:rPr>
      <w:tblPr/>
      <w:tcPr>
        <w:tcBorders>
          <w:top w:val="single" w:color="a9d08e" w:themeColor="accent6" w:themeTint="000098"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a9d08e" w:themeColor="accent6" w:themeTint="000098" w:sz="12" w:space="0"/>
        </w:tcBorders>
      </w:tcPr>
    </w:tblStylePr>
    <w:tblStylePr w:type="band1Horz">
      <w:rPr>
        <w:rFonts w:ascii="Arial" w:hAnsi="Arial"/>
        <w:color w:val="404040"/>
        <w:sz w:val="22"/>
      </w:rPr>
      <w:tblPr/>
      <w:tcPr>
        <w:tcBorders>
          <w:top w:val="single" w:color="c4dfb2" w:themeColor="accent6" w:themeTint="000067" w:sz="4" w:space="0"/>
          <w:left w:val="single" w:color="c4dfb2" w:themeColor="accent6" w:themeTint="000067" w:sz="4" w:space="0"/>
          <w:bottom w:val="single" w:color="c4dfb2" w:themeColor="accent6" w:themeTint="000067" w:sz="4" w:space="0"/>
          <w:right w:val="single" w:color="c4dfb2" w:themeColor="accent6" w:themeTint="000067" w:sz="4" w:space="0"/>
        </w:tcBorders>
      </w:tcPr>
    </w:tblStylePr>
  </w:style>
  <w:style w:type="character" w:styleId="Hyperlink">
    <w:name w:val="Hyperlink"/>
    <w:uiPriority w:val="99"/>
    <w:unhideWhenUsed w:val="1"/>
    <w:rPr>
      <w:color w:val="0563c1" w:themeColor="hyperlink"/>
      <w:u w:val="single"/>
    </w:rPr>
  </w:style>
  <w:style w:type="paragraph" w:styleId="FootnoteText">
    <w:name w:val="footnote text"/>
    <w:basedOn w:val="Normal"/>
    <w:link w:val="FootnoteTextChar"/>
    <w:uiPriority w:val="99"/>
    <w:unhideWhenUsed w:val="1"/>
    <w:pPr>
      <w:spacing w:after="40" w:line="240" w:lineRule="auto"/>
    </w:pPr>
    <w:rPr>
      <w:sz w:val="18"/>
    </w:rPr>
  </w:style>
  <w:style w:type="character" w:styleId="FootnoteTextChar" w:customStyle="1">
    <w:name w:val="Footnote Text Char"/>
    <w:link w:val="FootnoteText"/>
    <w:uiPriority w:val="99"/>
    <w:rPr>
      <w:sz w:val="18"/>
    </w:rPr>
  </w:style>
  <w:style w:type="character" w:styleId="FootnoteReference">
    <w:name w:val="footnote reference"/>
    <w:uiPriority w:val="99"/>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rPr>
  </w:style>
  <w:style w:type="character" w:styleId="EndnoteTextChar" w:customStyle="1">
    <w:name w:val="Endnote Text Char"/>
    <w:link w:val="EndnoteText"/>
    <w:uiPriority w:val="99"/>
    <w:rPr>
      <w:sz w:val="20"/>
    </w:rPr>
  </w:style>
  <w:style w:type="character" w:styleId="EndnoteReference">
    <w:name w:val="endnote reference"/>
    <w:uiPriority w:val="99"/>
    <w:semiHidden w:val="1"/>
    <w:unhideWhenUsed w:val="1"/>
    <w:rPr>
      <w:vertAlign w:val="superscript"/>
    </w:rPr>
  </w:style>
  <w:style w:type="paragraph" w:styleId="TOC1">
    <w:name w:val="toc 1"/>
    <w:basedOn w:val="Normal"/>
    <w:next w:val="Normal"/>
    <w:uiPriority w:val="39"/>
    <w:unhideWhenUsed w:val="1"/>
    <w:pPr>
      <w:spacing w:after="57"/>
    </w:pPr>
  </w:style>
  <w:style w:type="paragraph" w:styleId="TOC2">
    <w:name w:val="toc 2"/>
    <w:basedOn w:val="Normal"/>
    <w:next w:val="Normal"/>
    <w:uiPriority w:val="39"/>
    <w:unhideWhenUsed w:val="1"/>
    <w:pPr>
      <w:spacing w:after="57"/>
      <w:ind w:left="283"/>
    </w:pPr>
  </w:style>
  <w:style w:type="paragraph" w:styleId="TOC3">
    <w:name w:val="toc 3"/>
    <w:basedOn w:val="Normal"/>
    <w:next w:val="Normal"/>
    <w:uiPriority w:val="39"/>
    <w:unhideWhenUsed w:val="1"/>
    <w:pPr>
      <w:spacing w:after="57"/>
      <w:ind w:left="567"/>
    </w:pPr>
  </w:style>
  <w:style w:type="paragraph" w:styleId="TOC4">
    <w:name w:val="toc 4"/>
    <w:basedOn w:val="Normal"/>
    <w:next w:val="Normal"/>
    <w:uiPriority w:val="39"/>
    <w:unhideWhenUsed w:val="1"/>
    <w:pPr>
      <w:spacing w:after="57"/>
      <w:ind w:left="850"/>
    </w:pPr>
  </w:style>
  <w:style w:type="paragraph" w:styleId="TOC5">
    <w:name w:val="toc 5"/>
    <w:basedOn w:val="Normal"/>
    <w:next w:val="Normal"/>
    <w:uiPriority w:val="39"/>
    <w:unhideWhenUsed w:val="1"/>
    <w:pPr>
      <w:spacing w:after="57"/>
      <w:ind w:left="1134"/>
    </w:pPr>
  </w:style>
  <w:style w:type="paragraph" w:styleId="TOC6">
    <w:name w:val="toc 6"/>
    <w:basedOn w:val="Normal"/>
    <w:next w:val="Normal"/>
    <w:uiPriority w:val="39"/>
    <w:unhideWhenUsed w:val="1"/>
    <w:pPr>
      <w:spacing w:after="57"/>
      <w:ind w:left="1417"/>
    </w:pPr>
  </w:style>
  <w:style w:type="paragraph" w:styleId="TOC7">
    <w:name w:val="toc 7"/>
    <w:basedOn w:val="Normal"/>
    <w:next w:val="Normal"/>
    <w:uiPriority w:val="39"/>
    <w:unhideWhenUsed w:val="1"/>
    <w:pPr>
      <w:spacing w:after="57"/>
      <w:ind w:left="1701"/>
    </w:pPr>
  </w:style>
  <w:style w:type="paragraph" w:styleId="TOC8">
    <w:name w:val="toc 8"/>
    <w:basedOn w:val="Normal"/>
    <w:next w:val="Normal"/>
    <w:uiPriority w:val="39"/>
    <w:unhideWhenUsed w:val="1"/>
    <w:pPr>
      <w:spacing w:after="57"/>
      <w:ind w:left="1984"/>
    </w:pPr>
  </w:style>
  <w:style w:type="paragraph" w:styleId="TOC9">
    <w:name w:val="toc 9"/>
    <w:basedOn w:val="Normal"/>
    <w:next w:val="Normal"/>
    <w:uiPriority w:val="39"/>
    <w:unhideWhenUsed w:val="1"/>
    <w:pPr>
      <w:spacing w:after="57"/>
      <w:ind w:left="2268"/>
    </w:pPr>
  </w:style>
  <w:style w:type="paragraph" w:styleId="TOCHeading">
    <w:name w:val="TOC Heading"/>
    <w:uiPriority w:val="39"/>
    <w:unhideWhenUsed w:val="1"/>
  </w:style>
  <w:style w:type="paragraph" w:styleId="TableofFigures">
    <w:name w:val="table of figures"/>
    <w:basedOn w:val="Normal"/>
    <w:next w:val="Normal"/>
    <w:uiPriority w:val="99"/>
    <w:unhideWhenUsed w:val="1"/>
    <w:pPr>
      <w:spacing w:after="0"/>
    </w:pPr>
  </w:style>
  <w:style w:type="paragraph" w:styleId="NoSpacing">
    <w:name w:val="No Spacing"/>
    <w:basedOn w:val="Normal"/>
    <w:uiPriority w:val="1"/>
    <w:qFormat w:val="1"/>
    <w:pPr>
      <w:spacing w:after="0" w:line="240" w:lineRule="auto"/>
    </w:pPr>
  </w:style>
  <w:style w:type="paragraph" w:styleId="ListParagraph">
    <w:name w:val="List Paragraph"/>
    <w:basedOn w:val="Normal"/>
    <w:uiPriority w:val="34"/>
    <w:qFormat w:val="1"/>
    <w:pPr>
      <w:ind w:left="720"/>
      <w:contextualSpacing w:val="1"/>
    </w:pPr>
  </w:style>
  <w:style w:type="table" w:styleId="StGen2" w:customStyle="1">
    <w:name w:val="StGen2"/>
    <w:pPr>
      <w:pBdr>
        <w:top w:val="none" w:color="000000" w:sz="4" w:space="0"/>
        <w:left w:val="none" w:color="000000" w:sz="4" w:space="0"/>
        <w:bottom w:val="none" w:color="000000" w:sz="4" w:space="0"/>
        <w:right w:val="none" w:color="000000" w:sz="4" w:space="0"/>
        <w:between w:val="none" w:color="000000" w:sz="4" w:space="0"/>
      </w:pBdr>
      <w:spacing w:after="0"/>
    </w:pPr>
    <w:rPr>
      <w:lang w:val="en"/>
    </w:rPr>
    <w:tblPr>
      <w:tblStyleRowBandSize w:val="1"/>
      <w:tblStyleColBandSize w:val="1"/>
      <w:tblInd w:w="0.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15.0" w:type="dxa"/>
        <w:left w:w="15.0" w:type="dxa"/>
        <w:bottom w:w="15.0" w:type="dxa"/>
        <w:right w:w="15.0" w:type="dxa"/>
      </w:tblCellMar>
    </w:tblPr>
    <w:tcPr>
      <w:tcW w:w="0.0" w:type="auto"/>
    </w:tcPr>
  </w:style>
  <w:style w:type="table" w:styleId="StGen4" w:customStyle="1">
    <w:name w:val="StGen4"/>
    <w:pPr>
      <w:pBdr>
        <w:top w:val="none" w:color="000000" w:sz="4" w:space="0"/>
        <w:left w:val="none" w:color="000000" w:sz="4" w:space="0"/>
        <w:bottom w:val="none" w:color="000000" w:sz="4" w:space="0"/>
        <w:right w:val="none" w:color="000000" w:sz="4" w:space="0"/>
        <w:between w:val="none" w:color="000000" w:sz="4" w:space="0"/>
      </w:pBdr>
      <w:spacing w:after="0"/>
    </w:pPr>
    <w:rPr>
      <w:lang w:val="en"/>
    </w:rPr>
    <w:tblPr>
      <w:tblStyleRowBandSize w:val="1"/>
      <w:tblStyleColBandSize w:val="1"/>
      <w:tblInd w:w="0.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100.0" w:type="dxa"/>
        <w:left w:w="100.0" w:type="dxa"/>
        <w:bottom w:w="100.0" w:type="dxa"/>
        <w:right w:w="100.0" w:type="dxa"/>
      </w:tblCellMar>
    </w:tblPr>
    <w:tcPr>
      <w:tcW w:w="0.0" w:type="auto"/>
    </w:tcPr>
  </w:style>
  <w:style w:type="table" w:styleId="StGen5" w:customStyle="1">
    <w:name w:val="StGen5"/>
    <w:pPr>
      <w:pBdr>
        <w:top w:val="none" w:color="000000" w:sz="4" w:space="0"/>
        <w:left w:val="none" w:color="000000" w:sz="4" w:space="0"/>
        <w:bottom w:val="none" w:color="000000" w:sz="4" w:space="0"/>
        <w:right w:val="none" w:color="000000" w:sz="4" w:space="0"/>
        <w:between w:val="none" w:color="000000" w:sz="4" w:space="0"/>
      </w:pBdr>
      <w:spacing w:after="0"/>
    </w:pPr>
    <w:rPr>
      <w:lang w:val="en"/>
    </w:rPr>
    <w:tblPr>
      <w:tblStyleRowBandSize w:val="1"/>
      <w:tblStyleColBandSize w:val="1"/>
      <w:tblInd w:w="0.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100.0" w:type="dxa"/>
        <w:left w:w="100.0" w:type="dxa"/>
        <w:bottom w:w="100.0" w:type="dxa"/>
        <w:right w:w="100.0" w:type="dxa"/>
      </w:tblCellMar>
    </w:tblPr>
    <w:tcPr>
      <w:tcW w:w="0.0" w:type="auto"/>
    </w:tcPr>
  </w:style>
  <w:style w:type="table" w:styleId="StGen6" w:customStyle="1">
    <w:name w:val="StGen6"/>
    <w:pPr>
      <w:pBdr>
        <w:top w:val="none" w:color="000000" w:sz="4" w:space="0"/>
        <w:left w:val="none" w:color="000000" w:sz="4" w:space="0"/>
        <w:bottom w:val="none" w:color="000000" w:sz="4" w:space="0"/>
        <w:right w:val="none" w:color="000000" w:sz="4" w:space="0"/>
        <w:between w:val="none" w:color="000000" w:sz="4" w:space="0"/>
      </w:pBdr>
      <w:spacing w:after="0"/>
    </w:pPr>
    <w:rPr>
      <w:lang w:val="en"/>
    </w:rPr>
    <w:tblPr>
      <w:tblStyleRowBandSize w:val="1"/>
      <w:tblStyleColBandSize w:val="1"/>
      <w:tblInd w:w="0.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100.0" w:type="dxa"/>
        <w:left w:w="100.0" w:type="dxa"/>
        <w:bottom w:w="100.0" w:type="dxa"/>
        <w:right w:w="100.0" w:type="dxa"/>
      </w:tblCellMar>
    </w:tblPr>
    <w:tcPr>
      <w:tcW w:w="0.0" w:type="auto"/>
    </w:tcPr>
  </w:style>
  <w:style w:type="table" w:styleId="StGen7" w:customStyle="1">
    <w:name w:val="StGen7"/>
    <w:pPr>
      <w:pBdr>
        <w:top w:val="none" w:color="000000" w:sz="4" w:space="0"/>
        <w:left w:val="none" w:color="000000" w:sz="4" w:space="0"/>
        <w:bottom w:val="none" w:color="000000" w:sz="4" w:space="0"/>
        <w:right w:val="none" w:color="000000" w:sz="4" w:space="0"/>
        <w:between w:val="none" w:color="000000" w:sz="4" w:space="0"/>
      </w:pBdr>
      <w:spacing w:after="0"/>
    </w:pPr>
    <w:rPr>
      <w:lang w:val="en"/>
    </w:rPr>
    <w:tblPr>
      <w:tblStyleRowBandSize w:val="1"/>
      <w:tblStyleColBandSize w:val="1"/>
      <w:tblInd w:w="0.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100.0" w:type="dxa"/>
        <w:left w:w="100.0" w:type="dxa"/>
        <w:bottom w:w="100.0" w:type="dxa"/>
        <w:right w:w="100.0" w:type="dxa"/>
      </w:tblCellMar>
    </w:tblPr>
    <w:tcPr>
      <w:tcW w:w="0.0" w:type="auto"/>
    </w:tcPr>
  </w:style>
  <w:style w:type="table" w:styleId="StGen8" w:customStyle="1">
    <w:name w:val="StGen8"/>
    <w:pPr>
      <w:pBdr>
        <w:top w:val="none" w:color="000000" w:sz="4" w:space="0"/>
        <w:left w:val="none" w:color="000000" w:sz="4" w:space="0"/>
        <w:bottom w:val="none" w:color="000000" w:sz="4" w:space="0"/>
        <w:right w:val="none" w:color="000000" w:sz="4" w:space="0"/>
        <w:between w:val="none" w:color="000000" w:sz="4" w:space="0"/>
      </w:pBdr>
      <w:spacing w:after="0"/>
    </w:pPr>
    <w:rPr>
      <w:lang w:val="en"/>
    </w:rPr>
    <w:tblPr>
      <w:tblStyleRowBandSize w:val="1"/>
      <w:tblStyleColBandSize w:val="1"/>
      <w:tblInd w:w="0.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100.0" w:type="dxa"/>
        <w:left w:w="100.0" w:type="dxa"/>
        <w:bottom w:w="100.0" w:type="dxa"/>
        <w:right w:w="100.0" w:type="dxa"/>
      </w:tblCellMar>
    </w:tblPr>
    <w:tcPr>
      <w:tcW w:w="0.0" w:type="auto"/>
    </w:tcPr>
  </w:style>
  <w:style w:type="table" w:styleId="StGen9" w:customStyle="1">
    <w:name w:val="StGen9"/>
    <w:pPr>
      <w:pBdr>
        <w:top w:val="none" w:color="000000" w:sz="4" w:space="0"/>
        <w:left w:val="none" w:color="000000" w:sz="4" w:space="0"/>
        <w:bottom w:val="none" w:color="000000" w:sz="4" w:space="0"/>
        <w:right w:val="none" w:color="000000" w:sz="4" w:space="0"/>
        <w:between w:val="none" w:color="000000" w:sz="4" w:space="0"/>
      </w:pBdr>
      <w:spacing w:after="0"/>
    </w:pPr>
    <w:rPr>
      <w:lang w:val="en"/>
    </w:rPr>
    <w:tblPr>
      <w:tblStyleRowBandSize w:val="1"/>
      <w:tblStyleColBandSize w:val="1"/>
      <w:tblInd w:w="0.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100.0" w:type="dxa"/>
        <w:left w:w="100.0" w:type="dxa"/>
        <w:bottom w:w="100.0" w:type="dxa"/>
        <w:right w:w="100.0" w:type="dxa"/>
      </w:tblCellMar>
    </w:tblPr>
    <w:tcPr>
      <w:tcW w:w="0.0" w:type="auto"/>
    </w:tcPr>
  </w:style>
  <w:style w:type="table" w:styleId="StGen10" w:customStyle="1">
    <w:name w:val="StGen10"/>
    <w:pPr>
      <w:pBdr>
        <w:top w:val="none" w:color="000000" w:sz="4" w:space="0"/>
        <w:left w:val="none" w:color="000000" w:sz="4" w:space="0"/>
        <w:bottom w:val="none" w:color="000000" w:sz="4" w:space="0"/>
        <w:right w:val="none" w:color="000000" w:sz="4" w:space="0"/>
        <w:between w:val="none" w:color="000000" w:sz="4" w:space="0"/>
      </w:pBdr>
      <w:spacing w:after="0"/>
    </w:pPr>
    <w:rPr>
      <w:lang w:val="en"/>
    </w:rPr>
    <w:tblPr>
      <w:tblStyleRowBandSize w:val="1"/>
      <w:tblStyleColBandSize w:val="1"/>
      <w:tblInd w:w="0.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100.0" w:type="dxa"/>
        <w:left w:w="100.0" w:type="dxa"/>
        <w:bottom w:w="100.0" w:type="dxa"/>
        <w:right w:w="100.0" w:type="dxa"/>
      </w:tblCellMar>
    </w:tblPr>
    <w:tcPr>
      <w:tcW w:w="0.0" w:type="auto"/>
    </w:tcPr>
  </w:style>
  <w:style w:type="table" w:styleId="StGen11" w:customStyle="1">
    <w:name w:val="StGen11"/>
    <w:pPr>
      <w:pBdr>
        <w:top w:val="none" w:color="000000" w:sz="4" w:space="0"/>
        <w:left w:val="none" w:color="000000" w:sz="4" w:space="0"/>
        <w:bottom w:val="none" w:color="000000" w:sz="4" w:space="0"/>
        <w:right w:val="none" w:color="000000" w:sz="4" w:space="0"/>
        <w:between w:val="none" w:color="000000" w:sz="4" w:space="0"/>
      </w:pBdr>
      <w:spacing w:after="0"/>
    </w:pPr>
    <w:rPr>
      <w:lang w:val="en"/>
    </w:rPr>
    <w:tblPr>
      <w:tblStyleRowBandSize w:val="1"/>
      <w:tblStyleColBandSize w:val="1"/>
      <w:tblInd w:w="0.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100.0" w:type="dxa"/>
        <w:left w:w="100.0" w:type="dxa"/>
        <w:bottom w:w="100.0" w:type="dxa"/>
        <w:right w:w="100.0" w:type="dxa"/>
      </w:tblCellMar>
    </w:tblPr>
    <w:tcPr>
      <w:tcW w:w="0.0" w:type="auto"/>
    </w:tcPr>
  </w:style>
  <w:style w:type="table" w:styleId="StGen12" w:customStyle="1">
    <w:name w:val="StGen12"/>
    <w:pPr>
      <w:pBdr>
        <w:top w:val="none" w:color="000000" w:sz="4" w:space="0"/>
        <w:left w:val="none" w:color="000000" w:sz="4" w:space="0"/>
        <w:bottom w:val="none" w:color="000000" w:sz="4" w:space="0"/>
        <w:right w:val="none" w:color="000000" w:sz="4" w:space="0"/>
        <w:between w:val="none" w:color="000000" w:sz="4" w:space="0"/>
      </w:pBdr>
      <w:spacing w:after="0"/>
    </w:pPr>
    <w:rPr>
      <w:lang w:val="en"/>
    </w:rPr>
    <w:tblPr>
      <w:tblStyleRowBandSize w:val="1"/>
      <w:tblStyleColBandSize w:val="1"/>
      <w:tblInd w:w="0.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100.0" w:type="dxa"/>
        <w:left w:w="100.0" w:type="dxa"/>
        <w:bottom w:w="100.0" w:type="dxa"/>
        <w:right w:w="100.0" w:type="dxa"/>
      </w:tblCellMar>
    </w:tblPr>
    <w:tcPr>
      <w:tcW w:w="0.0" w:type="auto"/>
    </w:tcPr>
  </w:style>
  <w:style w:type="table" w:styleId="a" w:customStyle="1">
    <w:basedOn w:val="TableNormal"/>
    <w:pPr>
      <w:pBdr>
        <w:top w:val="none" w:color="000000" w:sz="0" w:space="0"/>
        <w:left w:val="none" w:color="000000" w:sz="0" w:space="0"/>
        <w:bottom w:val="none" w:color="000000" w:sz="0" w:space="0"/>
        <w:right w:val="none" w:color="000000" w:sz="0" w:space="0"/>
        <w:between w:val="none" w:color="000000" w:sz="0" w:space="0"/>
      </w:pBdr>
      <w:spacing w:after="0"/>
    </w:pPr>
    <w:rPr>
      <w:color w:val="000000"/>
    </w:rPr>
    <w:tblPr>
      <w:tblStyleRowBandSize w:val="1"/>
      <w:tblStyleColBandSize w:val="1"/>
      <w:tblCellMar>
        <w:left w:w="115.0" w:type="dxa"/>
        <w:right w:w="115.0" w:type="dxa"/>
      </w:tblCellMar>
    </w:tblPr>
  </w:style>
  <w:style w:type="table" w:styleId="a0" w:customStyle="1">
    <w:basedOn w:val="TableNormal"/>
    <w:pPr>
      <w:pBdr>
        <w:top w:val="none" w:color="000000" w:sz="0" w:space="0"/>
        <w:left w:val="none" w:color="000000" w:sz="0" w:space="0"/>
        <w:bottom w:val="none" w:color="000000" w:sz="0" w:space="0"/>
        <w:right w:val="none" w:color="000000" w:sz="0" w:space="0"/>
        <w:between w:val="none" w:color="000000" w:sz="0" w:space="0"/>
      </w:pBdr>
      <w:spacing w:after="0"/>
    </w:pPr>
    <w:rPr>
      <w:color w:val="000000"/>
    </w:rPr>
    <w:tblPr>
      <w:tblStyleRowBandSize w:val="1"/>
      <w:tblStyleColBandSize w:val="1"/>
      <w:tblCellMar>
        <w:left w:w="115.0" w:type="dxa"/>
        <w:right w:w="115.0" w:type="dxa"/>
      </w:tblCellMar>
    </w:tblPr>
  </w:style>
  <w:style w:type="table" w:styleId="a1" w:customStyle="1">
    <w:basedOn w:val="TableNormal"/>
    <w:pPr>
      <w:pBdr>
        <w:top w:val="none" w:color="000000" w:sz="0" w:space="0"/>
        <w:left w:val="none" w:color="000000" w:sz="0" w:space="0"/>
        <w:bottom w:val="none" w:color="000000" w:sz="0" w:space="0"/>
        <w:right w:val="none" w:color="000000" w:sz="0" w:space="0"/>
        <w:between w:val="none" w:color="000000" w:sz="0" w:space="0"/>
      </w:pBdr>
      <w:spacing w:after="0"/>
    </w:pPr>
    <w:rPr>
      <w:color w:val="000000"/>
    </w:rPr>
    <w:tblPr>
      <w:tblStyleRowBandSize w:val="1"/>
      <w:tblStyleColBandSize w:val="1"/>
      <w:tblCellMar>
        <w:left w:w="115.0" w:type="dxa"/>
        <w:right w:w="115.0" w:type="dxa"/>
      </w:tblCellMar>
    </w:tblPr>
  </w:style>
  <w:style w:type="table" w:styleId="a2" w:customStyle="1">
    <w:basedOn w:val="TableNormal"/>
    <w:pPr>
      <w:spacing w:after="0" w:line="240" w:lineRule="auto"/>
    </w:pPr>
    <w:rPr>
      <w:color w:val="404040"/>
    </w:rPr>
    <w:tblPr>
      <w:tblStyleRowBandSize w:val="1"/>
      <w:tblStyleColBandSize w:val="1"/>
      <w:tblCellMar>
        <w:left w:w="115.0" w:type="dxa"/>
        <w:right w:w="115.0" w:type="dxa"/>
      </w:tblCellMar>
    </w:tblPr>
    <w:tcPr>
      <w:shd w:val="clear" w:color="auto" w:fill="a9d08e"/>
    </w:tcPr>
  </w:style>
  <w:style w:type="table" w:styleId="a3" w:customStyle="1">
    <w:basedOn w:val="TableNormal"/>
    <w:pPr>
      <w:pBdr>
        <w:top w:val="none" w:color="000000" w:sz="0" w:space="0"/>
        <w:left w:val="none" w:color="000000" w:sz="0" w:space="0"/>
        <w:bottom w:val="none" w:color="000000" w:sz="0" w:space="0"/>
        <w:right w:val="none" w:color="000000" w:sz="0" w:space="0"/>
        <w:between w:val="none" w:color="000000" w:sz="0" w:space="0"/>
      </w:pBdr>
      <w:spacing w:after="0"/>
    </w:pPr>
    <w:rPr>
      <w:color w:val="000000"/>
    </w:rPr>
    <w:tblPr>
      <w:tblStyleRowBandSize w:val="1"/>
      <w:tblStyleColBandSize w:val="1"/>
      <w:tblCellMar>
        <w:left w:w="115.0" w:type="dxa"/>
        <w:right w:w="115.0" w:type="dxa"/>
      </w:tblCellMar>
    </w:tblPr>
  </w:style>
  <w:style w:type="table" w:styleId="a4" w:customStyle="1">
    <w:basedOn w:val="TableNormal"/>
    <w:pPr>
      <w:pBdr>
        <w:top w:val="none" w:color="000000" w:sz="0" w:space="0"/>
        <w:left w:val="none" w:color="000000" w:sz="0" w:space="0"/>
        <w:bottom w:val="none" w:color="000000" w:sz="0" w:space="0"/>
        <w:right w:val="none" w:color="000000" w:sz="0" w:space="0"/>
        <w:between w:val="none" w:color="000000" w:sz="0" w:space="0"/>
      </w:pBdr>
      <w:spacing w:after="0"/>
    </w:pPr>
    <w:rPr>
      <w:color w:val="000000"/>
    </w:rPr>
    <w:tblPr>
      <w:tblStyleRowBandSize w:val="1"/>
      <w:tblStyleColBandSize w:val="1"/>
      <w:tblCellMar>
        <w:left w:w="115.0" w:type="dxa"/>
        <w:right w:w="115.0" w:type="dxa"/>
      </w:tblCellMar>
    </w:tblPr>
  </w:style>
  <w:style w:type="table" w:styleId="a5" w:customStyle="1">
    <w:basedOn w:val="TableNormal"/>
    <w:pPr>
      <w:pBdr>
        <w:top w:val="none" w:color="000000" w:sz="0" w:space="0"/>
        <w:left w:val="none" w:color="000000" w:sz="0" w:space="0"/>
        <w:bottom w:val="none" w:color="000000" w:sz="0" w:space="0"/>
        <w:right w:val="none" w:color="000000" w:sz="0" w:space="0"/>
        <w:between w:val="none" w:color="000000" w:sz="0" w:space="0"/>
      </w:pBdr>
      <w:spacing w:after="0"/>
    </w:pPr>
    <w:rPr>
      <w:color w:val="000000"/>
    </w:rPr>
    <w:tblPr>
      <w:tblStyleRowBandSize w:val="1"/>
      <w:tblStyleColBandSize w:val="1"/>
      <w:tblCellMar>
        <w:left w:w="115.0" w:type="dxa"/>
        <w:right w:w="115.0" w:type="dxa"/>
      </w:tblCellMar>
    </w:tblPr>
  </w:style>
  <w:style w:type="table" w:styleId="a6" w:customStyle="1">
    <w:basedOn w:val="TableNormal"/>
    <w:pPr>
      <w:pBdr>
        <w:top w:val="none" w:color="000000" w:sz="0" w:space="0"/>
        <w:left w:val="none" w:color="000000" w:sz="0" w:space="0"/>
        <w:bottom w:val="none" w:color="000000" w:sz="0" w:space="0"/>
        <w:right w:val="none" w:color="000000" w:sz="0" w:space="0"/>
        <w:between w:val="none" w:color="000000" w:sz="0" w:space="0"/>
      </w:pBdr>
      <w:spacing w:after="0"/>
    </w:pPr>
    <w:rPr>
      <w:color w:val="000000"/>
    </w:rPr>
    <w:tblPr>
      <w:tblStyleRowBandSize w:val="1"/>
      <w:tblStyleColBandSize w:val="1"/>
      <w:tblCellMar>
        <w:left w:w="115.0" w:type="dxa"/>
        <w:right w:w="115.0" w:type="dxa"/>
      </w:tblCellMar>
    </w:tblPr>
  </w:style>
  <w:style w:type="table" w:styleId="a7" w:customStyle="1">
    <w:basedOn w:val="TableNormal"/>
    <w:pPr>
      <w:pBdr>
        <w:top w:val="none" w:color="000000" w:sz="0" w:space="0"/>
        <w:left w:val="none" w:color="000000" w:sz="0" w:space="0"/>
        <w:bottom w:val="none" w:color="000000" w:sz="0" w:space="0"/>
        <w:right w:val="none" w:color="000000" w:sz="0" w:space="0"/>
        <w:between w:val="none" w:color="000000" w:sz="0" w:space="0"/>
      </w:pBdr>
      <w:spacing w:after="0"/>
    </w:pPr>
    <w:rPr>
      <w:color w:val="000000"/>
    </w:rPr>
    <w:tblPr>
      <w:tblStyleRowBandSize w:val="1"/>
      <w:tblStyleColBandSize w:val="1"/>
      <w:tblCellMar>
        <w:left w:w="115.0" w:type="dxa"/>
        <w:right w:w="115.0" w:type="dxa"/>
      </w:tblCellMar>
    </w:tblPr>
  </w:style>
  <w:style w:type="table" w:styleId="a8" w:customStyle="1">
    <w:basedOn w:val="TableNormal"/>
    <w:pPr>
      <w:pBdr>
        <w:top w:val="none" w:color="000000" w:sz="0" w:space="0"/>
        <w:left w:val="none" w:color="000000" w:sz="0" w:space="0"/>
        <w:bottom w:val="none" w:color="000000" w:sz="0" w:space="0"/>
        <w:right w:val="none" w:color="000000" w:sz="0" w:space="0"/>
        <w:between w:val="none" w:color="000000" w:sz="0" w:space="0"/>
      </w:pBdr>
      <w:spacing w:after="0"/>
    </w:pPr>
    <w:rPr>
      <w:color w:val="000000"/>
    </w:rPr>
    <w:tblPr>
      <w:tblStyleRowBandSize w:val="1"/>
      <w:tblStyleColBandSize w:val="1"/>
      <w:tblCellMar>
        <w:left w:w="115.0" w:type="dxa"/>
        <w:right w:w="115.0" w:type="dxa"/>
      </w:tblCellMar>
    </w:tblPr>
  </w:style>
  <w:style w:type="table" w:styleId="a9" w:customStyle="1">
    <w:basedOn w:val="TableNormal"/>
    <w:pPr>
      <w:pBdr>
        <w:top w:val="none" w:color="000000" w:sz="0" w:space="0"/>
        <w:left w:val="none" w:color="000000" w:sz="0" w:space="0"/>
        <w:bottom w:val="none" w:color="000000" w:sz="0" w:space="0"/>
        <w:right w:val="none" w:color="000000" w:sz="0" w:space="0"/>
        <w:between w:val="none" w:color="000000" w:sz="0" w:space="0"/>
      </w:pBdr>
      <w:spacing w:after="0"/>
    </w:pPr>
    <w:rPr>
      <w:color w:val="000000"/>
    </w:rPr>
    <w:tblPr>
      <w:tblStyleRowBandSize w:val="1"/>
      <w:tblStyleColBandSize w:val="1"/>
      <w:tblCellMar>
        <w:left w:w="115.0" w:type="dxa"/>
        <w:right w:w="115.0" w:type="dxa"/>
      </w:tblCellMar>
    </w:tblPr>
  </w:style>
  <w:style w:type="table" w:styleId="aa" w:customStyle="1">
    <w:basedOn w:val="TableNormal"/>
    <w:pPr>
      <w:pBdr>
        <w:top w:val="none" w:color="000000" w:sz="0" w:space="0"/>
        <w:left w:val="none" w:color="000000" w:sz="0" w:space="0"/>
        <w:bottom w:val="none" w:color="000000" w:sz="0" w:space="0"/>
        <w:right w:val="none" w:color="000000" w:sz="0" w:space="0"/>
        <w:between w:val="none" w:color="000000" w:sz="0" w:space="0"/>
      </w:pBdr>
      <w:spacing w:after="0"/>
    </w:pPr>
    <w:rPr>
      <w:color w:val="000000"/>
    </w:rPr>
    <w:tblPr>
      <w:tblStyleRowBandSize w:val="1"/>
      <w:tblStyleColBandSize w:val="1"/>
      <w:tblCellMar>
        <w:left w:w="115.0" w:type="dxa"/>
        <w:right w:w="115.0" w:type="dxa"/>
      </w:tblCellMar>
    </w:tblPr>
  </w:style>
  <w:style w:type="table" w:styleId="ab" w:customStyle="1">
    <w:basedOn w:val="TableNormal"/>
    <w:pPr>
      <w:pBdr>
        <w:top w:val="none" w:color="000000" w:sz="0" w:space="0"/>
        <w:left w:val="none" w:color="000000" w:sz="0" w:space="0"/>
        <w:bottom w:val="none" w:color="000000" w:sz="0" w:space="0"/>
        <w:right w:val="none" w:color="000000" w:sz="0" w:space="0"/>
        <w:between w:val="none" w:color="000000" w:sz="0" w:space="0"/>
      </w:pBdr>
      <w:spacing w:after="0"/>
    </w:pPr>
    <w:rPr>
      <w:color w:val="000000"/>
    </w:rPr>
    <w:tblPr>
      <w:tblStyleRowBandSize w:val="1"/>
      <w:tblStyleColBandSize w:val="1"/>
      <w:tblCellMar>
        <w:left w:w="115.0" w:type="dxa"/>
        <w:right w:w="115.0" w:type="dxa"/>
      </w:tblCellMar>
    </w:tblPr>
  </w:style>
  <w:style w:type="table" w:styleId="ac" w:customStyle="1">
    <w:basedOn w:val="TableNormal"/>
    <w:pPr>
      <w:pBdr>
        <w:top w:val="none" w:color="000000" w:sz="0" w:space="0"/>
        <w:left w:val="none" w:color="000000" w:sz="0" w:space="0"/>
        <w:bottom w:val="none" w:color="000000" w:sz="0" w:space="0"/>
        <w:right w:val="none" w:color="000000" w:sz="0" w:space="0"/>
        <w:between w:val="none" w:color="000000" w:sz="0" w:space="0"/>
      </w:pBdr>
      <w:spacing w:after="0"/>
    </w:pPr>
    <w:rPr>
      <w:color w:val="000000"/>
    </w:rPr>
    <w:tblPr>
      <w:tblStyleRowBandSize w:val="1"/>
      <w:tblStyleColBandSize w:val="1"/>
      <w:tblCellMar>
        <w:left w:w="115.0" w:type="dxa"/>
        <w:right w:w="115.0" w:type="dxa"/>
      </w:tblCellMar>
    </w:tblPr>
  </w:style>
  <w:style w:type="table" w:styleId="ad" w:customStyle="1">
    <w:basedOn w:val="TableNormal"/>
    <w:pPr>
      <w:pBdr>
        <w:top w:val="none" w:color="000000" w:sz="0" w:space="0"/>
        <w:left w:val="none" w:color="000000" w:sz="0" w:space="0"/>
        <w:bottom w:val="none" w:color="000000" w:sz="0" w:space="0"/>
        <w:right w:val="none" w:color="000000" w:sz="0" w:space="0"/>
        <w:between w:val="none" w:color="000000" w:sz="0" w:space="0"/>
      </w:pBdr>
      <w:spacing w:after="0"/>
    </w:pPr>
    <w:rPr>
      <w:color w:val="000000"/>
    </w:rPr>
    <w:tblPr>
      <w:tblStyleRowBandSize w:val="1"/>
      <w:tblStyleColBandSize w:val="1"/>
      <w:tblCellMar>
        <w:left w:w="115.0" w:type="dxa"/>
        <w:right w:w="115.0" w:type="dxa"/>
      </w:tblCellMar>
    </w:tblPr>
  </w:style>
  <w:style w:type="table" w:styleId="ae" w:customStyle="1">
    <w:basedOn w:val="TableNormal"/>
    <w:pPr>
      <w:pBdr>
        <w:top w:val="none" w:color="000000" w:sz="0" w:space="0"/>
        <w:left w:val="none" w:color="000000" w:sz="0" w:space="0"/>
        <w:bottom w:val="none" w:color="000000" w:sz="0" w:space="0"/>
        <w:right w:val="none" w:color="000000" w:sz="0" w:space="0"/>
        <w:between w:val="none" w:color="000000" w:sz="0" w:space="0"/>
      </w:pBdr>
      <w:spacing w:after="0"/>
    </w:pPr>
    <w:rPr>
      <w:color w:val="000000"/>
    </w:rPr>
    <w:tblPr>
      <w:tblStyleRowBandSize w:val="1"/>
      <w:tblStyleColBandSize w:val="1"/>
      <w:tblCellMar>
        <w:left w:w="115.0" w:type="dxa"/>
        <w:right w:w="115.0" w:type="dxa"/>
      </w:tblCellMar>
    </w:tblPr>
  </w:style>
  <w:style w:type="table" w:styleId="af" w:customStyle="1">
    <w:basedOn w:val="TableNormal"/>
    <w:pPr>
      <w:spacing w:after="0" w:line="240" w:lineRule="auto"/>
    </w:pPr>
    <w:rPr>
      <w:color w:val="404040"/>
    </w:rPr>
    <w:tblPr>
      <w:tblStyleRowBandSize w:val="1"/>
      <w:tblStyleColBandSize w:val="1"/>
      <w:tblCellMar>
        <w:left w:w="115.0" w:type="dxa"/>
        <w:right w:w="115.0" w:type="dxa"/>
      </w:tblCellMar>
    </w:tblPr>
    <w:tcPr>
      <w:shd w:val="clear" w:color="auto" w:fill="a9d08e"/>
    </w:tcPr>
  </w:style>
  <w:style w:type="table" w:styleId="af0" w:customStyle="1">
    <w:basedOn w:val="TableNormal"/>
    <w:pPr>
      <w:spacing w:after="0" w:line="240" w:lineRule="auto"/>
    </w:pPr>
    <w:rPr>
      <w:color w:val="404040"/>
    </w:rPr>
    <w:tblPr>
      <w:tblStyleRowBandSize w:val="1"/>
      <w:tblStyleColBandSize w:val="1"/>
      <w:tblCellMar>
        <w:left w:w="115.0" w:type="dxa"/>
        <w:right w:w="115.0" w:type="dxa"/>
      </w:tblCellMar>
    </w:tblPr>
    <w:tcPr>
      <w:shd w:val="clear" w:color="auto" w:fill="a9d08e"/>
    </w:tcPr>
  </w:style>
  <w:style w:type="table" w:styleId="af1"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f2"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f3"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f4"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f5" w:customStyle="1">
    <w:basedOn w:val="TableNormal"/>
    <w:tblPr>
      <w:tblStyleRowBandSize w:val="1"/>
      <w:tblStyleColBandSize w:val="1"/>
      <w:tblCellMar>
        <w:top w:w="100.0" w:type="dxa"/>
        <w:left w:w="100.0" w:type="dxa"/>
        <w:bottom w:w="100.0" w:type="dxa"/>
        <w:right w:w="100.0" w:type="dxa"/>
      </w:tblCellMar>
    </w:tblPr>
  </w:style>
  <w:style w:type="table" w:styleId="af6" w:customStyle="1">
    <w:basedOn w:val="TableNormal"/>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404040"/>
    </w:rPr>
    <w:tblPr>
      <w:tblStyleRowBandSize w:val="1"/>
      <w:tblStyleColBandSize w:val="1"/>
      <w:tblCellMar>
        <w:left w:w="115.0" w:type="dxa"/>
        <w:right w:w="115.0" w:type="dxa"/>
      </w:tblCellMar>
    </w:tblPr>
    <w:tcPr>
      <w:shd w:val="clear" w:color="auto" w:fill="a9d08e"/>
    </w:tcPr>
  </w:style>
  <w:style w:type="table" w:styleId="af7" w:customStyle="1">
    <w:basedOn w:val="TableNormal"/>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404040"/>
    </w:rPr>
    <w:tblPr>
      <w:tblStyleRowBandSize w:val="1"/>
      <w:tblStyleColBandSize w:val="1"/>
      <w:tblCellMar>
        <w:left w:w="115.0" w:type="dxa"/>
        <w:right w:w="115.0" w:type="dxa"/>
      </w:tblCellMar>
    </w:tblPr>
    <w:tcPr>
      <w:shd w:val="clear" w:color="auto" w:fill="a9d08e"/>
    </w:tcPr>
  </w:style>
  <w:style w:type="table" w:styleId="af8" w:customStyle="1">
    <w:basedOn w:val="TableNormal"/>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404040"/>
    </w:rPr>
    <w:tblPr>
      <w:tblStyleRowBandSize w:val="1"/>
      <w:tblStyleColBandSize w:val="1"/>
      <w:tblCellMar>
        <w:left w:w="115.0" w:type="dxa"/>
        <w:right w:w="115.0" w:type="dxa"/>
      </w:tblCellMar>
    </w:tblPr>
    <w:tcPr>
      <w:shd w:val="clear" w:color="auto" w:fill="a9d08e"/>
    </w:tcPr>
  </w:style>
  <w:style w:type="table" w:styleId="af9" w:customStyle="1">
    <w:basedOn w:val="TableNormal"/>
    <w:tblPr>
      <w:tblStyleRowBandSize w:val="1"/>
      <w:tblStyleColBandSize w:val="1"/>
      <w:tblCellMar>
        <w:top w:w="100.0" w:type="dxa"/>
        <w:left w:w="100.0" w:type="dxa"/>
        <w:bottom w:w="100.0" w:type="dxa"/>
        <w:right w:w="100.0" w:type="dxa"/>
      </w:tblCellMar>
    </w:tblPr>
  </w:style>
  <w:style w:type="table" w:styleId="afa" w:customStyle="1">
    <w:basedOn w:val="TableNormal"/>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404040"/>
    </w:rPr>
    <w:tblPr>
      <w:tblStyleRowBandSize w:val="1"/>
      <w:tblStyleColBandSize w:val="1"/>
      <w:tblCellMar>
        <w:left w:w="115.0" w:type="dxa"/>
        <w:right w:w="115.0" w:type="dxa"/>
      </w:tblCellMar>
    </w:tblPr>
    <w:tcPr>
      <w:shd w:val="clear" w:color="auto" w:fill="a9d08e"/>
    </w:tcPr>
  </w:style>
  <w:style w:type="table" w:styleId="afb" w:customStyle="1">
    <w:basedOn w:val="TableNormal"/>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404040"/>
    </w:rPr>
    <w:tblPr>
      <w:tblStyleRowBandSize w:val="1"/>
      <w:tblStyleColBandSize w:val="1"/>
      <w:tblCellMar>
        <w:left w:w="115.0" w:type="dxa"/>
        <w:right w:w="115.0" w:type="dxa"/>
      </w:tblCellMar>
    </w:tblPr>
    <w:tcPr>
      <w:shd w:val="clear" w:color="auto" w:fill="a9d08e"/>
    </w:tcPr>
  </w:style>
  <w:style w:type="table" w:styleId="afc" w:customStyle="1">
    <w:basedOn w:val="TableNormal"/>
    <w:tblPr>
      <w:tblStyleRowBandSize w:val="1"/>
      <w:tblStyleColBandSize w:val="1"/>
      <w:tblCellMar>
        <w:top w:w="100.0" w:type="dxa"/>
        <w:left w:w="100.0" w:type="dxa"/>
        <w:bottom w:w="100.0" w:type="dxa"/>
        <w:right w:w="100.0" w:type="dxa"/>
      </w:tblCellMar>
    </w:tblPr>
  </w:style>
  <w:style w:type="table" w:styleId="afd" w:customStyle="1">
    <w:basedOn w:val="TableNormal"/>
    <w:tblPr>
      <w:tblStyleRowBandSize w:val="1"/>
      <w:tblStyleColBandSize w:val="1"/>
      <w:tblCellMar>
        <w:top w:w="100.0" w:type="dxa"/>
        <w:left w:w="100.0" w:type="dxa"/>
        <w:bottom w:w="100.0" w:type="dxa"/>
        <w:right w:w="100.0" w:type="dxa"/>
      </w:tblCellMar>
    </w:tblPr>
  </w:style>
  <w:style w:type="table" w:styleId="afe" w:customStyle="1">
    <w:basedOn w:val="TableNormal"/>
    <w:tblPr>
      <w:tblStyleRowBandSize w:val="1"/>
      <w:tblStyleColBandSize w:val="1"/>
      <w:tblCellMar>
        <w:top w:w="100.0" w:type="dxa"/>
        <w:left w:w="100.0" w:type="dxa"/>
        <w:bottom w:w="100.0" w:type="dxa"/>
        <w:right w:w="100.0" w:type="dxa"/>
      </w:tblCellMar>
    </w:tblPr>
  </w:style>
  <w:style w:type="table" w:styleId="aff" w:customStyle="1">
    <w:basedOn w:val="TableNormal"/>
    <w:tblPr>
      <w:tblStyleRowBandSize w:val="1"/>
      <w:tblStyleColBandSize w:val="1"/>
      <w:tblCellMar>
        <w:top w:w="100.0" w:type="dxa"/>
        <w:left w:w="100.0" w:type="dxa"/>
        <w:bottom w:w="100.0" w:type="dxa"/>
        <w:right w:w="100.0" w:type="dxa"/>
      </w:tblCellMar>
    </w:tblPr>
  </w:style>
  <w:style w:type="table" w:styleId="aff0" w:customStyle="1">
    <w:basedOn w:val="TableNormal"/>
    <w:tblPr>
      <w:tblStyleRowBandSize w:val="1"/>
      <w:tblStyleColBandSize w:val="1"/>
      <w:tblCellMar>
        <w:top w:w="100.0" w:type="dxa"/>
        <w:left w:w="100.0" w:type="dxa"/>
        <w:bottom w:w="100.0" w:type="dxa"/>
        <w:right w:w="100.0" w:type="dxa"/>
      </w:tblCellMar>
    </w:tblPr>
  </w:style>
  <w:style w:type="table" w:styleId="aff1" w:customStyle="1">
    <w:basedOn w:val="TableNormal"/>
    <w:tblPr>
      <w:tblStyleRowBandSize w:val="1"/>
      <w:tblStyleColBandSize w:val="1"/>
      <w:tblCellMar>
        <w:top w:w="100.0" w:type="dxa"/>
        <w:left w:w="100.0" w:type="dxa"/>
        <w:bottom w:w="100.0" w:type="dxa"/>
        <w:right w:w="100.0" w:type="dxa"/>
      </w:tblCellMar>
    </w:tblPr>
  </w:style>
  <w:style w:type="table" w:styleId="aff2" w:customStyle="1">
    <w:basedOn w:val="TableNormal"/>
    <w:tblPr>
      <w:tblStyleRowBandSize w:val="1"/>
      <w:tblStyleColBandSize w:val="1"/>
      <w:tblCellMar>
        <w:top w:w="100.0" w:type="dxa"/>
        <w:left w:w="100.0" w:type="dxa"/>
        <w:bottom w:w="100.0" w:type="dxa"/>
        <w:right w:w="100.0" w:type="dxa"/>
      </w:tblCellMar>
    </w:tblPr>
  </w:style>
  <w:style w:type="table" w:styleId="aff3" w:customStyle="1">
    <w:basedOn w:val="TableNormal"/>
    <w:tblPr>
      <w:tblStyleRowBandSize w:val="1"/>
      <w:tblStyleColBandSize w:val="1"/>
      <w:tblCellMar>
        <w:top w:w="100.0" w:type="dxa"/>
        <w:left w:w="100.0" w:type="dxa"/>
        <w:bottom w:w="100.0" w:type="dxa"/>
        <w:right w:w="100.0" w:type="dxa"/>
      </w:tblCellMar>
    </w:tblPr>
  </w:style>
  <w:style w:type="table" w:styleId="StGen1" w:customStyle="1">
    <w:name w:val="StGen1"/>
    <w:basedOn w:val="TableNormal"/>
    <w:rsid w:val="00AB10B8"/>
    <w:pPr>
      <w:spacing w:after="0" w:line="240" w:lineRule="auto"/>
    </w:pPr>
    <w:rPr>
      <w:rFonts w:eastAsiaTheme="minorEastAsia"/>
      <w:lang w:val="en"/>
    </w:rPr>
    <w:tblPr>
      <w:tblStyleRowBandSize w:val="1"/>
      <w:tblStyleColBandSize w:val="1"/>
      <w:tblCellMar>
        <w:left w:w="115.0" w:type="dxa"/>
        <w:right w:w="115.0" w:type="dxa"/>
      </w:tblCellMar>
    </w:tblPr>
  </w:style>
  <w:style w:type="paragraph" w:styleId="Corp7L4" w:customStyle="1">
    <w:name w:val="Corp7_L4"/>
    <w:basedOn w:val="Normal"/>
    <w:rsid w:val="00AB10B8"/>
    <w:pPr>
      <w:keepNext w:val="1"/>
      <w:numPr>
        <w:ilvl w:val="3"/>
        <w:numId w:val="2"/>
      </w:numPr>
      <w:tabs>
        <w:tab w:val="clear" w:pos="2160"/>
      </w:tabs>
      <w:spacing w:after="260"/>
      <w:ind w:left="3600" w:hanging="360"/>
      <w:outlineLvl w:val="3"/>
    </w:pPr>
    <w:rPr>
      <w:rFonts w:eastAsia="SimSun"/>
      <w:bCs w:val="1"/>
      <w:iCs w:val="1"/>
      <w:color w:val="000000"/>
      <w:szCs w:val="24"/>
      <w:lang w:val="en" w:eastAsia="en-US"/>
    </w:rPr>
  </w:style>
  <w:style w:type="paragraph" w:styleId="Corp7L5" w:customStyle="1">
    <w:name w:val="Corp7_L5"/>
    <w:basedOn w:val="Normal"/>
    <w:rsid w:val="00AB10B8"/>
    <w:pPr>
      <w:keepNext w:val="1"/>
      <w:numPr>
        <w:ilvl w:val="4"/>
        <w:numId w:val="2"/>
      </w:numPr>
      <w:tabs>
        <w:tab w:val="clear" w:pos="2880"/>
      </w:tabs>
      <w:spacing w:after="240"/>
      <w:ind w:left="4320" w:hanging="360"/>
      <w:outlineLvl w:val="4"/>
    </w:pPr>
    <w:rPr>
      <w:rFonts w:eastAsia="SimSun"/>
      <w:color w:val="000000"/>
      <w:szCs w:val="24"/>
      <w:lang w:val="en" w:eastAsia="en-US"/>
    </w:rPr>
  </w:style>
  <w:style w:type="paragraph" w:styleId="Corp7L6" w:customStyle="1">
    <w:name w:val="Corp7_L6"/>
    <w:basedOn w:val="Normal"/>
    <w:rsid w:val="00AB10B8"/>
    <w:pPr>
      <w:keepNext w:val="1"/>
      <w:numPr>
        <w:ilvl w:val="5"/>
        <w:numId w:val="2"/>
      </w:numPr>
      <w:tabs>
        <w:tab w:val="clear" w:pos="3600"/>
      </w:tabs>
      <w:spacing w:after="240"/>
      <w:ind w:left="5040" w:hanging="360"/>
      <w:outlineLvl w:val="5"/>
    </w:pPr>
    <w:rPr>
      <w:rFonts w:eastAsia="SimSun"/>
      <w:iCs w:val="1"/>
      <w:color w:val="000000"/>
      <w:szCs w:val="24"/>
      <w:lang w:val="en" w:eastAsia="en-US"/>
    </w:rPr>
  </w:style>
  <w:style w:type="paragraph" w:styleId="Corp7L7" w:customStyle="1">
    <w:name w:val="Corp7_L7"/>
    <w:basedOn w:val="Normal"/>
    <w:rsid w:val="00AB10B8"/>
    <w:pPr>
      <w:keepNext w:val="1"/>
      <w:numPr>
        <w:ilvl w:val="6"/>
        <w:numId w:val="2"/>
      </w:numPr>
      <w:tabs>
        <w:tab w:val="clear" w:pos="3600"/>
      </w:tabs>
      <w:spacing w:after="240"/>
      <w:ind w:left="5760" w:hanging="360"/>
      <w:outlineLvl w:val="6"/>
    </w:pPr>
    <w:rPr>
      <w:rFonts w:eastAsia="SimSun"/>
      <w:iCs w:val="1"/>
      <w:color w:val="000000"/>
      <w:szCs w:val="24"/>
      <w:lang w:val="en" w:eastAsia="en-US"/>
    </w:rPr>
  </w:style>
  <w:style w:type="paragraph" w:styleId="Corp7L8" w:customStyle="1">
    <w:name w:val="Corp7_L8"/>
    <w:basedOn w:val="Normal"/>
    <w:rsid w:val="00AB10B8"/>
    <w:pPr>
      <w:keepNext w:val="1"/>
      <w:numPr>
        <w:ilvl w:val="7"/>
        <w:numId w:val="2"/>
      </w:numPr>
      <w:tabs>
        <w:tab w:val="clear" w:pos="3600"/>
      </w:tabs>
      <w:spacing w:after="240"/>
      <w:ind w:left="6480" w:hanging="360"/>
      <w:outlineLvl w:val="7"/>
    </w:pPr>
    <w:rPr>
      <w:rFonts w:eastAsia="SimSun"/>
      <w:color w:val="000000"/>
      <w:szCs w:val="20"/>
      <w:lang w:val="en" w:eastAsia="en-US"/>
    </w:rPr>
  </w:style>
  <w:style w:type="paragraph" w:styleId="Corp7L9" w:customStyle="1">
    <w:name w:val="Corp7_L9"/>
    <w:basedOn w:val="Normal"/>
    <w:rsid w:val="00AB10B8"/>
    <w:pPr>
      <w:keepNext w:val="1"/>
      <w:numPr>
        <w:ilvl w:val="8"/>
        <w:numId w:val="2"/>
      </w:numPr>
      <w:tabs>
        <w:tab w:val="clear" w:pos="3600"/>
      </w:tabs>
      <w:spacing w:after="240"/>
      <w:ind w:left="7200" w:hanging="360"/>
      <w:outlineLvl w:val="8"/>
    </w:pPr>
    <w:rPr>
      <w:rFonts w:eastAsia="SimSun"/>
      <w:iCs w:val="1"/>
      <w:color w:val="000000"/>
      <w:szCs w:val="20"/>
      <w:lang w:val="en" w:eastAsia="en-US"/>
    </w:rPr>
  </w:style>
  <w:style w:type="character" w:styleId="CommentReference">
    <w:name w:val="annotation reference"/>
    <w:basedOn w:val="DefaultParagraphFont"/>
    <w:uiPriority w:val="99"/>
    <w:semiHidden w:val="1"/>
    <w:unhideWhenUsed w:val="1"/>
    <w:rsid w:val="006F5C1D"/>
    <w:rPr>
      <w:sz w:val="16"/>
      <w:szCs w:val="16"/>
    </w:rPr>
  </w:style>
  <w:style w:type="paragraph" w:styleId="CommentText">
    <w:name w:val="annotation text"/>
    <w:basedOn w:val="Normal"/>
    <w:link w:val="CommentTextChar"/>
    <w:uiPriority w:val="99"/>
    <w:unhideWhenUsed w:val="1"/>
    <w:rsid w:val="006F5C1D"/>
    <w:pPr>
      <w:spacing w:line="240" w:lineRule="auto"/>
    </w:pPr>
    <w:rPr>
      <w:sz w:val="20"/>
      <w:szCs w:val="20"/>
    </w:rPr>
  </w:style>
  <w:style w:type="character" w:styleId="CommentTextChar" w:customStyle="1">
    <w:name w:val="Comment Text Char"/>
    <w:basedOn w:val="DefaultParagraphFont"/>
    <w:link w:val="CommentText"/>
    <w:uiPriority w:val="99"/>
    <w:rsid w:val="006F5C1D"/>
    <w:rPr>
      <w:sz w:val="20"/>
      <w:szCs w:val="20"/>
    </w:rPr>
  </w:style>
  <w:style w:type="paragraph" w:styleId="CommentSubject">
    <w:name w:val="annotation subject"/>
    <w:basedOn w:val="CommentText"/>
    <w:next w:val="CommentText"/>
    <w:link w:val="CommentSubjectChar"/>
    <w:uiPriority w:val="99"/>
    <w:semiHidden w:val="1"/>
    <w:unhideWhenUsed w:val="1"/>
    <w:rsid w:val="006F5C1D"/>
    <w:rPr>
      <w:b w:val="1"/>
      <w:bCs w:val="1"/>
    </w:rPr>
  </w:style>
  <w:style w:type="character" w:styleId="CommentSubjectChar" w:customStyle="1">
    <w:name w:val="Comment Subject Char"/>
    <w:basedOn w:val="CommentTextChar"/>
    <w:link w:val="CommentSubject"/>
    <w:uiPriority w:val="99"/>
    <w:semiHidden w:val="1"/>
    <w:rsid w:val="006F5C1D"/>
    <w:rPr>
      <w:b w:val="1"/>
      <w:bCs w:val="1"/>
      <w:sz w:val="20"/>
      <w:szCs w:val="20"/>
    </w:rPr>
  </w:style>
  <w:style w:type="character" w:styleId="UnresolvedMention">
    <w:name w:val="Unresolved Mention"/>
    <w:basedOn w:val="DefaultParagraphFont"/>
    <w:uiPriority w:val="99"/>
    <w:semiHidden w:val="1"/>
    <w:unhideWhenUsed w:val="1"/>
    <w:rsid w:val="0081206C"/>
    <w:rPr>
      <w:color w:val="605e5c"/>
      <w:shd w:val="clear" w:color="auto" w:fill="e1dfdd"/>
    </w:rPr>
  </w:style>
  <w:style w:type="paragraph" w:styleId="Subtitle">
    <w:name w:val="Subtitle"/>
    <w:basedOn w:val="Normal"/>
    <w:next w:val="Normal"/>
    <w:pPr>
      <w:pBdr>
        <w:top w:val="nil" w:sz="0" w:space="0"/>
        <w:left w:val="nil" w:sz="0" w:space="0"/>
        <w:bottom w:val="nil" w:sz="0" w:space="0"/>
        <w:right w:val="nil" w:sz="0" w:space="0"/>
        <w:between w:val="nil" w:sz="0" w:space="0"/>
      </w:pBdr>
      <w:spacing w:before="200" w:lineRule="auto"/>
    </w:pPr>
    <w:rPr>
      <w:color w:val="000000"/>
      <w:sz w:val="24"/>
      <w:szCs w:val="24"/>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Pr>
  </w:style>
  <w:style w:type="table" w:styleId="Table3">
    <w:basedOn w:val="TableNormal"/>
    <w:pPr>
      <w:spacing w:after="0" w:line="240" w:lineRule="auto"/>
    </w:pPr>
    <w:tblPr>
      <w:tblStyleRowBandSize w:val="1"/>
      <w:tblStyleColBandSize w:val="1"/>
    </w:tblPr>
  </w:style>
  <w:style w:type="table" w:styleId="Table4">
    <w:basedOn w:val="TableNormal"/>
    <w:pPr>
      <w:spacing w:after="0" w:line="240" w:lineRule="auto"/>
    </w:pPr>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404040"/>
    </w:rPr>
    <w:tblPr>
      <w:tblStyleRowBandSize w:val="1"/>
      <w:tblStyleColBandSize w:val="1"/>
      <w:tblCellMar>
        <w:top w:w="0.0" w:type="dxa"/>
        <w:left w:w="115.0" w:type="dxa"/>
        <w:bottom w:w="0.0" w:type="dxa"/>
        <w:right w:w="115.0" w:type="dxa"/>
      </w:tblCellMar>
    </w:tblPr>
    <w:tcPr>
      <w:shd w:val="clear" w:fill="a9d08e"/>
    </w:tc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404040"/>
    </w:rPr>
    <w:tblPr>
      <w:tblStyleRowBandSize w:val="1"/>
      <w:tblStyleColBandSize w:val="1"/>
      <w:tblCellMar>
        <w:top w:w="0.0" w:type="dxa"/>
        <w:left w:w="115.0" w:type="dxa"/>
        <w:bottom w:w="0.0" w:type="dxa"/>
        <w:right w:w="115.0" w:type="dxa"/>
      </w:tblCellMar>
    </w:tblPr>
    <w:tcPr>
      <w:shd w:val="clear" w:fill="a9d08e"/>
    </w:tc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Pr>
  </w:style>
</w:styles>
</file>

<file path=word/_rels/document.xml.rels>&#65279;<?xml version="1.0" encoding="utf-8"?><Relationships xmlns="http://schemas.openxmlformats.org/package/2006/relationships"><Relationship Type="http://schemas.openxmlformats.org/officeDocument/2006/relationships/image" Target="media/image5.png" Id="rId40" /><Relationship Type="http://schemas.openxmlformats.org/officeDocument/2006/relationships/hyperlink" Target="https://confluence.toolsfdg.net/pages/viewpage.action?pageId=339137150&amp;preview=/339137150/396822726/Politically%20Exposed%20Person%20(PEP)%20Guidance%20Document%20v2.0.docx.pdf" TargetMode="External" Id="rId84" /><Relationship Type="http://schemas.openxmlformats.org/officeDocument/2006/relationships/hyperlink" Target="https://confluence.toolsfdg.net/pages/viewpage.action?pageId=213527708" TargetMode="External" Id="rId83" /><Relationship Type="http://schemas.openxmlformats.org/officeDocument/2006/relationships/hyperlink" Target="https://docs.google.com/document/d/11sW7uVzANTWUiSq-Q-763vTmsQeExGTuHIjPK07Mwsk/edit?tab=t.0#heading=h.j50h1eut4e5k" TargetMode="External" Id="rId42" /><Relationship Type="http://schemas.openxmlformats.org/officeDocument/2006/relationships/hyperlink" Target="https://boffice.toolsfdg.net/Products/Files/DocEditor.aspx?fileid=1262041" TargetMode="External" Id="rId86" /><Relationship Type="http://schemas.openxmlformats.org/officeDocument/2006/relationships/hyperlink" Target="https://drive.google.com/drive/folders/18UXa5MbHCZoGmosHZgPZMRpo_GqJ5yy_" TargetMode="External" Id="rId41" /><Relationship Type="http://schemas.openxmlformats.org/officeDocument/2006/relationships/hyperlink" Target="https://confluence.toolsfdg.net/display/CMPL/Transaction+Monitoring+Compliance+Framework?preview=/213527725/396826339/End-to-End%20Transaction%20Rule%20Calibration%20SOP%20v1.0.pdf" TargetMode="External" Id="rId85" /><Relationship Type="http://schemas.openxmlformats.org/officeDocument/2006/relationships/hyperlink" Target="https://docs.google.com/spreadsheets/d/1ape69PK9WF9xZ3III5X_c3rBpfDzX7JgEMxEW9ldt08/edit#gid=1113383390" TargetMode="External" Id="rId44" /><Relationship Type="http://schemas.openxmlformats.org/officeDocument/2006/relationships/hyperlink" Target="https://confluence.toolsfdg.net/display/CMPL/Compliance+Committees?preview=/429694895/432600187/Global%20Transaction%20Steering%20Committee%20TOR%20v%201.4.pdf" TargetMode="External" Id="rId88" /><Relationship Type="http://schemas.openxmlformats.org/officeDocument/2006/relationships/hyperlink" Target="https://docs.google.com/spreadsheets/d/1Sh58gsadUhiwciiEBO7Er8hdhx4EtfxeJqfdJ4dnkUM/edit#gid=904794375" TargetMode="External" Id="rId43" /><Relationship Type="http://schemas.openxmlformats.org/officeDocument/2006/relationships/hyperlink" Target="https://boffice.toolsfdg.net/Products/Files/DocEditor.aspx?fileid=3365734" TargetMode="External" Id="rId87" /><Relationship Type="http://schemas.openxmlformats.org/officeDocument/2006/relationships/hyperlink" Target="https://docs.google.com/document/d/1uPV2u6llY2yHUhikuVTlsEqhv5__bZbnlhfR-kvYYss/edit" TargetMode="External" Id="rId46" /><Relationship Type="http://schemas.openxmlformats.org/officeDocument/2006/relationships/hyperlink" Target="https://drive.google.com/drive/folders/1l7pyJpBB67xg989Lm99e0LjoKjbwp1Q4" TargetMode="External" Id="rId45" /><Relationship Type="http://schemas.openxmlformats.org/officeDocument/2006/relationships/hyperlink" Target="https://confluence.toolsfdg.net/pages/viewpage.action?pageId=339137150" TargetMode="External" Id="rId89" /><Relationship Type="http://schemas.openxmlformats.org/officeDocument/2006/relationships/hyperlink" Target="https://confluence.toolsfdg.net/display/CMPL/FCI+Compliance+Framework" TargetMode="External" Id="rId80" /><Relationship Type="http://schemas.openxmlformats.org/officeDocument/2006/relationships/hyperlink" Target="https://docs.google.com/spreadsheets/d/1cKCDKJlVrAZ3oPhHm9je_ZatJNbep-aQbw-Y7azmYlA/edit?gid=1140508272#gid=1140508272" TargetMode="External" Id="rId82" /><Relationship Type="http://schemas.openxmlformats.org/officeDocument/2006/relationships/hyperlink" Target="https://confluence.toolsfdg.net/display/CMPL/Global+Compliance+Training" TargetMode="External" Id="rId81" /><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footnotes" Target="footnotes.xml" Id="rId4" /><Relationship Type="http://schemas.openxmlformats.org/officeDocument/2006/relationships/hyperlink" Target="https://hris.toolsfdg.net/teams/personal/21652/team-data" TargetMode="External" Id="rId9" /><Relationship Type="http://schemas.openxmlformats.org/officeDocument/2006/relationships/hyperlink" Target="https://docs.google.com/spreadsheets/d/1tBNkGax1RSJpq3Q_qPE4cwHFfG_1X5WBx82IVLjyPvU/edit?pli=1#gid=749104743" TargetMode="External" Id="rId48" /><Relationship Type="http://schemas.openxmlformats.org/officeDocument/2006/relationships/hyperlink" Target="https://docs.google.com/spreadsheets/d/1jEOqGQHSdHItd6kl77tfNp1INYpQPSAZIq1db6i7JoI/edit#gid=861339052" TargetMode="External" Id="rId47" /><Relationship Type="http://schemas.openxmlformats.org/officeDocument/2006/relationships/hyperlink" Target="https://drive.google.com/drive/folders/1l_bFrcC5Qbc1phdbwG7RlBHdw_zcYRQu" TargetMode="External" Id="rId49" /><Relationship Type="http://schemas.openxmlformats.org/officeDocument/2006/relationships/numbering" Target="numbering.xml" Id="rId5" /><Relationship Type="http://schemas.openxmlformats.org/officeDocument/2006/relationships/styles" Target="styles.xml" Id="rId6" /><Relationship Type="http://schemas.openxmlformats.org/officeDocument/2006/relationships/image" Target="media/image1.png" Id="rId8" /><Relationship Type="http://schemas.openxmlformats.org/officeDocument/2006/relationships/hyperlink" Target="https://app.elliptic.co/auth/login" TargetMode="External" Id="rId73" /><Relationship Type="http://schemas.openxmlformats.org/officeDocument/2006/relationships/hyperlink" Target="https://haodesk.blsdkrgjf.io/" TargetMode="External" Id="rId72" /><Relationship Type="http://schemas.openxmlformats.org/officeDocument/2006/relationships/hyperlink" Target="https://docs.google.com/spreadsheets/d/1ape69PK9WF9xZ3III5X_c3rBpfDzX7JgEMxEW9ldt08/edit#gid=1113383390" TargetMode="External" Id="rId31" /><Relationship Type="http://schemas.openxmlformats.org/officeDocument/2006/relationships/hyperlink" Target="https://docs.google.com/document/d/1DjT6IPwkw5duCRhb7Dzm8o44Cj-V-_aDBiI5cjX2UNI/edit?tab=t.0#heading=h.xcy3fwe1dev0" TargetMode="External" Id="rId75" /><Relationship Type="http://schemas.openxmlformats.org/officeDocument/2006/relationships/hyperlink" Target="https://docs.google.com/spreadsheets/d/1ape69PK9WF9xZ3III5X_c3rBpfDzX7JgEMxEW9ldt08/edit#gid=1113383390" TargetMode="External" Id="rId30" /><Relationship Type="http://schemas.openxmlformats.org/officeDocument/2006/relationships/hyperlink" Target="https://spade.toolsfdg.net/nlegacy/blocktracer" TargetMode="External" Id="rId74" /><Relationship Type="http://schemas.openxmlformats.org/officeDocument/2006/relationships/hyperlink" Target="https://docs.google.com/spreadsheets/d/1ape69PK9WF9xZ3III5X_c3rBpfDzX7JgEMxEW9ldt08/edit#gid=1113383390" TargetMode="External" Id="rId33" /><Relationship Type="http://schemas.openxmlformats.org/officeDocument/2006/relationships/hyperlink" Target="https://docs.google.com/spreadsheets/d/1ee9-XwjACJaNvuqo2llaE0k2ukCYOWuTwD4-MMywCpg/edit?pli=1&amp;gid=0#gid=0" TargetMode="External" Id="rId77" /><Relationship Type="http://schemas.openxmlformats.org/officeDocument/2006/relationships/hyperlink" Target="https://docs.google.com/spreadsheets/d/1ape69PK9WF9xZ3III5X_c3rBpfDzX7JgEMxEW9ldt08/edit#gid=1113383390" TargetMode="External" Id="rId32" /><Relationship Type="http://schemas.openxmlformats.org/officeDocument/2006/relationships/hyperlink" Target="https://confluence.toolsfdg.net/display/CMPL/FCI+Compliance+Framework?preview=/269025987/379547211/FCI%20Offboarding%20Standards%20and%20Guidelines%20v2.0%20(05%20Feb%202025).pdf" TargetMode="External" Id="rId76" /><Relationship Type="http://schemas.openxmlformats.org/officeDocument/2006/relationships/hyperlink" Target="https://docs.google.com/document/d/1v-TZb1BbQOvdrEsWbmtDTjJ4J1KhV31FtFVqsfzICy0/edit?usp=drive_open&amp;ouid=106321945789740054453" TargetMode="External" Id="rId35" /><Relationship Type="http://schemas.openxmlformats.org/officeDocument/2006/relationships/hyperlink" Target="https://confluence.toolsfdg.net/display/CMPL/FCI+Compliance+Framework?preview=/269025987/416008526/TM%20Unusual%20Activities%20Investigations%20Procedure%20_%20v2.1%20_%2026%20May%202025.pdf" TargetMode="External" Id="rId79" /><Relationship Type="http://schemas.openxmlformats.org/officeDocument/2006/relationships/hyperlink" Target="https://docs.google.com/spreadsheets/d/1ape69PK9WF9xZ3III5X_c3rBpfDzX7JgEMxEW9ldt08/edit#gid=1113383390" TargetMode="External" Id="rId34" /><Relationship Type="http://schemas.openxmlformats.org/officeDocument/2006/relationships/hyperlink" Target="https://ba.blsdkrgjf.io/#/users/user-report" TargetMode="External" Id="rId78" /><Relationship Type="http://schemas.openxmlformats.org/officeDocument/2006/relationships/hyperlink" Target="https://confluence.toolsfdg.net/display/CMPL/Transaction+Monitoring+Compliance+Framework?preview=/213527725/389960098/Bifinity%20Offchain%20TM%20Step%20by%20Step%20Guide%20-%20v2.pdf" TargetMode="External" Id="rId71" /><Relationship Type="http://schemas.openxmlformats.org/officeDocument/2006/relationships/hyperlink" Target="https://confluence.toolsfdg.net/display/CMPL/Transaction+Monitoring+Compliance+Framework?preview=/213527725/402274147/Step%20By%20Step%20Guide%20(Offchain%20Transaction%20Monitoring)%20FIAT%20TM%20v1.4%20.pdf" TargetMode="External" Id="rId70" /><Relationship Type="http://schemas.openxmlformats.org/officeDocument/2006/relationships/hyperlink" Target="https://docs.google.com/spreadsheets/d/1Yeil2Z78wn74MVhRHRB0I2jBsgWjF6JGodAKr93m_ac/edit#gid=0" TargetMode="External" Id="rId37" /><Relationship Type="http://schemas.openxmlformats.org/officeDocument/2006/relationships/hyperlink" Target="https://docs.google.com/spreadsheets/d/1Sh58gsadUhiwciiEBO7Er8hdhx4EtfxeJqfdJ4dnkUM/edit?gid=1929885436#gid=1929885436" TargetMode="External" Id="rId36" /><Relationship Type="http://schemas.openxmlformats.org/officeDocument/2006/relationships/hyperlink" Target="https://docs.google.com/document/d/1ckpvifZAOtOhey-DnBBXX8J_ImtWFCanXNbZ3lpGSzg/edit?tab=t.0#heading=h.sd35bci3vi3u" TargetMode="External" Id="rId39" /><Relationship Type="http://schemas.openxmlformats.org/officeDocument/2006/relationships/hyperlink" Target="https://docs.google.com/spreadsheets/d/1Yeil2Z78wn74MVhRHRB0I2jBsgWjF6JGodAKr93m_ac/edit#gid=0" TargetMode="External" Id="rId38" /><Relationship Type="http://schemas.openxmlformats.org/officeDocument/2006/relationships/hyperlink" Target="https://confluence.toolsfdg.net/display/CMPL/Transaction+Monitoring+Compliance+Framework?preview=/213527725/396826339/End-to-End%20Transaction%20Rule%20Calibration%20SOP%20v1.0.pdf" TargetMode="External" Id="rId62" /><Relationship Type="http://schemas.openxmlformats.org/officeDocument/2006/relationships/hyperlink" Target="https://boffice.toolsfdg.net/Products/Files/DocEditor.aspx?fileid=762527&amp;doc=ZG1sRy9aSEZYWnlQcmZ4UFBQb3lXTVRodDVDVERHK1d2Z3Jsb09sY0ZlWT0_Ijc2MjUyNyI1&amp;t=1713971592504" TargetMode="External" Id="rId61" /><Relationship Type="http://schemas.openxmlformats.org/officeDocument/2006/relationships/hyperlink" Target="https://confluence.toolsfdg.net/display/CMPL/Local+Policies+and+Procedures" TargetMode="External" Id="rId20" /><Relationship Type="http://schemas.openxmlformats.org/officeDocument/2006/relationships/hyperlink" Target="https://docs.google.com/spreadsheets/d/1NrXfUIbNO-peXMUl9l5V5jE_Ord1HpFU03tUBrHbco0/edit#gid=0" TargetMode="External" Id="rId64" /><Relationship Type="http://schemas.openxmlformats.org/officeDocument/2006/relationships/hyperlink" Target="https://docs.google.com/document/d/1EvrqLXv4vuNlNn_JYhttwiacCDjGwa81v-H1n9zAgbU/edit?tab=t.0" TargetMode="External" Id="rId63" /><Relationship Type="http://schemas.openxmlformats.org/officeDocument/2006/relationships/hyperlink" Target="https://www.fatf-gafi.org/content/dam/fatf-gafi/guidance/RBA-VA-VASPs.pdf.coredownload.inline.pdf" TargetMode="External" Id="rId22" /><Relationship Type="http://schemas.openxmlformats.org/officeDocument/2006/relationships/hyperlink" Target="https://boffice.toolsfdg.net/Products/Files/DocEditor.aspx?fileid=3864279" TargetMode="External" Id="rId66" /><Relationship Type="http://schemas.openxmlformats.org/officeDocument/2006/relationships/hyperlink" Target="https://docs.google.com/spreadsheets/d/1ee9-XwjACJaNvuqo2llaE0k2ukCYOWuTwD4-MMywCpg/edit?pli=1&amp;gid=0#gid=0" TargetMode="External" Id="rId21" /><Relationship Type="http://schemas.openxmlformats.org/officeDocument/2006/relationships/hyperlink" Target="https://docs.google.com/spreadsheets/d/1fK0r4FEq9N-_bKAfL-bOzuV4SI3LnfnBr7x1BHw93Ls/edit?gid=1275083015#gid=1275083015" TargetMode="External" Id="rId65" /><Relationship Type="http://schemas.openxmlformats.org/officeDocument/2006/relationships/hyperlink" Target="https://drive.google.com/drive/folders/1yFeoEGXbMGILyZ_mq0CuuD9Ca00U3X85" TargetMode="External" Id="rId24" /><Relationship Type="http://schemas.openxmlformats.org/officeDocument/2006/relationships/hyperlink" Target="https://docs.google.com/document/d/1R9UMvqbW852yMSrcAIlddkOOHaJYKfR95PG_p0_8k8c/edit" TargetMode="External" Id="rId68" /><Relationship Type="http://schemas.openxmlformats.org/officeDocument/2006/relationships/hyperlink" Target="https://docs.google.com/spreadsheets/d/1WKnTiU511-MJGpiTZzsH1qayW4i4Fn5xN_hFo_o0vOs/edit?gid=0#gid=0" TargetMode="External" Id="rId23" /><Relationship Type="http://schemas.openxmlformats.org/officeDocument/2006/relationships/hyperlink" Target="https://confluence.toolsfdg.net/display/CMPL/Investigations?preview=/377764635/453919854/Global%20Sanctions%20Investigations%20SOP%20V3.1%20_%2027-08-2025.pdf" TargetMode="External" Id="rId67" /><Relationship Type="http://schemas.openxmlformats.org/officeDocument/2006/relationships/hyperlink" Target="https://docs.google.com/document/d/1ouveqMOHLIrSVHi_-Ot2ZCMtiOfbGhxR/edit#heading=h.14emjk9mq95r" TargetMode="External" Id="rId60" /><Relationship Type="http://schemas.openxmlformats.org/officeDocument/2006/relationships/hyperlink" Target="https://docs.google.com/document/d/1hRSczlt8V-8EoAHy-G1E8FxaxwEaLKU0/edit" TargetMode="External" Id="rId26" /><Relationship Type="http://schemas.openxmlformats.org/officeDocument/2006/relationships/hyperlink" Target="https://confluence.toolsfdg.net/pages/viewpage.action?pageId=213527717" TargetMode="External" Id="rId25" /><Relationship Type="http://schemas.openxmlformats.org/officeDocument/2006/relationships/hyperlink" Target="https://confluence.toolsfdg.net/display/CMPL/Transaction+Monitoring+Compliance+Framework?preview=/213527725/453919863/Onchain%20Transaction%20Monitoring%20Operating%20Procedure%20v1.2.pdf" TargetMode="External" Id="rId69" /><Relationship Type="http://schemas.openxmlformats.org/officeDocument/2006/relationships/hyperlink" Target="https://docs.google.com/spreadsheets/d/1Sh58gsadUhiwciiEBO7Er8hdhx4EtfxeJqfdJ4dnkUM/edit?pli=1&amp;gid=395495887#gid=395495887" TargetMode="External" Id="rId28" /><Relationship Type="http://schemas.openxmlformats.org/officeDocument/2006/relationships/image" Target="media/image6.png" Id="rId27" /><Relationship Type="http://schemas.openxmlformats.org/officeDocument/2006/relationships/hyperlink" Target="https://docs.google.com/spreadsheets/d/1yYOY7lOmV5XgQ5GBwxOANPg6pNgW3zTYPlj_5WeUwPA/edit?gid=0#gid=0" TargetMode="External" Id="rId29" /><Relationship Type="http://schemas.openxmlformats.org/officeDocument/2006/relationships/hyperlink" Target="https://docs.google.com/spreadsheets/d/1NVgl7t4uhsEkDFnZP04PVGR0MTNo9ke5FhwtAnTZfe4/edit#gid=0" TargetMode="External" Id="rId51" /><Relationship Type="http://schemas.openxmlformats.org/officeDocument/2006/relationships/footer" Target="footer3.xml" Id="rId95" /><Relationship Type="http://schemas.openxmlformats.org/officeDocument/2006/relationships/hyperlink" Target="https://docs.google.com/spreadsheets/d/1MQXRdsS10sd4QBmEjc_kxgGoXtENfWQZWZa2N0aUv9I/edit?gid=358022288#gid=358022288" TargetMode="External" Id="rId50" /><Relationship Type="http://schemas.openxmlformats.org/officeDocument/2006/relationships/footer" Target="footer2.xml" Id="rId94" /><Relationship Type="http://schemas.openxmlformats.org/officeDocument/2006/relationships/hyperlink" Target="https://drive.google.com/drive/folders/1yFeoEGXbMGILyZ_mq0CuuD9Ca00U3X85" TargetMode="External" Id="rId53" /><Relationship Type="http://schemas.openxmlformats.org/officeDocument/2006/relationships/hyperlink" Target="https://datawind.bdp.toolsfdg.net/bi/#/dashboard/55083?appId=1&amp;sheetId=41095&amp;snapshotId=48602" TargetMode="External" Id="rId52" /><Relationship Type="http://schemas.openxmlformats.org/officeDocument/2006/relationships/footer" Target="footer1.xml" Id="rId96" /><Relationship Type="http://schemas.openxmlformats.org/officeDocument/2006/relationships/hyperlink" Target="https://docs.google.com/spreadsheets/d/1ape69PK9WF9xZ3III5X_c3rBpfDzX7JgEMxEW9ldt08/edit?gid=279105555#gid=279105555" TargetMode="External" Id="rId11" /><Relationship Type="http://schemas.openxmlformats.org/officeDocument/2006/relationships/image" Target="media/image2.png" Id="rId55" /><Relationship Type="http://schemas.openxmlformats.org/officeDocument/2006/relationships/hyperlink" Target="https://docs.google.com/spreadsheets/d/1ape69PK9WF9xZ3III5X_c3rBpfDzX7JgEMxEW9ldt08/edit?gid=279105555#gid=279105555" TargetMode="External" Id="rId10" /><Relationship Type="http://schemas.openxmlformats.org/officeDocument/2006/relationships/hyperlink" Target="https://drive.google.com/drive/folders/1yFeoEGXbMGILyZ_mq0CuuD9Ca00U3X85" TargetMode="External" Id="rId54" /><Relationship Type="http://schemas.openxmlformats.org/officeDocument/2006/relationships/image" Target="media/image4.png" Id="rId13" /><Relationship Type="http://schemas.openxmlformats.org/officeDocument/2006/relationships/hyperlink" Target="https://docs.google.com/spreadsheets/d/1YjxewCL_HEPt5zjRjh0NReSyoq4tUaB1CNErs1C9C8k/edit#gid=0" TargetMode="External" Id="rId57" /><Relationship Type="http://schemas.openxmlformats.org/officeDocument/2006/relationships/hyperlink" Target="https://link.difft.org?redirect=wea%3A%2F%2Fworkspace%2Fapp%3FopenUrl%3Dhttps%253A%252F%252Fboffice.toolsfdg.net%252FProducts%252FFiles%252FDocEditor.aspx%253Ffileid%253D1838304%2526doc%253DYU1JZDM0QUU2S2pSZS9SVjdYV2Y3Yy9RbnF3RGNRa3JnYzVLd1I3Mm1BOD0_IntcImVudHJ5XCI6XCIxODM4MzA0XCIsXCJsaW5rXCI6XCJiMmVlZWU4ZS1lM2VhLTQ5NWUtODhiNy01NzgyOTE0NjQ1YjhcIn0i0%26s%3DMIGIAkIB1Sf8yVeZ9gl7YpSlFukqPsdTn7lQCx3SnrVtNJ8SC7QG5qyOkueaYYqXVfmPwlH%252BCFfX35WRBPS%252BNfZe83%252B3JSsCQgDCQfhYHUYmSaM6Zucnzr0%252BH4gstTXqRUkGZYWjopAwEjT77%252Fvsv1pBjsvyky8izB27zErMFlZUSn0j1y%252BtqIRpbA%253D%253D" TargetMode="External" Id="rId12" /><Relationship Type="http://schemas.openxmlformats.org/officeDocument/2006/relationships/hyperlink" Target="https://docs.google.com/spreadsheets/d/1YjxewCL_HEPt5zjRjh0NReSyoq4tUaB1CNErs1C9C8k/edit#gid=0" TargetMode="External" Id="rId56" /><Relationship Type="http://schemas.openxmlformats.org/officeDocument/2006/relationships/header" Target="header2.xml" Id="rId91" /><Relationship Type="http://schemas.openxmlformats.org/officeDocument/2006/relationships/hyperlink" Target="https://confluence.toolsfdg.net/display/CMPL/Quality+Assurance?preview=/243630006/458201152/QA%20Procedure%20-%20Off-Chain%20Transaction%20Monitoring%20Machine%20Learning%20v1.1.pdf" TargetMode="External" Id="rId90" /><Relationship Type="http://schemas.openxmlformats.org/officeDocument/2006/relationships/header" Target="header1.xml" Id="rId93" /><Relationship Type="http://schemas.openxmlformats.org/officeDocument/2006/relationships/header" Target="header3.xml" Id="rId92" /><Relationship Type="http://schemas.openxmlformats.org/officeDocument/2006/relationships/hyperlink" Target="https://binance.okta.com/home/oidc_client/0oa4hfrexbwNWpV2a357/aln177a159h7Zf52X0g8" TargetMode="External" Id="rId15" /><Relationship Type="http://schemas.openxmlformats.org/officeDocument/2006/relationships/hyperlink" Target="https://docs.google.com/document/d/1yzhlayqWBky8AXVPehLnbSsd2UCMvZ0Z/edit#heading=h.14emjk9mq95r" TargetMode="External" Id="rId59" /><Relationship Type="http://schemas.openxmlformats.org/officeDocument/2006/relationships/hyperlink" Target="https://binance.okta.com/home/oidc_client/0oa4hfrexbwNWpV2a357/aln177a159h7Zf52X0g8" TargetMode="External" Id="rId14" /><Relationship Type="http://schemas.openxmlformats.org/officeDocument/2006/relationships/hyperlink" Target="https://docs.google.com/document/d/1EvrqLXv4vuNlNn_JYhttwiacCDjGwa81v-H1n9zAgbU/edit?tab=t.0" TargetMode="External" Id="rId58" /><Relationship Type="http://schemas.openxmlformats.org/officeDocument/2006/relationships/hyperlink" Target="https://app.elliptic.co/auth/login" TargetMode="External" Id="rId17" /><Relationship Type="http://schemas.openxmlformats.org/officeDocument/2006/relationships/hyperlink" Target="https://app.elliptic.co/auth/login" TargetMode="External" Id="rId16" /><Relationship Type="http://schemas.openxmlformats.org/officeDocument/2006/relationships/image" Target="media/image3.png" Id="rId19" /><Relationship Type="http://schemas.openxmlformats.org/officeDocument/2006/relationships/hyperlink" Target="https://kyt.chainalysis.com" TargetMode="External" Id="rId18" /></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s://confluence.toolsfdg.net/display/BD/Block+Tracer+Risk+Score+API+User+Guide" TargetMode="External"/><Relationship Id="rId2" Type="http://schemas.openxmlformats.org/officeDocument/2006/relationships/hyperlink" Target="https://www.elliptic.co/blog/analysis/the-top-ten-latest-crypto-crime-typologies" TargetMode="External"/><Relationship Id="rId3" Type="http://schemas.openxmlformats.org/officeDocument/2006/relationships/hyperlink" Target="https://docs.google.com/forms/d/e/1FAIpQLSf6JrmsU4gwJJ0U78OTcNL_PsKiVB8KmnhexydE7ah92bbSew/viewform" TargetMode="External"/><Relationship Id="rId4" Type="http://schemas.openxmlformats.org/officeDocument/2006/relationships/hyperlink" Target="https://confluence.toolsfdg.net/pages/viewpage.action?pageId=213527717" TargetMode="External"/><Relationship Id="rId5" Type="http://schemas.openxmlformats.org/officeDocument/2006/relationships/hyperlink" Target="https://docs.google.com/spreadsheets/d/1WfTgWW8JvcDyCMNqARPRdXsVZ7pO4Akt4d7fHWF_jFE/edit?gid=0#gid=0" TargetMode="Externa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2025-12-09T12:12:30.0000000Z</dcterms:created>
</coreProperties>
</file>