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B6B"/>
          <w:sz w:val="40"/>
        </w:rPr>
        <w:t>NKB MEDISERVICES</w:t>
      </w:r>
    </w:p>
    <w:p>
      <w:pPr>
        <w:jc w:val="center"/>
      </w:pPr>
      <w:r>
        <w:rPr>
          <w:b/>
          <w:color w:val="0B2B6B"/>
          <w:sz w:val="54"/>
        </w:rPr>
        <w:t>SLIDE 09 — INSIGHTS / BLOG</w:t>
      </w:r>
    </w:p>
    <w:p>
      <w:pPr>
        <w:jc w:val="center"/>
      </w:pPr>
      <w:r>
        <w:rPr>
          <w:sz w:val="26"/>
        </w:rPr>
        <w:t>Website-ready card copy + full “Read More” article content</w:t>
      </w:r>
    </w:p>
    <w:tbl>
      <w:tblPr>
        <w:tblW w:type="auto" w:w="0"/>
        <w:jc w:val="center"/>
        <w:tblLayout w:type="fixed"/>
        <w:tblLook w:firstColumn="1" w:firstRow="1" w:lastColumn="0" w:lastRow="0" w:noHBand="0" w:noVBand="1" w:val="04A0"/>
      </w:tblPr>
      <w:tblGrid>
        <w:gridCol w:w="9792"/>
      </w:tblGrid>
      <w:tr>
        <w:tc>
          <w:tcPr>
            <w:tcW w:type="dxa" w:w="10166"/>
            <w:shd w:fill="EEF3FA"/>
            <w:tcMar>
              <w:top w:w="180" w:type="dxa"/>
              <w:start w:w="220" w:type="dxa"/>
              <w:bottom w:w="180" w:type="dxa"/>
              <w:end w:w="220" w:type="dxa"/>
            </w:tcMar>
          </w:tcPr>
          <w:p>
            <w:r>
              <w:rPr>
                <w:b/>
                <w:color w:val="0B2B6B"/>
              </w:rPr>
              <w:t>How to use this document</w:t>
            </w:r>
          </w:p>
          <w:p>
            <w:r>
              <w:t>Use the “Website Card Copy” directly on Slide 09. Keep it concise so the cards remain clean. Link each Read More button to the corresponding expanded article provided in this document.</w:t>
            </w:r>
          </w:p>
        </w:tc>
      </w:tr>
    </w:tbl>
    <w:p>
      <w:pPr>
        <w:jc w:val="center"/>
      </w:pPr>
      <w:r>
        <w:rPr>
          <w:b/>
          <w:color w:val="0B2B6B"/>
        </w:rPr>
        <w:t>Recommended slide introduction</w:t>
      </w:r>
    </w:p>
    <w:p>
      <w:pPr>
        <w:pStyle w:val="Heading1"/>
        <w:jc w:val="center"/>
      </w:pPr>
      <w:r>
        <w:t>Insights &amp; Resources</w:t>
      </w:r>
    </w:p>
    <w:p>
      <w:pPr>
        <w:jc w:val="center"/>
      </w:pPr>
      <w:r>
        <w:t>Stay informed with practical updates on medical-device regulation, quality management, market access and compliance developments across the U.S. and European Union.</w:t>
      </w:r>
    </w:p>
    <w:p>
      <w:r>
        <w:br w:type="page"/>
      </w:r>
    </w:p>
    <w:p>
      <w:pPr>
        <w:pStyle w:val="Heading1"/>
      </w:pPr>
      <w:r>
        <w:t>Slide 09 — Copy to show on the three cards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0B2B6B"/>
            <w:tcMar>
              <w:top w:w="120" w:type="dxa"/>
              <w:start w:w="160" w:type="dxa"/>
              <w:bottom w:w="120" w:type="dxa"/>
              <w:end w:w="160" w:type="dxa"/>
            </w:tcMar>
            <w:vAlign w:val="center"/>
          </w:tcPr>
          <w:p>
            <w:r>
              <w:rPr>
                <w:b/>
                <w:color w:val="FFFFFF"/>
              </w:rPr>
              <w:t>Card</w:t>
            </w:r>
          </w:p>
        </w:tc>
        <w:tc>
          <w:tcPr>
            <w:tcW w:type="dxa" w:w="2541"/>
            <w:shd w:fill="0B2B6B"/>
            <w:tcMar>
              <w:top w:w="120" w:type="dxa"/>
              <w:start w:w="160" w:type="dxa"/>
              <w:bottom w:w="120" w:type="dxa"/>
              <w:end w:w="160" w:type="dxa"/>
            </w:tcMar>
            <w:vAlign w:val="center"/>
          </w:tcPr>
          <w:p>
            <w:r>
              <w:rPr>
                <w:b/>
                <w:color w:val="FFFFFF"/>
              </w:rPr>
              <w:t>Category</w:t>
            </w:r>
          </w:p>
        </w:tc>
        <w:tc>
          <w:tcPr>
            <w:tcW w:type="dxa" w:w="2541"/>
            <w:shd w:fill="0B2B6B"/>
            <w:tcMar>
              <w:top w:w="120" w:type="dxa"/>
              <w:start w:w="160" w:type="dxa"/>
              <w:bottom w:w="120" w:type="dxa"/>
              <w:end w:w="160" w:type="dxa"/>
            </w:tcMar>
            <w:vAlign w:val="center"/>
          </w:tcPr>
          <w:p>
            <w:r>
              <w:rPr>
                <w:b/>
                <w:color w:val="FFFFFF"/>
              </w:rPr>
              <w:t>Title</w:t>
            </w:r>
          </w:p>
        </w:tc>
        <w:tc>
          <w:tcPr>
            <w:tcW w:type="dxa" w:w="2541"/>
            <w:shd w:fill="0B2B6B"/>
            <w:tcMar>
              <w:top w:w="120" w:type="dxa"/>
              <w:start w:w="160" w:type="dxa"/>
              <w:bottom w:w="120" w:type="dxa"/>
              <w:end w:w="160" w:type="dxa"/>
            </w:tcMar>
            <w:vAlign w:val="center"/>
          </w:tcPr>
          <w:p>
            <w:r>
              <w:rPr>
                <w:b/>
                <w:color w:val="FFFFFF"/>
              </w:rPr>
              <w:t>Short teaser</w:t>
            </w:r>
          </w:p>
        </w:tc>
      </w:tr>
      <w:tr>
        <w:tc>
          <w:tcPr>
            <w:tcW w:type="dxa" w:w="2541"/>
            <w:tcMar>
              <w:top w:w="120" w:type="dxa"/>
              <w:start w:w="160" w:type="dxa"/>
              <w:bottom w:w="120" w:type="dxa"/>
              <w:end w:w="160" w:type="dxa"/>
            </w:tcMar>
            <w:vAlign w:val="center"/>
          </w:tcPr>
          <w:p>
            <w:r>
              <w:t>01</w:t>
            </w:r>
          </w:p>
        </w:tc>
        <w:tc>
          <w:tcPr>
            <w:tcW w:type="dxa" w:w="2541"/>
            <w:tcMar>
              <w:top w:w="120" w:type="dxa"/>
              <w:start w:w="160" w:type="dxa"/>
              <w:bottom w:w="120" w:type="dxa"/>
              <w:end w:w="160" w:type="dxa"/>
            </w:tcMar>
            <w:vAlign w:val="center"/>
          </w:tcPr>
          <w:p>
            <w:r>
              <w:t>REGULATORY NEWS</w:t>
            </w:r>
          </w:p>
        </w:tc>
        <w:tc>
          <w:tcPr>
            <w:tcW w:type="dxa" w:w="2541"/>
            <w:tcMar>
              <w:top w:w="120" w:type="dxa"/>
              <w:start w:w="160" w:type="dxa"/>
              <w:bottom w:w="120" w:type="dxa"/>
              <w:end w:w="160" w:type="dxa"/>
            </w:tcMar>
            <w:vAlign w:val="center"/>
          </w:tcPr>
          <w:p>
            <w:r>
              <w:t>FDA QMSR 2026: What Medical Device Manufacturers Need to Know</w:t>
            </w:r>
          </w:p>
        </w:tc>
        <w:tc>
          <w:tcPr>
            <w:tcW w:type="dxa" w:w="2541"/>
            <w:tcMar>
              <w:top w:w="120" w:type="dxa"/>
              <w:start w:w="160" w:type="dxa"/>
              <w:bottom w:w="120" w:type="dxa"/>
              <w:end w:w="160" w:type="dxa"/>
            </w:tcMar>
            <w:vAlign w:val="center"/>
          </w:tcPr>
          <w:p>
            <w:r>
              <w:t>QMSR is now effective. Understand the key changes, ISO 13485 alignment, record expectations and practical actions manufacturers should take for ongoing FDA compliance.</w:t>
            </w:r>
          </w:p>
        </w:tc>
      </w:tr>
      <w:tr>
        <w:tc>
          <w:tcPr>
            <w:tcW w:type="dxa" w:w="2541"/>
            <w:tcMar>
              <w:top w:w="120" w:type="dxa"/>
              <w:start w:w="160" w:type="dxa"/>
              <w:bottom w:w="120" w:type="dxa"/>
              <w:end w:w="160" w:type="dxa"/>
            </w:tcMar>
            <w:vAlign w:val="center"/>
          </w:tcPr>
          <w:p>
            <w:r>
              <w:t>02</w:t>
            </w:r>
          </w:p>
        </w:tc>
        <w:tc>
          <w:tcPr>
            <w:tcW w:type="dxa" w:w="2541"/>
            <w:tcMar>
              <w:top w:w="120" w:type="dxa"/>
              <w:start w:w="160" w:type="dxa"/>
              <w:bottom w:w="120" w:type="dxa"/>
              <w:end w:w="160" w:type="dxa"/>
            </w:tcMar>
            <w:vAlign w:val="center"/>
          </w:tcPr>
          <w:p>
            <w:r>
              <w:t>EU MDR UPDATE</w:t>
            </w:r>
          </w:p>
        </w:tc>
        <w:tc>
          <w:tcPr>
            <w:tcW w:type="dxa" w:w="2541"/>
            <w:tcMar>
              <w:top w:w="120" w:type="dxa"/>
              <w:start w:w="160" w:type="dxa"/>
              <w:bottom w:w="120" w:type="dxa"/>
              <w:end w:w="160" w:type="dxa"/>
            </w:tcMar>
            <w:vAlign w:val="center"/>
          </w:tcPr>
          <w:p>
            <w:r>
              <w:t>EU MDR 2026: EUDAMED, Classification &amp; Compliance Priorities</w:t>
            </w:r>
          </w:p>
        </w:tc>
        <w:tc>
          <w:tcPr>
            <w:tcW w:type="dxa" w:w="2541"/>
            <w:tcMar>
              <w:top w:w="120" w:type="dxa"/>
              <w:start w:w="160" w:type="dxa"/>
              <w:bottom w:w="120" w:type="dxa"/>
              <w:end w:w="160" w:type="dxa"/>
            </w:tcMar>
            <w:vAlign w:val="center"/>
          </w:tcPr>
          <w:p>
            <w:r>
              <w:t>EUDAMED’s first four modules are now mandatory. Review the registration, UDI/device, certificate and market-surveillance implications manufacturers should address now.</w:t>
            </w:r>
          </w:p>
        </w:tc>
      </w:tr>
      <w:tr>
        <w:tc>
          <w:tcPr>
            <w:tcW w:type="dxa" w:w="2541"/>
            <w:tcMar>
              <w:top w:w="120" w:type="dxa"/>
              <w:start w:w="160" w:type="dxa"/>
              <w:bottom w:w="120" w:type="dxa"/>
              <w:end w:w="160" w:type="dxa"/>
            </w:tcMar>
            <w:vAlign w:val="center"/>
          </w:tcPr>
          <w:p>
            <w:r>
              <w:t>03</w:t>
            </w:r>
          </w:p>
        </w:tc>
        <w:tc>
          <w:tcPr>
            <w:tcW w:type="dxa" w:w="2541"/>
            <w:tcMar>
              <w:top w:w="120" w:type="dxa"/>
              <w:start w:w="160" w:type="dxa"/>
              <w:bottom w:w="120" w:type="dxa"/>
              <w:end w:w="160" w:type="dxa"/>
            </w:tcMar>
            <w:vAlign w:val="center"/>
          </w:tcPr>
          <w:p>
            <w:r>
              <w:t>BEST PRACTICES</w:t>
            </w:r>
          </w:p>
        </w:tc>
        <w:tc>
          <w:tcPr>
            <w:tcW w:type="dxa" w:w="2541"/>
            <w:tcMar>
              <w:top w:w="120" w:type="dxa"/>
              <w:start w:w="160" w:type="dxa"/>
              <w:bottom w:w="120" w:type="dxa"/>
              <w:end w:w="160" w:type="dxa"/>
            </w:tcMar>
            <w:vAlign w:val="center"/>
          </w:tcPr>
          <w:p>
            <w:r>
              <w:t>FDA Medical Device Inspections in 2026: Preparing for the New QMSR Framework</w:t>
            </w:r>
          </w:p>
        </w:tc>
        <w:tc>
          <w:tcPr>
            <w:tcW w:type="dxa" w:w="2541"/>
            <w:tcMar>
              <w:top w:w="120" w:type="dxa"/>
              <w:start w:w="160" w:type="dxa"/>
              <w:bottom w:w="120" w:type="dxa"/>
              <w:end w:w="160" w:type="dxa"/>
            </w:tcMar>
            <w:vAlign w:val="center"/>
          </w:tcPr>
          <w:p>
            <w:r>
              <w:t>FDA has moved away from QSIT to the QMSR-aligned inspection process. Learn what investigators may review and how to strengthen inspection readiness.</w:t>
            </w:r>
          </w:p>
        </w:tc>
      </w:tr>
    </w:tbl>
    <w:p>
      <w:r>
        <w:br w:type="page"/>
      </w:r>
    </w:p>
    <w:p>
      <w:pPr>
        <w:pStyle w:val="Heading3"/>
      </w:pPr>
      <w:r>
        <w:t>INSIGHT 01  |  REGULATORY NEWS</w:t>
      </w:r>
    </w:p>
    <w:p>
      <w:pPr>
        <w:pStyle w:val="Title"/>
      </w:pPr>
      <w:r>
        <w:t>FDA QMSR 2026: What Medical Device Manufacturers Need to Know</w:t>
      </w:r>
    </w:p>
    <w:tbl>
      <w:tblPr>
        <w:tblW w:type="auto" w:w="0"/>
        <w:jc w:val="center"/>
        <w:tblLook w:firstColumn="1" w:firstRow="1" w:lastColumn="0" w:lastRow="0" w:noHBand="0" w:noVBand="1" w:val="04A0"/>
      </w:tblPr>
      <w:tblGrid>
        <w:gridCol w:w="10166"/>
      </w:tblGrid>
      <w:tr>
        <w:tc>
          <w:tcPr>
            <w:tcW w:type="dxa" w:w="10166"/>
            <w:shd w:fill="F4F7FB"/>
            <w:tcMar>
              <w:top w:w="180" w:type="dxa"/>
              <w:start w:w="220" w:type="dxa"/>
              <w:bottom w:w="180" w:type="dxa"/>
              <w:end w:w="220" w:type="dxa"/>
            </w:tcMar>
          </w:tcPr>
          <w:p>
            <w:r>
              <w:rPr>
                <w:b/>
                <w:color w:val="0B2B6B"/>
              </w:rPr>
              <w:t>WEBSITE CARD COPY</w:t>
            </w:r>
          </w:p>
          <w:p>
            <w:r>
              <w:t>The FDA Quality Management System Regulation (QMSR) became effective on February 2, 2026, aligning 21 CFR Part 820 more closely with ISO 13485:2016. Manufacturers should now confirm that procedures, records, management controls and inspection readiness reflect the new framework.</w:t>
            </w:r>
          </w:p>
          <w:p>
            <w:r>
              <w:rPr>
                <w:b/>
                <w:color w:val="0B2B6B"/>
              </w:rPr>
              <w:t>Button: Read More →</w:t>
            </w:r>
          </w:p>
        </w:tc>
      </w:tr>
    </w:tbl>
    <w:p>
      <w:pPr>
        <w:pStyle w:val="Heading2"/>
      </w:pPr>
      <w:r>
        <w:t>Suggested SEO meta description</w:t>
      </w:r>
    </w:p>
    <w:p>
      <w:r>
        <w:t>A practical overview of FDA QMSR 2026, ISO 13485 alignment, record expectations and actions medical device manufacturers should take to maintain compliance.</w:t>
      </w:r>
    </w:p>
    <w:p>
      <w:pPr>
        <w:pStyle w:val="Heading1"/>
      </w:pPr>
      <w:r>
        <w:t>Expanded “Read More” article</w:t>
      </w:r>
    </w:p>
    <w:p>
      <w:r>
        <w:rPr>
          <w:b/>
        </w:rPr>
        <w:t xml:space="preserve">For medical-device manufacturers, 2026 brings practical regulatory changes that should be translated into clear actions across quality, regulatory and operational teams. </w:t>
      </w:r>
    </w:p>
    <w:p>
      <w:pPr>
        <w:pStyle w:val="Heading2"/>
      </w:pPr>
      <w:r>
        <w:t>A major change is now in effect</w:t>
      </w:r>
    </w:p>
    <w:p>
      <w:r>
        <w:t>On February 2, 2026, FDA’s Quality Management System Regulation (QMSR) became effective. The revised 21 CFR Part 820 incorporates ISO 13485:2016 by reference and is intended to more closely align the U.S. medical-device quality framework with internationally recognized quality-management requirements.</w:t>
      </w:r>
    </w:p>
    <w:p>
      <w:pPr>
        <w:pStyle w:val="Heading2"/>
      </w:pPr>
      <w:r>
        <w:t>What changed for manufacturers</w:t>
      </w:r>
    </w:p>
    <w:p>
      <w:r>
        <w:t>The transition is more than a terminology update. Manufacturers should ensure that their quality management system is structured to meet the QMSR requirements together with other applicable FDA requirements. Companies that already operate an ISO 13485-certified QMS may have a strong foundation, but certification alone does not establish FDA compliance. U.S.-specific regulatory obligations still need to be addressed within procedures, records and day-to-day execution.</w:t>
      </w:r>
    </w:p>
    <w:p>
      <w:pPr>
        <w:pStyle w:val="Heading2"/>
      </w:pPr>
      <w:r>
        <w:t>Records require particular attention</w:t>
      </w:r>
    </w:p>
    <w:p>
      <w:r>
        <w:t>FDA has clarified that investigators may review QMS records created before the QMSR effective date when assessing compliance. The agency may also inspect records such as management review, quality audit and supplier audit reports that previously benefited from specific inspection exemptions under the former Quality System Regulation. This makes record completeness, consistency and traceability especially important.</w:t>
      </w:r>
    </w:p>
    <w:p>
      <w:pPr>
        <w:pStyle w:val="Heading2"/>
      </w:pPr>
      <w:r>
        <w:t>Practical actions to take now</w:t>
      </w:r>
    </w:p>
    <w:p>
      <w:r>
        <w:t>Manufacturers should perform a documented gap assessment between their existing system and the QMSR framework; update procedures and terminology where necessary; verify that U.S.-specific requirements are integrated into the QMS; assess supplier, complaint, CAPA, design and risk-management processes; confirm management-review and audit records are inspection-ready; and train relevant personnel on the new FDA expectations.</w:t>
      </w:r>
    </w:p>
    <w:p>
      <w:pPr>
        <w:pStyle w:val="Heading2"/>
      </w:pPr>
      <w:r>
        <w:t>The compliance objective</w:t>
      </w:r>
    </w:p>
    <w:p>
      <w:r>
        <w:t>The strongest approach is not simply to “convert” old procedures. Organizations should demonstrate that their QMS is implemented, effective and supported by objective evidence. A well-integrated system can reduce duplication between U.S. and international quality requirements while improving inspection readiness and operational consistency.</w:t>
      </w:r>
    </w:p>
    <w:tbl>
      <w:tblPr>
        <w:tblW w:type="auto" w:w="0"/>
        <w:jc w:val="center"/>
        <w:tblLook w:firstColumn="1" w:firstRow="1" w:lastColumn="0" w:lastRow="0" w:noHBand="0" w:noVBand="1" w:val="04A0"/>
      </w:tblPr>
      <w:tblGrid>
        <w:gridCol w:w="10166"/>
      </w:tblGrid>
      <w:tr>
        <w:tc>
          <w:tcPr>
            <w:tcW w:type="dxa" w:w="10166"/>
            <w:shd w:fill="0B2B6B"/>
            <w:tcMar>
              <w:top w:w="180" w:type="dxa"/>
              <w:start w:w="220" w:type="dxa"/>
              <w:bottom w:w="180" w:type="dxa"/>
              <w:end w:w="220" w:type="dxa"/>
            </w:tcMar>
          </w:tcPr>
          <w:p>
            <w:r>
              <w:rPr>
                <w:b/>
                <w:color w:val="FFFFFF"/>
              </w:rPr>
              <w:t>Suggested closing CTA</w:t>
            </w:r>
          </w:p>
          <w:p>
            <w:r>
              <w:rPr>
                <w:color w:val="FFFFFF"/>
              </w:rPr>
              <w:t>Need support assessing your QMS against the FDA QMSR? NKB Mediservices can help with gap assessment, procedure alignment, internal audits and inspection-readiness support.</w:t>
            </w:r>
          </w:p>
        </w:tc>
      </w:tr>
    </w:tbl>
    <w:p>
      <w:r>
        <w:br w:type="page"/>
      </w:r>
    </w:p>
    <w:p>
      <w:pPr>
        <w:pStyle w:val="Heading3"/>
      </w:pPr>
      <w:r>
        <w:t>INSIGHT 02  |  EU MDR UPDATE</w:t>
      </w:r>
    </w:p>
    <w:p>
      <w:pPr>
        <w:pStyle w:val="Title"/>
      </w:pPr>
      <w:r>
        <w:t>EU MDR 2026: EUDAMED, Classification &amp; Compliance Priorities</w:t>
      </w:r>
    </w:p>
    <w:tbl>
      <w:tblPr>
        <w:tblW w:type="auto" w:w="0"/>
        <w:jc w:val="center"/>
        <w:tblLook w:firstColumn="1" w:firstRow="1" w:lastColumn="0" w:lastRow="0" w:noHBand="0" w:noVBand="1" w:val="04A0"/>
      </w:tblPr>
      <w:tblGrid>
        <w:gridCol w:w="10166"/>
      </w:tblGrid>
      <w:tr>
        <w:tc>
          <w:tcPr>
            <w:tcW w:type="dxa" w:w="10166"/>
            <w:shd w:fill="F4F7FB"/>
            <w:tcMar>
              <w:top w:w="180" w:type="dxa"/>
              <w:start w:w="220" w:type="dxa"/>
              <w:bottom w:w="180" w:type="dxa"/>
              <w:end w:w="220" w:type="dxa"/>
            </w:tcMar>
          </w:tcPr>
          <w:p>
            <w:r>
              <w:rPr>
                <w:b/>
                <w:color w:val="0B2B6B"/>
              </w:rPr>
              <w:t>WEBSITE CARD COPY</w:t>
            </w:r>
          </w:p>
          <w:p>
            <w:r>
              <w:t>From 28 May 2026, the first four EUDAMED modules became mandatory: Actor Registration, UDI/Device Registration, Notified Bodies &amp; Certificates, and Market Surveillance. Manufacturers should verify data readiness, responsibilities and ongoing MDR compliance processes.</w:t>
            </w:r>
          </w:p>
          <w:p>
            <w:r>
              <w:rPr>
                <w:b/>
                <w:color w:val="0B2B6B"/>
              </w:rPr>
              <w:t>Button: Read More →</w:t>
            </w:r>
          </w:p>
        </w:tc>
      </w:tr>
    </w:tbl>
    <w:p>
      <w:pPr>
        <w:pStyle w:val="Heading2"/>
      </w:pPr>
      <w:r>
        <w:t>Suggested SEO meta description</w:t>
      </w:r>
    </w:p>
    <w:p>
      <w:r>
        <w:t>EU MDR 2026 update covering mandatory EUDAMED modules, UDI/device registration, certificates, market surveillance and practical manufacturer priorities.</w:t>
      </w:r>
    </w:p>
    <w:p>
      <w:pPr>
        <w:pStyle w:val="Heading1"/>
      </w:pPr>
      <w:r>
        <w:t>Expanded “Read More” article</w:t>
      </w:r>
    </w:p>
    <w:p>
      <w:r>
        <w:rPr>
          <w:b/>
        </w:rPr>
        <w:t xml:space="preserve">For medical-device manufacturers, 2026 brings practical regulatory changes that should be translated into clear actions across quality, regulatory and operational teams. </w:t>
      </w:r>
    </w:p>
    <w:p>
      <w:pPr>
        <w:pStyle w:val="Heading2"/>
      </w:pPr>
      <w:r>
        <w:t>EUDAMED has moved into mandatory use</w:t>
      </w:r>
    </w:p>
    <w:p>
      <w:r>
        <w:t>A significant EU medical-device compliance milestone took effect on 28 May 2026. The European Commission made the first four EUDAMED modules mandatory: Actor Registration; UDI/Device Registration; Notified Bodies &amp; Certificates; and Market Surveillance. This changes EUDAMED from a largely voluntary preparation activity into a core operational compliance requirement for relevant economic operators.</w:t>
      </w:r>
    </w:p>
    <w:p>
      <w:pPr>
        <w:pStyle w:val="Heading2"/>
      </w:pPr>
      <w:r>
        <w:t>Why this matters</w:t>
      </w:r>
    </w:p>
    <w:p>
      <w:r>
        <w:t>EUDAMED is designed to improve transparency, traceability and coordination across the European medical-device system. Manufacturers now need reliable processes for maintaining accurate actor and device data, ensuring appropriate UDI information, supporting certificate data flows and responding to market-surveillance requirements.</w:t>
      </w:r>
    </w:p>
    <w:p>
      <w:pPr>
        <w:pStyle w:val="Heading2"/>
      </w:pPr>
      <w:r>
        <w:t>Device data and UDI readiness</w:t>
      </w:r>
    </w:p>
    <w:p>
      <w:r>
        <w:t>Manufacturers placing devices on the EU market should confirm that required UDI/device information is correctly prepared and entered into EUDAMED. Data governance is important: product names, Basic UDI-DI relationships, identifiers, certificates and other regulatory information should be consistent across technical documentation, labels, declarations and database records.</w:t>
      </w:r>
    </w:p>
    <w:p>
      <w:pPr>
        <w:pStyle w:val="Heading2"/>
      </w:pPr>
      <w:r>
        <w:t>Classification and regulatory strategy remain critical</w:t>
      </w:r>
    </w:p>
    <w:p>
      <w:r>
        <w:t>EUDAMED implementation does not replace the broader MDR obligations. Manufacturers should continue to verify device classification, conformity-assessment routes, clinical-evaluation evidence, post-market surveillance, vigilance, technical documentation and economic-operator responsibilities. Classification decisions should be justified and documented because they influence the regulatory pathway and evidence requirements.</w:t>
      </w:r>
    </w:p>
    <w:p>
      <w:pPr>
        <w:pStyle w:val="Heading2"/>
      </w:pPr>
      <w:r>
        <w:t>Practical priorities for 2026</w:t>
      </w:r>
    </w:p>
    <w:p>
      <w:r>
        <w:t>Organizations should assign clear EUDAMED ownership, validate actor and device master data, establish change-control rules for database updates, reconcile certificates and UDI information, review internal procedures for mandatory module use, train regulatory and quality teams, and maintain readiness for authority or notified-body questions. Companies with large portfolios should consider a structured data-remediation exercise rather than handling registrations reactively.</w:t>
      </w:r>
    </w:p>
    <w:p>
      <w:pPr>
        <w:pStyle w:val="Heading2"/>
      </w:pPr>
      <w:r>
        <w:t>Build compliance into normal operations</w:t>
      </w:r>
    </w:p>
    <w:p>
      <w:r>
        <w:t>EUDAMED should be treated as part of the product lifecycle rather than a one-time registration task. Connecting database maintenance to regulatory change control, labeling, certification and post-market processes will help reduce inconsistent data and late updates.</w:t>
      </w:r>
    </w:p>
    <w:tbl>
      <w:tblPr>
        <w:tblW w:type="auto" w:w="0"/>
        <w:jc w:val="center"/>
        <w:tblLook w:firstColumn="1" w:firstRow="1" w:lastColumn="0" w:lastRow="0" w:noHBand="0" w:noVBand="1" w:val="04A0"/>
      </w:tblPr>
      <w:tblGrid>
        <w:gridCol w:w="10166"/>
      </w:tblGrid>
      <w:tr>
        <w:tc>
          <w:tcPr>
            <w:tcW w:type="dxa" w:w="10166"/>
            <w:shd w:fill="0B2B6B"/>
            <w:tcMar>
              <w:top w:w="180" w:type="dxa"/>
              <w:start w:w="220" w:type="dxa"/>
              <w:bottom w:w="180" w:type="dxa"/>
              <w:end w:w="220" w:type="dxa"/>
            </w:tcMar>
          </w:tcPr>
          <w:p>
            <w:r>
              <w:rPr>
                <w:b/>
                <w:color w:val="FFFFFF"/>
              </w:rPr>
              <w:t>Suggested closing CTA</w:t>
            </w:r>
          </w:p>
          <w:p>
            <w:r>
              <w:rPr>
                <w:color w:val="FFFFFF"/>
              </w:rPr>
              <w:t>Need help with EU MDR strategy or EUDAMED readiness? NKB Mediservices can support classification reviews, technical documentation, UDI/device data preparation and regulatory compliance planning.</w:t>
            </w:r>
          </w:p>
        </w:tc>
      </w:tr>
    </w:tbl>
    <w:p>
      <w:r>
        <w:br w:type="page"/>
      </w:r>
    </w:p>
    <w:p>
      <w:pPr>
        <w:pStyle w:val="Heading3"/>
      </w:pPr>
      <w:r>
        <w:t>INSIGHT 03  |  BEST PRACTICES</w:t>
      </w:r>
    </w:p>
    <w:p>
      <w:pPr>
        <w:pStyle w:val="Title"/>
      </w:pPr>
      <w:r>
        <w:t>FDA Medical Device Inspections in 2026: Preparing for the New QMSR Framework</w:t>
      </w:r>
    </w:p>
    <w:tbl>
      <w:tblPr>
        <w:tblW w:type="auto" w:w="0"/>
        <w:jc w:val="center"/>
        <w:tblLook w:firstColumn="1" w:firstRow="1" w:lastColumn="0" w:lastRow="0" w:noHBand="0" w:noVBand="1" w:val="04A0"/>
      </w:tblPr>
      <w:tblGrid>
        <w:gridCol w:w="10166"/>
      </w:tblGrid>
      <w:tr>
        <w:tc>
          <w:tcPr>
            <w:tcW w:type="dxa" w:w="10166"/>
            <w:shd w:fill="F4F7FB"/>
            <w:tcMar>
              <w:top w:w="180" w:type="dxa"/>
              <w:start w:w="220" w:type="dxa"/>
              <w:bottom w:w="180" w:type="dxa"/>
              <w:end w:w="220" w:type="dxa"/>
            </w:tcMar>
          </w:tcPr>
          <w:p>
            <w:r>
              <w:rPr>
                <w:b/>
                <w:color w:val="0B2B6B"/>
              </w:rPr>
              <w:t>WEBSITE CARD COPY</w:t>
            </w:r>
          </w:p>
          <w:p>
            <w:r>
              <w:t>FDA stopped using QSIT on February 2, 2026 and now conducts device inspections under Compliance Program 7382.850. Inspection readiness should focus on an effective QMS, accessible records and consistent evidence across quality processes.</w:t>
            </w:r>
          </w:p>
          <w:p>
            <w:r>
              <w:rPr>
                <w:b/>
                <w:color w:val="0B2B6B"/>
              </w:rPr>
              <w:t>Button: Read More →</w:t>
            </w:r>
          </w:p>
        </w:tc>
      </w:tr>
    </w:tbl>
    <w:p>
      <w:pPr>
        <w:pStyle w:val="Heading2"/>
      </w:pPr>
      <w:r>
        <w:t>Suggested SEO meta description</w:t>
      </w:r>
    </w:p>
    <w:p>
      <w:r>
        <w:t>How to prepare for FDA medical-device inspections under the 2026 QMSR-aligned Compliance Program 7382.850, including records, audits and readiness practices.</w:t>
      </w:r>
    </w:p>
    <w:p>
      <w:pPr>
        <w:pStyle w:val="Heading1"/>
      </w:pPr>
      <w:r>
        <w:t>Expanded “Read More” article</w:t>
      </w:r>
    </w:p>
    <w:p>
      <w:r>
        <w:rPr>
          <w:b/>
        </w:rPr>
        <w:t xml:space="preserve">For medical-device manufacturers, 2026 brings practical regulatory changes that should be translated into clear actions across quality, regulatory and operational teams. </w:t>
      </w:r>
    </w:p>
    <w:p>
      <w:pPr>
        <w:pStyle w:val="Heading2"/>
      </w:pPr>
      <w:r>
        <w:t>QSIT has been replaced</w:t>
      </w:r>
    </w:p>
    <w:p>
      <w:r>
        <w:t>Beginning February 2, 2026, FDA stopped using the Quality System Inspection Technique (QSIT) for medical-device inspections. Inspections are now conducted using the updated Inspection of Medical Device Manufacturers Compliance Program, CP 7382.850, which aligns the inspection process with the QMSR.</w:t>
      </w:r>
    </w:p>
    <w:p>
      <w:pPr>
        <w:pStyle w:val="Heading2"/>
      </w:pPr>
      <w:r>
        <w:t>Expect a system-level assessment</w:t>
      </w:r>
    </w:p>
    <w:p>
      <w:r>
        <w:t>The best preparation is a QMS that works consistently in practice. Investigators may evaluate whether procedures are implemented, whether records support the claimed process, and whether quality issues are identified, investigated and corrected appropriately. A polished SOP without matching evidence can create greater scrutiny rather than confidence.</w:t>
      </w:r>
    </w:p>
    <w:p>
      <w:pPr>
        <w:pStyle w:val="Heading2"/>
      </w:pPr>
      <w:r>
        <w:t>More records may be available for review</w:t>
      </w:r>
    </w:p>
    <w:p>
      <w:r>
        <w:t>FDA’s QMSR FAQ confirms that investigators may review records created before February 2, 2026 when determining compliance. Importantly, the QMSR no longer maintains the prior inspection exemptions for management-review, quality-audit and supplier-audit reports. Companies should therefore ensure these records are complete, controlled and suitable for regulatory review.</w:t>
      </w:r>
    </w:p>
    <w:p>
      <w:pPr>
        <w:pStyle w:val="Heading2"/>
      </w:pPr>
      <w:r>
        <w:t>Inspection-readiness checklist</w:t>
      </w:r>
    </w:p>
    <w:p>
      <w:r>
        <w:t>Maintain current organizational and facility information; ensure requested records can be retrieved promptly; verify CAPA, complaint, nonconformance and supplier-control files for consistency; confirm design and development records are traceable where applicable; review management-review and internal-audit outputs; verify training records; assess risk-management linkages; and conduct a realistic mock inspection using representative records.</w:t>
      </w:r>
    </w:p>
    <w:p>
      <w:pPr>
        <w:pStyle w:val="Heading2"/>
      </w:pPr>
      <w:r>
        <w:t>Prepare people as well as documents</w:t>
      </w:r>
    </w:p>
    <w:p>
      <w:r>
        <w:t>Subject-matter experts should understand their processes and be able to explain them clearly and accurately. Responses should be factual, concise and supported by records. Teams should know how inspection requests are logged, who approves document release, how copies are controlled and how emerging observations are escalated internally.</w:t>
      </w:r>
    </w:p>
    <w:p>
      <w:pPr>
        <w:pStyle w:val="Heading2"/>
      </w:pPr>
      <w:r>
        <w:t>Use the transition as an improvement opportunity</w:t>
      </w:r>
    </w:p>
    <w:p>
      <w:r>
        <w:t>The change from QSIT to the QMSR-aligned inspection process is an opportunity to reduce fragmented compliance practices. Organizations that integrate ISO 13485 principles, FDA-specific requirements and risk-based quality management into one coherent system will be better positioned for both inspections and routine operations.</w:t>
      </w:r>
    </w:p>
    <w:tbl>
      <w:tblPr>
        <w:tblW w:type="auto" w:w="0"/>
        <w:jc w:val="center"/>
        <w:tblLook w:firstColumn="1" w:firstRow="1" w:lastColumn="0" w:lastRow="0" w:noHBand="0" w:noVBand="1" w:val="04A0"/>
      </w:tblPr>
      <w:tblGrid>
        <w:gridCol w:w="10166"/>
      </w:tblGrid>
      <w:tr>
        <w:tc>
          <w:tcPr>
            <w:tcW w:type="dxa" w:w="10166"/>
            <w:shd w:fill="0B2B6B"/>
            <w:tcMar>
              <w:top w:w="180" w:type="dxa"/>
              <w:start w:w="220" w:type="dxa"/>
              <w:bottom w:w="180" w:type="dxa"/>
              <w:end w:w="220" w:type="dxa"/>
            </w:tcMar>
          </w:tcPr>
          <w:p>
            <w:r>
              <w:rPr>
                <w:b/>
                <w:color w:val="FFFFFF"/>
              </w:rPr>
              <w:t>Suggested closing CTA</w:t>
            </w:r>
          </w:p>
          <w:p>
            <w:r>
              <w:rPr>
                <w:color w:val="FFFFFF"/>
              </w:rPr>
              <w:t>Preparing for an FDA inspection? NKB Mediservices can support QMSR gap assessments, mock inspections, CAPA remediation, supplier-quality reviews and inspection-readiness programs.</w:t>
            </w:r>
          </w:p>
        </w:tc>
      </w:tr>
    </w:tbl>
    <w:p>
      <w:r>
        <w:br w:type="page"/>
      </w:r>
    </w:p>
    <w:p>
      <w:pPr>
        <w:pStyle w:val="Title"/>
      </w:pPr>
      <w:r>
        <w:t>Implementation Notes for Slide 09</w:t>
      </w:r>
    </w:p>
    <w:p>
      <w:pPr>
        <w:pStyle w:val="Heading2"/>
      </w:pPr>
      <w:r>
        <w:t>Card length</w:t>
      </w:r>
    </w:p>
    <w:p>
      <w:r>
        <w:t>Keep each card teaser to approximately 35–55 words. The purpose of the card is to create interest, not to contain the entire article.</w:t>
      </w:r>
    </w:p>
    <w:p>
      <w:pPr>
        <w:pStyle w:val="Heading2"/>
      </w:pPr>
      <w:r>
        <w:t>Dates</w:t>
      </w:r>
    </w:p>
    <w:p>
      <w:r>
        <w:t>Use the actual publication date when the article goes live. Do not reuse the 2024 dates shown in the visual mock-up for these 2026 topics.</w:t>
      </w:r>
    </w:p>
    <w:p>
      <w:pPr>
        <w:pStyle w:val="Heading2"/>
      </w:pPr>
      <w:r>
        <w:t>Read More</w:t>
      </w:r>
    </w:p>
    <w:p>
      <w:r>
        <w:t>Each Read More button should open a dedicated article page with the corresponding expanded copy in this document.</w:t>
      </w:r>
    </w:p>
    <w:p>
      <w:pPr>
        <w:pStyle w:val="Heading2"/>
      </w:pPr>
      <w:r>
        <w:t>Visuals</w:t>
      </w:r>
    </w:p>
    <w:p>
      <w:r>
        <w:t>Card 1: FDA/QMSR quality-system visual. Card 2: EU/EUDAMED or EU MDR visual. Card 3: FDA inspection/readiness visual. Avoid using official agency seals in a way that could imply endorsement.</w:t>
      </w:r>
    </w:p>
    <w:p>
      <w:pPr>
        <w:pStyle w:val="Heading2"/>
      </w:pPr>
      <w:r>
        <w:t>Disclaimer</w:t>
      </w:r>
    </w:p>
    <w:p>
      <w:r>
        <w:t>Consider adding a standard website footer note: “This content is for general informational purposes and does not constitute legal or regulatory advice.”</w:t>
      </w:r>
    </w:p>
    <w:p>
      <w:pPr>
        <w:pStyle w:val="Heading1"/>
      </w:pPr>
      <w:r>
        <w:t>Official source references used for drafting</w:t>
      </w:r>
    </w:p>
    <w:p>
      <w:r>
        <w:rPr>
          <w:b/>
        </w:rPr>
        <w:t xml:space="preserve">FDA — Quality Management System Regulation (QMSR): </w:t>
      </w:r>
      <w:r>
        <w:t>https://www.fda.gov/medical-devices/postmarket-requirements-devices/quality-management-system-regulation-qmsr</w:t>
      </w:r>
    </w:p>
    <w:p>
      <w:r>
        <w:rPr>
          <w:b/>
        </w:rPr>
        <w:t xml:space="preserve">FDA — QMSR Frequently Asked Questions: </w:t>
      </w:r>
      <w:r>
        <w:t>https://www.fda.gov/medical-devices/quality-management-system-regulation-qmsr/quality-management-system-regulation-frequently-asked-questions</w:t>
      </w:r>
    </w:p>
    <w:p>
      <w:r>
        <w:rPr>
          <w:b/>
        </w:rPr>
        <w:t xml:space="preserve">FDA — CDRH Compliance Programs / CP 7382.850: </w:t>
      </w:r>
      <w:r>
        <w:t>https://www.fda.gov/medical-devices/quality-and-compliance-medical-devices/center-devices-and-radiological-health-cdrh-compliance-programs</w:t>
      </w:r>
    </w:p>
    <w:p>
      <w:r>
        <w:rPr>
          <w:b/>
        </w:rPr>
        <w:t xml:space="preserve">European Commission — EUDAMED Overview: </w:t>
      </w:r>
      <w:r>
        <w:t>https://health.ec.europa.eu/medical-devices-eudamed/overview_en</w:t>
      </w:r>
    </w:p>
    <w:p>
      <w:r>
        <w:rPr>
          <w:b/>
        </w:rPr>
        <w:t xml:space="preserve">European Commission — EUDAMED Getting Ready: </w:t>
      </w:r>
      <w:r>
        <w:t>https://health.ec.europa.eu/medical-devices-eudamed/getting-ready_en</w:t>
      </w:r>
    </w:p>
    <w:p>
      <w:r>
        <w:rPr>
          <w:b/>
        </w:rPr>
        <w:t xml:space="preserve">Drafting note: </w:t>
      </w:r>
      <w:r>
        <w:t>The source references are included for internal verification. They do not need to appear inside the visual Slide 09 cards.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B6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B2B6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B6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