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Times New Roman" w:hAnsi="Times New Roman" w:cs="Times New Roman" w:asciiTheme="minorHAnsi" w:cstheme="minorHAnsi" w:hAnsiTheme="minorHAnsi"/>
        </w:rPr>
      </w:pPr>
      <w:r>
        <w:rPr>
          <w:rFonts w:cs="Times New Roman" w:cstheme="minorHAnsi"/>
        </w:rPr>
        <w:t>Analisis Teori Hukum Terhadap Rekonseptualisasi Asas Legalitas Dan Keadilan Restoratif dalam Undang-undang Nomor 1 Tahun 2023 Tentang Kitab Undang-undang Hukum Pidana</w:t>
        <w:br/>
      </w:r>
      <w:r>
        <w:rPr>
          <w:rFonts w:cs="Times New Roman" w:cstheme="minorHAnsi"/>
          <w:i/>
          <w:iCs/>
          <w:lang w:val="en-US"/>
        </w:rPr>
        <w:t>Legal Theory Analysis on The Reconceptualization of The Legality Principle and Restorative Justice in Law Number 1 of 2023 On The Criminal Code</w:t>
      </w:r>
    </w:p>
    <w:p>
      <w:pPr>
        <w:pStyle w:val="Heading1"/>
        <w:ind w:hanging="360" w:start="360"/>
        <w:rPr>
          <w:rFonts w:ascii="Times New Roman" w:hAnsi="Times New Roman" w:cs="Times New Roman" w:asciiTheme="minorHAnsi" w:cstheme="minorHAnsi" w:hAnsiTheme="minorHAnsi"/>
        </w:rPr>
      </w:pPr>
      <w:r>
        <w:rPr>
          <w:rFonts w:cs="Times New Roman" w:cstheme="minorHAnsi"/>
        </w:rPr>
        <w:t>Pendahuluan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Pengesahan Undang-Undang Nomor 1 Tahun 2023 tentang Kitab Undang-Undang Hukum Pidana (KUHP Baru) menandai babak baru dalam transformasi tatanan hukum pidana materiil di Indonesia. Kodifikasi ini mengakhiri keberlakuan </w:t>
      </w:r>
      <w:r>
        <w:rPr>
          <w:rFonts w:cs="Times New Roman" w:cstheme="minorHAnsi"/>
          <w:i/>
          <w:iCs/>
        </w:rPr>
        <w:t>Wetboek van Strafrecht voor Nederlandsch-Indie</w:t>
      </w:r>
      <w:r>
        <w:rPr>
          <w:rFonts w:cs="Times New Roman" w:cstheme="minorHAnsi"/>
        </w:rPr>
        <w:t xml:space="preserve"> (WvS) warisan kolonial yang telah diterapkan selama lebih dari satu abad. Transformasi tersebut bukan sekadar pembaruan redaksional atas pasal-pasal pidana, melainkan reorientasi paradigmatik dan dekolonisasi fundamental terhadap landasan filosofis hukum pidana nasional (Koto &amp; Poeloengan, 2022: 81). WvS bertumpu pada doktrin keadilan retributif klasik yang berorientasi tunggal pada pembalasan terhadap perbuatan (</w:t>
      </w:r>
      <w:r>
        <w:rPr>
          <w:rFonts w:cs="Times New Roman" w:cstheme="minorHAnsi"/>
          <w:i/>
          <w:iCs/>
        </w:rPr>
        <w:t>daadstrafrecht</w:t>
      </w:r>
      <w:r>
        <w:rPr>
          <w:rFonts w:cs="Times New Roman" w:cstheme="minorHAnsi"/>
        </w:rPr>
        <w:t>), sedangkan KUHP Baru mengadopsi paradigma hukum pidana modern yang mengintegrasikan keadilan korektif, rehabilitatif, dan restoratif dengan memperhatikan perbuatan serta keadaan pribadi pelaku (</w:t>
      </w:r>
      <w:r>
        <w:rPr>
          <w:rFonts w:cs="Times New Roman" w:cstheme="minorHAnsi"/>
          <w:i/>
          <w:iCs/>
        </w:rPr>
        <w:t>daad-daderstrafrecht</w:t>
      </w:r>
      <w:r>
        <w:rPr>
          <w:rFonts w:cs="Times New Roman" w:cstheme="minorHAnsi"/>
        </w:rPr>
        <w:t>) (Iswanto &amp; Amaliah, 2026: 48).</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Pergeseran paradigma tersebut mewujud dalam dua pembaruan substansial pada Buku Kesatu KUHP Baru. Pertama, perluasan Asas Legalitas dari yang semula murni berorientasi formal legistik (</w:t>
      </w:r>
      <w:r>
        <w:rPr>
          <w:rFonts w:cs="Times New Roman" w:cstheme="minorHAnsi"/>
          <w:i/>
          <w:iCs/>
        </w:rPr>
        <w:t>nullum delictum nulla poena sine lege praevia</w:t>
      </w:r>
      <w:r>
        <w:rPr>
          <w:rFonts w:cs="Times New Roman" w:cstheme="minorHAnsi"/>
        </w:rPr>
        <w:t>) sebagaimana diatur dalam Pasal 1 ayat (1), menjadi pengakuan terhadap Asas Legalitas Materiil melalui pelembagaan hukum yang hidup dalam masyarakat (</w:t>
      </w:r>
      <w:r>
        <w:rPr>
          <w:rFonts w:cs="Times New Roman" w:cstheme="minorHAnsi"/>
          <w:i/>
          <w:iCs/>
        </w:rPr>
        <w:t>living law</w:t>
      </w:r>
      <w:r>
        <w:rPr>
          <w:rFonts w:cs="Times New Roman" w:cstheme="minorHAnsi"/>
        </w:rPr>
        <w:t>) pada Pasal 2 ayat (1). Kedua, pengakuan eksplisit terhadap Keadilan Restoratif (</w:t>
      </w:r>
      <w:r>
        <w:rPr>
          <w:rFonts w:cs="Times New Roman" w:cstheme="minorHAnsi"/>
          <w:i/>
          <w:iCs/>
        </w:rPr>
        <w:t>restorative justice</w:t>
      </w:r>
      <w:r>
        <w:rPr>
          <w:rFonts w:cs="Times New Roman" w:cstheme="minorHAnsi"/>
        </w:rPr>
        <w:t>) sebagai pedoman pemidanaan dan dasar modifikasi sanksi pidana, termasuk pelembagaan asas pemaafan hakim (</w:t>
      </w:r>
      <w:r>
        <w:rPr>
          <w:rFonts w:cs="Times New Roman" w:cstheme="minorHAnsi"/>
          <w:i/>
          <w:iCs/>
        </w:rPr>
        <w:t>judicial pardon</w:t>
      </w:r>
      <w:r>
        <w:rPr>
          <w:rFonts w:cs="Times New Roman" w:cstheme="minorHAnsi"/>
        </w:rPr>
        <w:t>) dalam Pasal 54 ayat (1) huruf c dan Pasal 56 (Dewantara &amp; Fransisca, 2024: 226). Kedua konsep hukum baru ini memperlihatkan upaya pembentuk undang-undang untuk menyatukan nilai-nilai filosofis Pancasila ke dalam tata hukum pidana positif.</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Secara akademis, diskursus pembaharuan hukum pidana Indonesia telah banyak dikaji dari berbagai perspektif (</w:t>
      </w:r>
      <w:r>
        <w:rPr>
          <w:rFonts w:cs="Times New Roman" w:cstheme="minorHAnsi"/>
          <w:i/>
          <w:iCs/>
        </w:rPr>
        <w:t>state of the art</w:t>
      </w:r>
      <w:r>
        <w:rPr>
          <w:rFonts w:cs="Times New Roman" w:cstheme="minorHAnsi"/>
        </w:rPr>
        <w:t xml:space="preserve">). Kajian yang dilakukan oleh Widiartana, Setyawan, dan Anditya (2025: 642) menyoroti pelembagaan keadilan restoratif dalam tindak pidana tertentu, dengan kesimpulan bahwa pendekatan </w:t>
      </w:r>
      <w:r>
        <w:rPr>
          <w:rFonts w:cs="Times New Roman" w:cstheme="minorHAnsi"/>
          <w:i/>
          <w:iCs/>
        </w:rPr>
        <w:t>non-punitive</w:t>
      </w:r>
      <w:r>
        <w:rPr>
          <w:rFonts w:cs="Times New Roman" w:cstheme="minorHAnsi"/>
        </w:rPr>
        <w:t xml:space="preserve"> lebih efektif menjaga stabilitas relasi sosial dibandingkan pemidanaan konvensional. Di sisi lain, Hambali, Salle, Zainuddin, dan Risma (2025: 1178) menganalisis reposisi hukum pidana narkotika dari kriminalisasi menuju restorasi medis dan sosial, yang menegaskan urgensi dekriminalisasi </w:t>
      </w:r>
      <w:r>
        <w:rPr>
          <w:rFonts w:cs="Times New Roman" w:cstheme="minorHAnsi"/>
          <w:i/>
          <w:iCs/>
        </w:rPr>
        <w:t>de facto</w:t>
      </w:r>
      <w:r>
        <w:rPr>
          <w:rFonts w:cs="Times New Roman" w:cstheme="minorHAnsi"/>
        </w:rPr>
        <w:t xml:space="preserve"> untuk mengatasi problem kelebihan kapasitas lembaga pemasyarakatan. Sementara itu, Silalahi dan Sari (2026: 398) meneliti implikasi pembaruan hukum acara terhadap kewenangan kelembagaan penegak hukum, menyoroti potensi tumpang tindih diskresi dalam implementasi keadilan restoratif di tingkat kepolisian dan kejaksaan. Terkait tindak pidana ekonomi dan korporasi, Ardiansyah, Zulfa, dan Koto (2022: 7916) serta Sari dan Nata (2023: 19) menggarisbawahi perlunya adaptasi hukum pidana kontemporer terhadap modus kejahatan transnasional dan korporasi yang terorganisasi.</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Meskipun literatur terdahulu telah mengkaji aspek normatif dan sosiologis dari perubahan ketentuan pidana, terdapat kesenjangan teoretis dan yuridis (</w:t>
      </w:r>
      <w:r>
        <w:rPr>
          <w:rFonts w:cs="Times New Roman" w:cstheme="minorHAnsi"/>
          <w:i/>
          <w:iCs/>
        </w:rPr>
        <w:t>gap analysis</w:t>
      </w:r>
      <w:r>
        <w:rPr>
          <w:rFonts w:cs="Times New Roman" w:cstheme="minorHAnsi"/>
        </w:rPr>
        <w:t xml:space="preserve">) yang belum dibedah secara komprehensif. Sebagian besar kajian terdahulu memandang norma-norma baru dalam KUHP 2023 sebagai produk kebijakan legislatif yang terpisah dari evolusi teori hukum. Belum banyak penelitian yang menganalisis pelembagaan Asas Legalitas Materiil dan Keadilan Restoratif menggunakan dialektika antara Positivisme Hukum Abad ke-19, </w:t>
      </w:r>
      <w:r>
        <w:rPr>
          <w:rFonts w:cs="Times New Roman" w:cstheme="minorHAnsi"/>
          <w:i/>
          <w:iCs/>
        </w:rPr>
        <w:t>Sociological Jurisprudence</w:t>
      </w:r>
      <w:r>
        <w:rPr>
          <w:rFonts w:cs="Times New Roman" w:cstheme="minorHAnsi"/>
        </w:rPr>
        <w:t xml:space="preserve">, dan </w:t>
      </w:r>
      <w:r>
        <w:rPr>
          <w:rFonts w:cs="Times New Roman" w:cstheme="minorHAnsi"/>
          <w:i/>
          <w:iCs/>
        </w:rPr>
        <w:t>Pragmatic Legal Realism</w:t>
      </w:r>
      <w:r>
        <w:rPr>
          <w:rFonts w:cs="Times New Roman" w:cstheme="minorHAnsi"/>
        </w:rPr>
        <w:t xml:space="preserve"> sebagaimana dirumuskan dalam pemikiran Zulkarnein Koto dan Andrea H. Poeloengan (2022: 83). Kesenjangan ini menimbulkan ketidakjelasan doktrinal: di satu sisi, Asas Legalitas Materiil menuntut fleksibilitas nilai keadilan lokal, namun di sisi lain, prinsip kepastian hukum menuntut batas-batas penal yang terukur agar tidak melahirkan </w:t>
      </w:r>
      <w:r>
        <w:rPr>
          <w:rFonts w:cs="Times New Roman" w:cstheme="minorHAnsi"/>
          <w:i/>
          <w:iCs/>
        </w:rPr>
        <w:t>arbitrariness</w:t>
      </w:r>
      <w:r>
        <w:rPr>
          <w:rFonts w:cs="Times New Roman" w:cstheme="minorHAnsi"/>
        </w:rPr>
        <w:t xml:space="preserve"> penegak hukum.</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Berdasarkan kesenjangan tersebut, artikel ini mengidentifikasi dua rumusan masalah utama:</w:t>
      </w:r>
    </w:p>
    <w:p>
      <w:pPr>
        <w:pStyle w:val="ListParagraph"/>
        <w:numPr>
          <w:ilvl w:val="0"/>
          <w:numId w:val="2"/>
        </w:numPr>
        <w:ind w:hanging="360" w:start="357"/>
        <w:rPr>
          <w:rFonts w:ascii="Times New Roman" w:hAnsi="Times New Roman" w:cs="Times New Roman" w:asciiTheme="minorHAnsi" w:cstheme="minorHAnsi" w:hAnsiTheme="minorHAnsi"/>
        </w:rPr>
      </w:pPr>
      <w:r>
        <w:rPr>
          <w:rFonts w:cs="Times New Roman" w:cstheme="minorHAnsi"/>
        </w:rPr>
        <w:t>​</w:t>
      </w:r>
      <w:r>
        <w:rPr>
          <w:rFonts w:cs="Times New Roman" w:cstheme="minorHAnsi"/>
        </w:rPr>
        <w:t>Bagaimana perspektif Teori Hukum terhadap pergeseran dari Asas Legalitas Formil menuju Asas Legalitas Materiil (</w:t>
      </w:r>
      <w:r>
        <w:rPr>
          <w:rFonts w:cs="Times New Roman" w:cstheme="minorHAnsi"/>
          <w:i/>
          <w:iCs/>
        </w:rPr>
        <w:t>living law</w:t>
      </w:r>
      <w:r>
        <w:rPr>
          <w:rFonts w:cs="Times New Roman" w:cstheme="minorHAnsi"/>
        </w:rPr>
        <w:t>) dalam Pasal 1 dan Pasal 2 Undang-Undang Nomor 1 Tahun 2023?</w:t>
      </w:r>
    </w:p>
    <w:p>
      <w:pPr>
        <w:pStyle w:val="ListParagraph"/>
        <w:numPr>
          <w:ilvl w:val="0"/>
          <w:numId w:val="2"/>
        </w:numPr>
        <w:ind w:hanging="360" w:start="357"/>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Bagaimana rekonstruksi teori pemidanaan dan pelembagaan Keadilan Restoratif dalam KUHP Baru ditinjau dari kerangka </w:t>
      </w:r>
      <w:r>
        <w:rPr>
          <w:rFonts w:cs="Times New Roman" w:cstheme="minorHAnsi"/>
          <w:i/>
          <w:iCs/>
        </w:rPr>
        <w:t>Sociological Jurisprudence</w:t>
      </w:r>
      <w:r>
        <w:rPr>
          <w:rFonts w:cs="Times New Roman" w:cstheme="minorHAnsi"/>
        </w:rPr>
        <w:t xml:space="preserve"> dan Realisme Hukum?</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Melalui penelaahan berbasis Teori Hukum dan Hukum Pidana Kontemporer, penelitian ini bertujuan mengurai landasan epistemologis pembaruan hukum pidana materiil nasional serta memberikan rekomendasi doktrinal bagi penerapannya oleh aparat penegak hukum.</w:t>
      </w:r>
    </w:p>
    <w:p>
      <w:pPr>
        <w:pStyle w:val="Heading1"/>
        <w:ind w:hanging="360" w:start="360"/>
        <w:rPr>
          <w:rFonts w:ascii="Times New Roman" w:hAnsi="Times New Roman" w:cs="Times New Roman" w:asciiTheme="minorHAnsi" w:cstheme="minorHAnsi" w:hAnsiTheme="minorHAnsi"/>
        </w:rPr>
      </w:pPr>
      <w:r>
        <w:rPr>
          <w:rFonts w:cs="Times New Roman" w:cstheme="minorHAnsi"/>
        </w:rPr>
        <w:t>Analisis dan pembahasan</w:t>
      </w:r>
    </w:p>
    <w:p>
      <w:pPr>
        <w:pStyle w:val="Heading2"/>
        <w:ind w:hanging="499" w:start="499"/>
        <w:rPr>
          <w:rFonts w:ascii="Times New Roman" w:hAnsi="Times New Roman" w:cs="Times New Roman" w:asciiTheme="minorHAnsi" w:cstheme="minorHAnsi" w:hAnsiTheme="minorHAnsi"/>
        </w:rPr>
      </w:pPr>
      <w:r>
        <w:rPr>
          <w:rFonts w:cs="Times New Roman" w:cstheme="minorHAnsi"/>
        </w:rPr>
        <w:t>Peta Ilmu Hukum dan Pergeseran Epistemologis Asas Legalitas Materiil dalam KUHP Baru</w:t>
      </w:r>
    </w:p>
    <w:p>
      <w:pPr>
        <w:pStyle w:val="Heading3"/>
        <w:ind w:hanging="567" w:start="567"/>
        <w:rPr>
          <w:rFonts w:ascii="Times New Roman" w:hAnsi="Times New Roman" w:cs="Times New Roman" w:asciiTheme="minorHAnsi" w:cstheme="minorHAnsi" w:hAnsiTheme="minorHAnsi"/>
        </w:rPr>
      </w:pPr>
      <w:r>
        <w:rPr>
          <w:rFonts w:cs="Times New Roman" w:cstheme="minorHAnsi"/>
        </w:rPr>
        <w:t>Integrasi Peta Ilmu Hukum, Teori Hukum, dan Filsafat Hukum dalam Pembaharuan KUHP</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Analisis terhadap pembaharuan hukum pidana materiil menuntut pemahaman hierarkis terhadap bangunan keilmuan hukum. Dalam taksonomi disiplin hukum, Filsafat Hukum menempati strata reflektif tertinggi yang menguji landasan ontologis, epistemologis, dan aksiologis keadilan. Teori Hukum berfungsi sebagai disiplin penengah (</w:t>
      </w:r>
      <w:r>
        <w:rPr>
          <w:rFonts w:cs="Times New Roman" w:cstheme="minorHAnsi"/>
          <w:i/>
          <w:iCs/>
        </w:rPr>
        <w:t>inter-discipline</w:t>
      </w:r>
      <w:r>
        <w:rPr>
          <w:rFonts w:cs="Times New Roman" w:cstheme="minorHAnsi"/>
        </w:rPr>
        <w:t>) yang menjembatani abstraksi filsafat dengan penerapan dogmatika hukum (rechtsdogmatiek). Sementara itu, Ilmu Hukum Positif atau Dogmatika Hukum bertugas mengkaji, menafsirkan, dan mensistematisasikan norma-norma yang berlaku dalam tata hukum positif (Koto &amp; Poeloengan, 2022: 12).</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Transisi dari </w:t>
      </w:r>
      <w:r>
        <w:rPr>
          <w:rFonts w:cs="Times New Roman" w:cstheme="minorHAnsi"/>
          <w:i/>
          <w:iCs/>
        </w:rPr>
        <w:t>Wetboek van Strafrecht</w:t>
      </w:r>
      <w:r>
        <w:rPr>
          <w:rFonts w:cs="Times New Roman" w:cstheme="minorHAnsi"/>
        </w:rPr>
        <w:t xml:space="preserve"> (WvS) menuju Undang-Undang Nomor 1 Tahun 2023 merupakan wujud nyata reposisi ketiga lapis disiplin tersebut. Pada tataran filosofis, pembaharuan hukum pidana didasarkan pada </w:t>
      </w:r>
      <w:r>
        <w:rPr>
          <w:rFonts w:cs="Times New Roman" w:cstheme="minorHAnsi"/>
          <w:i/>
          <w:iCs/>
        </w:rPr>
        <w:t>weltanschauung</w:t>
      </w:r>
      <w:r>
        <w:rPr>
          <w:rFonts w:cs="Times New Roman" w:cstheme="minorHAnsi"/>
        </w:rPr>
        <w:t xml:space="preserve"> Pancasila yang menuntut keseimbangan antara kepentingan individual, kepentingan masyarakat, dan nilai-nilai transendental. Teori hukum mengoperasionalkan nilai dasar ini ke dalam konstruksi hukum pidana dwitunggal (</w:t>
      </w:r>
      <w:r>
        <w:rPr>
          <w:rFonts w:cs="Times New Roman" w:cstheme="minorHAnsi"/>
          <w:i/>
          <w:iCs/>
        </w:rPr>
        <w:t>daad-daderstrafrecht</w:t>
      </w:r>
      <w:r>
        <w:rPr>
          <w:rFonts w:cs="Times New Roman" w:cstheme="minorHAnsi"/>
        </w:rPr>
        <w:t>), yang tidak hanya menitikberatkan pada perbuatan pidana yang objektif, melainkan juga mengintegrasikan aspek subjektif dan kondisi personal pelaku (Iswanto &amp; Amaliah, 2026: 49).</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Integrasi tersebut tercermin pada pergeseran epistemologis asas legalitas. KUHP lama menempatkan asas legalitas sebagai norma dogmatis tertutup tanpa ruang diskresi di luar teks undang-undang. Sebaliknya, KUHP 2023 merekonstruksi asas legalitas melalui integrasi dialektis antara kepastian hukum positif dan keadilan substantif yang bersumber dari kesadaran hukum masyarakat. Teori hukum membuktikan bahwa norma pidana positif tidak dapat dipisahkan secara steril dari sistem nilai yang membentuknya.</w:t>
      </w:r>
    </w:p>
    <w:p>
      <w:pPr>
        <w:pStyle w:val="Normal"/>
        <w:keepNext w:val="true"/>
        <w:jc w:val="center"/>
        <w:rPr>
          <w:rFonts w:ascii="Times New Roman" w:hAnsi="Times New Roman" w:cs="Times New Roman" w:asciiTheme="minorHAnsi" w:cstheme="minorHAnsi" w:hAnsiTheme="minorHAnsi"/>
        </w:rPr>
      </w:pPr>
      <w:r>
        <w:rPr/>
        <w:drawing>
          <wp:inline distT="0" distB="0" distL="0" distR="0">
            <wp:extent cx="4757420" cy="2700020"/>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noChangeArrowheads="1"/>
                    </pic:cNvPicPr>
                  </pic:nvPicPr>
                  <pic:blipFill>
                    <a:blip r:embed="rId2"/>
                    <a:stretch>
                      <a:fillRect/>
                    </a:stretch>
                  </pic:blipFill>
                  <pic:spPr bwMode="auto">
                    <a:xfrm>
                      <a:off x="0" y="0"/>
                      <a:ext cx="4757420" cy="2700020"/>
                    </a:xfrm>
                    <a:prstGeom prst="rect">
                      <a:avLst/>
                    </a:prstGeom>
                    <a:noFill/>
                  </pic:spPr>
                </pic:pic>
              </a:graphicData>
            </a:graphic>
          </wp:inline>
        </w:drawing>
      </w:r>
    </w:p>
    <w:p>
      <w:pPr>
        <w:pStyle w:val="Caption"/>
        <w:rPr>
          <w:rFonts w:ascii="Times New Roman" w:hAnsi="Times New Roman" w:cs="Times New Roman" w:asciiTheme="minorHAnsi" w:cstheme="minorHAnsi" w:hAnsiTheme="minorHAnsi"/>
        </w:rPr>
      </w:pPr>
      <w:r>
        <w:rPr>
          <w:rFonts w:cs="Times New Roman" w:cstheme="minorHAnsi"/>
        </w:rPr>
        <w:t xml:space="preserve">Gambar </w:t>
      </w:r>
      <w:r>
        <w:rPr>
          <w:rFonts w:cs="Times New Roman" w:cstheme="minorHAnsi"/>
        </w:rPr>
        <w:fldChar w:fldCharType="begin"/>
      </w:r>
      <w:r>
        <w:rPr>
          <w:rFonts w:cs="Times New Roman"/>
        </w:rPr>
        <w:instrText xml:space="preserve"> SEQ "Gambar"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Integrasi dalam Pembaharuan KUHP</w:t>
      </w:r>
    </w:p>
    <w:p>
      <w:pPr>
        <w:pStyle w:val="Heading3"/>
        <w:ind w:hanging="567" w:start="567"/>
        <w:rPr>
          <w:rFonts w:ascii="Times New Roman" w:hAnsi="Times New Roman" w:cs="Times New Roman" w:asciiTheme="minorHAnsi" w:cstheme="minorHAnsi" w:hAnsiTheme="minorHAnsi"/>
        </w:rPr>
      </w:pPr>
      <w:r>
        <w:rPr>
          <w:rFonts w:cs="Times New Roman" w:cstheme="minorHAnsi"/>
        </w:rPr>
        <w:t>Tinjauan Kritis Positivisme Hukum Abad ke-19 dan Batas-Batas Legalitas Klasik</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Asas legalitas formil (</w:t>
      </w:r>
      <w:r>
        <w:rPr>
          <w:rFonts w:cs="Times New Roman" w:cstheme="minorHAnsi"/>
          <w:i/>
          <w:iCs/>
        </w:rPr>
        <w:t>nullum delictum nulla poena sine lege praevia</w:t>
      </w:r>
      <w:r>
        <w:rPr>
          <w:rFonts w:cs="Times New Roman" w:cstheme="minorHAnsi"/>
        </w:rPr>
        <w:t>) berakar pada perkembangan Positivisme Hukum Abad ke-19. Mazhab legisme yang dipelopori oleh John Austin dan Hans Kelsen memandang hukum semata-mata sebagai perintah otoritas yang berdaulat (</w:t>
      </w:r>
      <w:r>
        <w:rPr>
          <w:rFonts w:cs="Times New Roman" w:cstheme="minorHAnsi"/>
          <w:i/>
          <w:iCs/>
        </w:rPr>
        <w:t>command of the sovereign</w:t>
      </w:r>
      <w:r>
        <w:rPr>
          <w:rFonts w:cs="Times New Roman" w:cstheme="minorHAnsi"/>
        </w:rPr>
        <w:t>) dan sistem norma hierarkis yang tertutup dari anasir non-yuridis (Koto &amp; Poeloengan, 2022: 83). Dalam ranah hukum pidana klasik, Anselm von Feuerbach memformulasikan doktrin psychologische Zwang (paksaan psikologis), di mana rumusan tertulis undang-undang menjadi instrumen mutlak untuk mencegah timbulnya kejahatan.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Positivisme hukum abad ke-19 memberikan kepastian hukum dan perlindungan warga negara dari kesewenang-wenangan penguasa (absolutisme). Namun, mazhab ini memiliki keterbatasan mendasar. Legisme mereduksi keadilan hukum menjadi sekadar kepatuhan mekanis terhadap teks undang-undang (</w:t>
      </w:r>
      <w:r>
        <w:rPr>
          <w:rFonts w:cs="Times New Roman" w:cstheme="minorHAnsi"/>
          <w:i/>
          <w:iCs/>
        </w:rPr>
        <w:t>law in books</w:t>
      </w:r>
      <w:r>
        <w:rPr>
          <w:rFonts w:cs="Times New Roman" w:cstheme="minorHAnsi"/>
        </w:rPr>
        <w:t>). Akibatnya, aparat penegak hukum terperangkap dalam peran sebagai corong undang-undang (</w:t>
      </w:r>
      <w:r>
        <w:rPr>
          <w:rFonts w:cs="Times New Roman" w:cstheme="minorHAnsi"/>
          <w:i/>
          <w:iCs/>
        </w:rPr>
        <w:t>la bouche de la loi</w:t>
      </w:r>
      <w:r>
        <w:rPr>
          <w:rFonts w:cs="Times New Roman" w:cstheme="minorHAnsi"/>
        </w:rPr>
        <w:t>), yang menutup mata terhadap rasa keadilan masyarakat (Dewantara &amp; Fransisca, 2024: 228).</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Kekakuan positivisme klasik terbukti gagal mengantisipasi dinamika delik adat dan norma moral lokal yang tidak terkodifikasi. Ketika terjadi pelanggaran keseimbangan magis-religius atau tata tertib komunal, sistem peradilan pidana formal legistik sering kali tidak mampu memberikan pemulihan sosial karena perbuatan tersebut tidak tercantum secara eksplisit dalam hukum tertulis. Batas-batas inilah yang mendorong perlunya koreksi doktrinal terhadap hegemoni legalitas formil.</w:t>
      </w:r>
    </w:p>
    <w:p>
      <w:pPr>
        <w:pStyle w:val="Heading3"/>
        <w:ind w:hanging="567" w:start="567"/>
        <w:rPr>
          <w:rFonts w:ascii="Times New Roman" w:hAnsi="Times New Roman" w:cs="Times New Roman" w:asciiTheme="minorHAnsi" w:cstheme="minorHAnsi" w:hAnsiTheme="minorHAnsi"/>
        </w:rPr>
      </w:pPr>
      <w:r>
        <w:rPr>
          <w:rFonts w:cs="Times New Roman" w:cstheme="minorHAnsi"/>
        </w:rPr>
        <w:t>​</w:t>
      </w:r>
      <w:r>
        <w:rPr>
          <w:rFonts w:cs="Times New Roman" w:cstheme="minorHAnsi"/>
        </w:rPr>
        <w:t>Analisis Yuridis-Normatif Pasal 1 dan Pasal 2 UU Nomor 1 Tahun 2023 serta Studi Kasus Hukum yang Hidup (</w:t>
      </w:r>
      <w:r>
        <w:rPr>
          <w:rFonts w:cs="Times New Roman" w:cstheme="minorHAnsi"/>
          <w:i/>
          <w:iCs/>
        </w:rPr>
        <w:t>Living Law</w:t>
      </w:r>
      <w:r>
        <w:rPr>
          <w:rFonts w:cs="Times New Roman" w:cstheme="minorHAnsi"/>
        </w:rPr>
        <w:t>)</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Undang-Undang Nomor 1 Tahun 2023 menyelesaikan ketegangan antara kepastian formil dan keadilan materiil melalui kompromi struktural pada Pasal 1 dan Pasal 2. Pasal 1 ayat (1) menegaskan keberlakuan asas legalitas formil:</w:t>
      </w:r>
    </w:p>
    <w:p>
      <w:pPr>
        <w:pStyle w:val="Quote"/>
        <w:rPr>
          <w:rFonts w:ascii="Times New Roman" w:hAnsi="Times New Roman" w:cs="Times New Roman" w:asciiTheme="minorHAnsi" w:cstheme="minorHAnsi" w:hAnsiTheme="minorHAnsi"/>
        </w:rPr>
      </w:pPr>
      <w:r>
        <w:rPr>
          <w:rFonts w:cs="Times New Roman" w:cstheme="minorHAnsi"/>
        </w:rPr>
        <w:t>​</w:t>
      </w:r>
      <w:r>
        <w:rPr>
          <w:rFonts w:cs="Times New Roman" w:cstheme="minorHAnsi"/>
        </w:rPr>
        <w:t>"Tidak ada satu perbuatan pun yang dapat dikenai sanksi pidana dan/atau tindakan, kecuali atas kekuatan peraturan perundang-undangan pidana yang telah ada sebelum perbuatan dilakukan."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Namun, Pasal 2 ayat (1) secara tegas memperluas asas tersebut dengan mengakui asas legalitas materiil dalam fungsi positif:</w:t>
      </w:r>
    </w:p>
    <w:p>
      <w:pPr>
        <w:pStyle w:val="Quote"/>
        <w:rPr>
          <w:rFonts w:ascii="Times New Roman" w:hAnsi="Times New Roman" w:cs="Times New Roman" w:asciiTheme="minorHAnsi" w:cstheme="minorHAnsi" w:hAnsiTheme="minorHAnsi"/>
        </w:rPr>
      </w:pPr>
      <w:r>
        <w:rPr>
          <w:rFonts w:cs="Times New Roman" w:cstheme="minorHAnsi"/>
        </w:rPr>
        <w:t>​</w:t>
      </w:r>
      <w:r>
        <w:rPr>
          <w:rFonts w:cs="Times New Roman" w:cstheme="minorHAnsi"/>
        </w:rPr>
        <w:t>"Ketentuan sebagaimana dimaksud dalam Pasal 1 ayat (1) tidak mengurangi berlakunya hukum yang hidup dalam masyarakat yang menentukan bahwa seseorang patut dipidana walaupun perbuatan tersebut tidak diatur dalam Undang-Undang ini."</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Secara teoretis, Pasal 2 ayat (1) merupakan jembatan pengakuan terhadap hukum adat (adat </w:t>
      </w:r>
      <w:r>
        <w:rPr>
          <w:rFonts w:cs="Times New Roman" w:cstheme="minorHAnsi"/>
          <w:i/>
          <w:iCs/>
        </w:rPr>
        <w:t>delictenrecht</w:t>
      </w:r>
      <w:r>
        <w:rPr>
          <w:rFonts w:cs="Times New Roman" w:cstheme="minorHAnsi"/>
        </w:rPr>
        <w:t>). Agar asas legalitas materiil tidak menimbulkan ketidakpastian hukum (</w:t>
      </w:r>
      <w:r>
        <w:rPr>
          <w:rFonts w:cs="Times New Roman" w:cstheme="minorHAnsi"/>
          <w:i/>
          <w:iCs/>
        </w:rPr>
        <w:t>legal uncertainty</w:t>
      </w:r>
      <w:r>
        <w:rPr>
          <w:rFonts w:cs="Times New Roman" w:cstheme="minorHAnsi"/>
        </w:rPr>
        <w:t>) atau kesewenang-wenangan penuntutan, pembentuk undang-undang menetapkan penapisan ketat (</w:t>
      </w:r>
      <w:r>
        <w:rPr>
          <w:rFonts w:cs="Times New Roman" w:cstheme="minorHAnsi"/>
          <w:i/>
          <w:iCs/>
        </w:rPr>
        <w:t>filter mechanism</w:t>
      </w:r>
      <w:r>
        <w:rPr>
          <w:rFonts w:cs="Times New Roman" w:cstheme="minorHAnsi"/>
        </w:rPr>
        <w:t>) sebagaimana diatur dalam Pasal 2 ayat (2). Hukum yang hidup dalam masyarakat hanya dapat diterapkan sepanjang sesuai dengan nilai-nilai Pancasila, Undang-Undang Dasar Negara Republik Indonesia Tahun 1945, hak asasi manusia, dan asas hukum umum yang diakui masyarakat beradab.</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Penerapan konsep ini dapat dianalisis melalui studi kasus konkret penanganan delik adat di Indonesia. Salah satu preseden nyata terjadi dalam perkara delik adat perkawinan terlarang atau pelanggaran wilayah sakral di wilayah masyarakat adat tertentu (seperti kasus delik lokika sanggraha di Bali atau perzinaan adat di berbagai komunitas hukum adat). Dalam rezim KUHP lama (WvS), hakim pidana terikat mutlak pada Pasal 1 ayat (1) sehingga perbuatan yang merusak tatanan komunal namun tidak memenuhi unsur delik formil dinyatakan bukan tindak pidana (</w:t>
      </w:r>
      <w:r>
        <w:rPr>
          <w:rFonts w:cs="Times New Roman" w:cstheme="minorHAnsi"/>
          <w:i/>
          <w:iCs/>
        </w:rPr>
        <w:t>onslag van alle rechtsvervolging</w:t>
      </w:r>
      <w:r>
        <w:rPr>
          <w:rFonts w:cs="Times New Roman" w:cstheme="minorHAnsi"/>
        </w:rPr>
        <w:t>). Hal ini menimbulkan frustrasi sosial dan memicu aksi main hakim sendiri (</w:t>
      </w:r>
      <w:r>
        <w:rPr>
          <w:rFonts w:cs="Times New Roman" w:cstheme="minorHAnsi"/>
          <w:i/>
          <w:iCs/>
        </w:rPr>
        <w:t>eigenrichting</w:t>
      </w:r>
      <w:r>
        <w:rPr>
          <w:rFonts w:cs="Times New Roman" w:cstheme="minorHAnsi"/>
        </w:rPr>
        <w:t>).</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Sebaliknya, melalui kerangka Pasal 2 UU Nomor 1 Tahun 2023 juncto Pasal 66 ayat (1) huruf f mengenai pemenuhan kewajiban adat, hakim diberikan legitimasi yuridis untuk menjatuhkan sanksi berupa pemenuhan kewajiban adat setempat. Penerapan ini mengintegrasikan sanksi komunal ke dalam sistem peradilan pidana negara tanpa harus memenjarakan pelaku. Dengan demikian, perluasan asas legalitas dalam KUHP Baru bukan bentuk pembatalan kepastian hukum, melainkan rekonseptualisasi teori hukum yang menyeimbangkan kepastian undang-undang dengan keadilan yang hidup di tengah masyarakat.</w:t>
      </w:r>
    </w:p>
    <w:p>
      <w:pPr>
        <w:pStyle w:val="Heading2"/>
        <w:ind w:hanging="499" w:start="499"/>
        <w:rPr>
          <w:rFonts w:ascii="Times New Roman" w:hAnsi="Times New Roman" w:cs="Times New Roman" w:asciiTheme="minorHAnsi" w:cstheme="minorHAnsi" w:hAnsiTheme="minorHAnsi"/>
        </w:rPr>
      </w:pPr>
      <w:r>
        <w:rPr>
          <w:rFonts w:cs="Times New Roman" w:cstheme="minorHAnsi"/>
        </w:rPr>
        <w:t xml:space="preserve">Pelembagaan Keadilan Restoratif dan Reorientasi Pemidanaan dalam Perspektif </w:t>
      </w:r>
      <w:r>
        <w:rPr>
          <w:rFonts w:cs="Times New Roman" w:cstheme="minorHAnsi"/>
          <w:i/>
          <w:iCs/>
        </w:rPr>
        <w:t>Socio-Legal Studies</w:t>
      </w:r>
    </w:p>
    <w:p>
      <w:pPr>
        <w:pStyle w:val="Heading3"/>
        <w:ind w:hanging="567" w:start="567"/>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Analisis </w:t>
      </w:r>
      <w:r>
        <w:rPr>
          <w:rFonts w:cs="Times New Roman" w:cstheme="minorHAnsi"/>
          <w:i/>
          <w:iCs/>
        </w:rPr>
        <w:t>Sociological Jurisprudence</w:t>
      </w:r>
      <w:r>
        <w:rPr>
          <w:rFonts w:cs="Times New Roman" w:cstheme="minorHAnsi"/>
        </w:rPr>
        <w:t xml:space="preserve"> dan </w:t>
      </w:r>
      <w:r>
        <w:rPr>
          <w:rFonts w:cs="Times New Roman" w:cstheme="minorHAnsi"/>
          <w:i/>
          <w:iCs/>
        </w:rPr>
        <w:t>Pragmatic Legal Realism</w:t>
      </w:r>
      <w:r>
        <w:rPr>
          <w:rFonts w:cs="Times New Roman" w:cstheme="minorHAnsi"/>
        </w:rPr>
        <w:t xml:space="preserve"> terhadap Norma Pemidanaan Baru</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Konstruksi pemidanaan dalam Kitab Undang-Undang Hukum Pidana warisan kolonial berakar kuat pada doktrin retributif murni yang memandang pidana sebagai pembalasan mutlak atas kesalahan pelaku. Doktrin klasik ini mengabaikan dampak pemidanaan terhadap pemulihan korban dan reintegrasi sosial pelaku. Undang-Undang Nomor 1 Tahun 2023 melakukan reorientasi tujuan pemidanaan melalui adopsi pendekatan </w:t>
      </w:r>
      <w:r>
        <w:rPr>
          <w:rFonts w:cs="Times New Roman" w:cstheme="minorHAnsi"/>
          <w:i/>
          <w:iCs/>
        </w:rPr>
        <w:t>Sociological Jurisprudence</w:t>
      </w:r>
      <w:r>
        <w:rPr>
          <w:rFonts w:cs="Times New Roman" w:cstheme="minorHAnsi"/>
        </w:rPr>
        <w:t xml:space="preserve"> dan </w:t>
      </w:r>
      <w:r>
        <w:rPr>
          <w:rFonts w:cs="Times New Roman" w:cstheme="minorHAnsi"/>
          <w:i/>
          <w:iCs/>
        </w:rPr>
        <w:t>Pragmatic Legal Realism</w:t>
      </w:r>
      <w:r>
        <w:rPr>
          <w:rFonts w:cs="Times New Roman" w:cstheme="minorHAnsi"/>
        </w:rPr>
        <w:t xml:space="preserve"> (Koto &amp; Poeloengan, 2022: 104). Mazhab Sociological Jurisprudence yang dikembangkan oleh Eugen Ehrlich dan Roscoe Pound menegaskan bahwa hukum yang efektif adalah hukum yang hidup dan berakar pada kenyataan sosial (</w:t>
      </w:r>
      <w:r>
        <w:rPr>
          <w:rFonts w:cs="Times New Roman" w:cstheme="minorHAnsi"/>
          <w:i/>
          <w:iCs/>
        </w:rPr>
        <w:t>living law and law in action</w:t>
      </w:r>
      <w:r>
        <w:rPr>
          <w:rFonts w:cs="Times New Roman" w:cstheme="minorHAnsi"/>
        </w:rPr>
        <w:t>), bukan sekadar rangkaian teks kaku (</w:t>
      </w:r>
      <w:r>
        <w:rPr>
          <w:rFonts w:cs="Times New Roman" w:cstheme="minorHAnsi"/>
          <w:i/>
          <w:iCs/>
        </w:rPr>
        <w:t>law in books</w:t>
      </w:r>
      <w:r>
        <w:rPr>
          <w:rFonts w:cs="Times New Roman" w:cstheme="minorHAnsi"/>
        </w:rPr>
        <w:t>).</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Dalam KUHP Baru, pergeseran paradigma ini diwujudkan secara eksplisit dalam Pasal 51 dan Pasal 52 mengenai tujuan pemidanaan. Pemidanaan tidak lagi ditujukan semata-mata untuk menderitakan pelaku, melainkan untuk mencegah dilakukannya tindak pidana, memasyarakatkan terpidana melalui pembinaan, menyelesaikan konflik yang ditimbulkan oleh tindak pidana, memulihkan keseimbangan, serta mendatangkan rasa aman dan damai dalam masyarakat (Iswanto &amp; Amaliah, 2026: 51). Konsep ini diperkuat dengan pelembagaan prinsip Keadilan Restoratif (</w:t>
      </w:r>
      <w:r>
        <w:rPr>
          <w:rFonts w:cs="Times New Roman" w:cstheme="minorHAnsi"/>
          <w:i/>
          <w:iCs/>
        </w:rPr>
        <w:t>restorative justice</w:t>
      </w:r>
      <w:r>
        <w:rPr>
          <w:rFonts w:cs="Times New Roman" w:cstheme="minorHAnsi"/>
        </w:rPr>
        <w:t>) dalam pedoman pemidanaan Pasal 53 dan Pasal 54, yang mewajibkan hakim mempertimbangkan pemaafan dari korban atau keluarganya serta pemulihan kerugian.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Realisme hukum (</w:t>
      </w:r>
      <w:r>
        <w:rPr>
          <w:rFonts w:cs="Times New Roman" w:cstheme="minorHAnsi"/>
          <w:i/>
          <w:iCs/>
        </w:rPr>
        <w:t>Legal Realism</w:t>
      </w:r>
      <w:r>
        <w:rPr>
          <w:rFonts w:cs="Times New Roman" w:cstheme="minorHAnsi"/>
        </w:rPr>
        <w:t>) memandang hukum sebagai instrumen dinamis yang dioperasionalkan melalui putusan peradilan yang kontekstual. Manifestasi konkret dari realisme hukum dalam KUHP Baru adalah pengakuan asas pemaafan hakim (</w:t>
      </w:r>
      <w:r>
        <w:rPr>
          <w:rFonts w:cs="Times New Roman" w:cstheme="minorHAnsi"/>
          <w:i/>
          <w:iCs/>
        </w:rPr>
        <w:t>judicial pardon / rechterlijk pardon</w:t>
      </w:r>
      <w:r>
        <w:rPr>
          <w:rFonts w:cs="Times New Roman" w:cstheme="minorHAnsi"/>
        </w:rPr>
        <w:t>) sebagaimana diatur dalam Pasal 54 ayat (1) huruf c dan Pasal 56:</w:t>
      </w:r>
    </w:p>
    <w:p>
      <w:pPr>
        <w:pStyle w:val="Quote"/>
        <w:rPr>
          <w:rFonts w:ascii="Times New Roman" w:hAnsi="Times New Roman" w:cs="Times New Roman" w:asciiTheme="minorHAnsi" w:cstheme="minorHAnsi" w:hAnsiTheme="minorHAnsi"/>
        </w:rPr>
      </w:pPr>
      <w:r>
        <w:rPr>
          <w:rFonts w:cs="Times New Roman" w:cstheme="minorHAnsi"/>
        </w:rPr>
        <w:t>​</w:t>
      </w:r>
      <w:r>
        <w:rPr>
          <w:rFonts w:cs="Times New Roman" w:cstheme="minorHAnsi"/>
        </w:rPr>
        <w:t>"Ringannya perbuatan, keadaan pribadi pelaku, atau keadaan pada waktu dilakukan perbuatan atau yang terjadi kemudian dapat dijadikan dasar pertimbangan untuk tidak menjatuhkan pidana atau tidak mengenakan tindakan dengan mempertimbangkan segi keadilan dan kemanusiaan."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Asas </w:t>
      </w:r>
      <w:r>
        <w:rPr>
          <w:rFonts w:cs="Times New Roman" w:cstheme="minorHAnsi"/>
          <w:i/>
          <w:iCs/>
        </w:rPr>
        <w:t>judicial pardon</w:t>
      </w:r>
      <w:r>
        <w:rPr>
          <w:rFonts w:cs="Times New Roman" w:cstheme="minorHAnsi"/>
        </w:rPr>
        <w:t xml:space="preserve"> meruntuhkan doktrin positivisme legistik yang mewajibkan penjatuhan pidana setiap kali unsur delik terpenuhi secara formil. Ketentuan ini memberikan dasar legitimasi bagi hakim untuk mendahulukan keadilan substantif di atas keadilan prosedural ketika sifat melawan hukum materiil suatu perbuatan sangat minim (Dewantara &amp; Fransisca, 2024: 231).</w:t>
      </w:r>
    </w:p>
    <w:p>
      <w:pPr>
        <w:pStyle w:val="Normal"/>
        <w:keepNext w:val="true"/>
        <w:jc w:val="center"/>
        <w:rPr>
          <w:rFonts w:ascii="Times New Roman" w:hAnsi="Times New Roman" w:cs="Times New Roman" w:asciiTheme="minorHAnsi" w:cstheme="minorHAnsi" w:hAnsiTheme="minorHAnsi"/>
        </w:rPr>
      </w:pPr>
      <w:r>
        <w:rPr/>
        <w:drawing>
          <wp:inline distT="0" distB="0" distL="0" distR="0">
            <wp:extent cx="5732145" cy="1806575"/>
            <wp:effectExtent l="0" t="0" r="0" b="0"/>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a:picLocks noChangeAspect="1" noChangeArrowheads="1"/>
                    </pic:cNvPicPr>
                  </pic:nvPicPr>
                  <pic:blipFill>
                    <a:blip r:embed="rId3"/>
                    <a:stretch>
                      <a:fillRect/>
                    </a:stretch>
                  </pic:blipFill>
                  <pic:spPr bwMode="auto">
                    <a:xfrm>
                      <a:off x="0" y="0"/>
                      <a:ext cx="5732145" cy="1806575"/>
                    </a:xfrm>
                    <a:prstGeom prst="rect">
                      <a:avLst/>
                    </a:prstGeom>
                    <a:noFill/>
                  </pic:spPr>
                </pic:pic>
              </a:graphicData>
            </a:graphic>
          </wp:inline>
        </w:drawing>
      </w:r>
    </w:p>
    <w:p>
      <w:pPr>
        <w:pStyle w:val="Caption"/>
        <w:rPr>
          <w:rFonts w:ascii="Times New Roman" w:hAnsi="Times New Roman" w:cs="Times New Roman" w:asciiTheme="minorHAnsi" w:cstheme="minorHAnsi" w:hAnsiTheme="minorHAnsi"/>
        </w:rPr>
      </w:pPr>
      <w:r>
        <w:rPr>
          <w:rFonts w:cs="Times New Roman" w:cstheme="minorHAnsi"/>
        </w:rPr>
        <w:t xml:space="preserve">Gambar </w:t>
      </w:r>
      <w:r>
        <w:rPr>
          <w:rFonts w:cs="Times New Roman" w:cstheme="minorHAnsi"/>
        </w:rPr>
        <w:fldChar w:fldCharType="begin"/>
      </w:r>
      <w:r>
        <w:rPr>
          <w:rFonts w:cs="Times New Roman"/>
        </w:rPr>
        <w:instrText xml:space="preserve"> SEQ "Gambar"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Akar dari Model Keadilan Restoratif dan Pemulihan Korban</w:t>
      </w:r>
    </w:p>
    <w:p>
      <w:pPr>
        <w:pStyle w:val="Heading3"/>
        <w:ind w:hanging="567" w:start="567"/>
        <w:rPr>
          <w:rFonts w:ascii="Times New Roman" w:hAnsi="Times New Roman" w:cs="Times New Roman" w:asciiTheme="minorHAnsi" w:cstheme="minorHAnsi" w:hAnsiTheme="minorHAnsi"/>
        </w:rPr>
      </w:pPr>
      <w:r>
        <w:rPr>
          <w:rFonts w:cs="Times New Roman" w:cstheme="minorHAnsi"/>
        </w:rPr>
        <w:t>Keharmonisan Sistem dan Sosiologi Kepolisian dalam Pengoperasian Keadilan Restoratif</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Implementasi keadilan restoratif menuntut kesiapan struktur hukum (</w:t>
      </w:r>
      <w:r>
        <w:rPr>
          <w:rFonts w:cs="Times New Roman" w:cstheme="minorHAnsi"/>
          <w:i/>
          <w:iCs/>
        </w:rPr>
        <w:t>legal structure</w:t>
      </w:r>
      <w:r>
        <w:rPr>
          <w:rFonts w:cs="Times New Roman" w:cstheme="minorHAnsi"/>
        </w:rPr>
        <w:t>), khususnya institusi kepolisian sebagai pintu gerbang sistem peradilan pidana (</w:t>
      </w:r>
      <w:r>
        <w:rPr>
          <w:rFonts w:cs="Times New Roman" w:cstheme="minorHAnsi"/>
          <w:i/>
          <w:iCs/>
        </w:rPr>
        <w:t>integrated criminal justice system</w:t>
      </w:r>
      <w:r>
        <w:rPr>
          <w:rFonts w:cs="Times New Roman" w:cstheme="minorHAnsi"/>
        </w:rPr>
        <w:t>). Sosiologi kepolisian menunjukkan bahwa polisi bekerja pada garis depan interaksi sosial yang berhadapan langsung dengan konflik faktual masyarakat (Koto &amp; Poeloengan, 2022: 112). Dalam perspektif hukum progresif, diskresi kepolisian (</w:t>
      </w:r>
      <w:r>
        <w:rPr>
          <w:rFonts w:cs="Times New Roman" w:cstheme="minorHAnsi"/>
          <w:i/>
          <w:iCs/>
        </w:rPr>
        <w:t>police discretion</w:t>
      </w:r>
      <w:r>
        <w:rPr>
          <w:rFonts w:cs="Times New Roman" w:cstheme="minorHAnsi"/>
        </w:rPr>
        <w:t>) bukan merupakan penyimpangan hukum, melainkan instrumen esensial untuk menghadirkan penyelesaian masalah (</w:t>
      </w:r>
      <w:r>
        <w:rPr>
          <w:rFonts w:cs="Times New Roman" w:cstheme="minorHAnsi"/>
          <w:i/>
          <w:iCs/>
        </w:rPr>
        <w:t>problem-solving policing</w:t>
      </w:r>
      <w:r>
        <w:rPr>
          <w:rFonts w:cs="Times New Roman" w:cstheme="minorHAnsi"/>
        </w:rPr>
        <w:t>) yang berkeadilan (Koto &amp; Poeloengan, 2022: 84).</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Kepolisian Negara Republik Indonesia telah memelopori operasionalisasi keadilan restoratif melalui Peraturan Kepolisian (Perpol) Nomor 8 Tahun 2021 tentang Penanganan Tindak Pidana Berdasarkan Keadilan Restoratif. Namun, ketiadaan landasan dalam undang-undang hukum pidana materiil pada masa lalu menimbulkan kerentanan legitimasi dan risiko tumpang tindih kewenangan antarlembaga penegak hukum (Silalahi &amp; Sari, 2026: 401). KUHP Baru memberikan landasan doktrinal yang kokoh bagi diskresi aparat penegak hukum untuk menghentikan perkara atau mengalihkan proses peradilan formal menuju mediasi penal.</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Tantangan struktural dalam sosiologi kepolisian berpusat pada pergeseran budaya hukum (</w:t>
      </w:r>
      <w:r>
        <w:rPr>
          <w:rFonts w:cs="Times New Roman" w:cstheme="minorHAnsi"/>
          <w:i/>
          <w:iCs/>
        </w:rPr>
        <w:t>legal culture</w:t>
      </w:r>
      <w:r>
        <w:rPr>
          <w:rFonts w:cs="Times New Roman" w:cstheme="minorHAnsi"/>
        </w:rPr>
        <w:t>) aparat dari mentalitas menghukum (</w:t>
      </w:r>
      <w:r>
        <w:rPr>
          <w:rFonts w:cs="Times New Roman" w:cstheme="minorHAnsi"/>
          <w:i/>
          <w:iCs/>
        </w:rPr>
        <w:t>punitive mindset</w:t>
      </w:r>
      <w:r>
        <w:rPr>
          <w:rFonts w:cs="Times New Roman" w:cstheme="minorHAnsi"/>
        </w:rPr>
        <w:t>) menuju mentalitas fasilitator pemulihan. Tanpa parameter yang terstandarisasi, penerapan diskresi berpotensi menimbulkan komersialisasi perkara atau disparitas perlakuan hukum. Oleh karena itu, pelembagaan keadilan restoratif dalam KUHP Baru memerlukan sinkronisasi aturan hukum acara yang mengatur pengawasan ketat terhadap kesepakatan damai antara korban dan pelaku.</w:t>
      </w:r>
    </w:p>
    <w:p>
      <w:pPr>
        <w:pStyle w:val="Heading3"/>
        <w:ind w:hanging="567" w:start="567"/>
        <w:rPr>
          <w:rFonts w:ascii="Times New Roman" w:hAnsi="Times New Roman" w:cs="Times New Roman" w:asciiTheme="minorHAnsi" w:cstheme="minorHAnsi" w:hAnsiTheme="minorHAnsi"/>
        </w:rPr>
      </w:pPr>
      <w:r>
        <w:rPr>
          <w:rFonts w:cs="Times New Roman" w:cstheme="minorHAnsi"/>
        </w:rPr>
        <w:t>​</w:t>
      </w:r>
      <w:r>
        <w:rPr>
          <w:rFonts w:cs="Times New Roman" w:cstheme="minorHAnsi"/>
        </w:rPr>
        <w:t>Analisis Studi Kasus Penerapan Keadilan Restoratif pada Kejahatan Kontemporer</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Efektivitas rekonseptualisasi keadilan restoratif dapat diuji melalui analisis studi kasus pada tiga tipologi kejahatan kontemporer:</w:t>
      </w:r>
    </w:p>
    <w:p>
      <w:pPr>
        <w:pStyle w:val="ListParagraph"/>
        <w:keepNext w:val="true"/>
        <w:numPr>
          <w:ilvl w:val="0"/>
          <w:numId w:val="3"/>
        </w:numPr>
        <w:ind w:hanging="360" w:start="357"/>
        <w:rPr>
          <w:rFonts w:ascii="Times New Roman" w:hAnsi="Times New Roman" w:cs="Times New Roman" w:asciiTheme="minorHAnsi" w:cstheme="minorHAnsi" w:hAnsiTheme="minorHAnsi"/>
          <w:b/>
          <w:bCs/>
        </w:rPr>
      </w:pPr>
      <w:r>
        <w:rPr>
          <w:rFonts w:cs="Times New Roman" w:cstheme="minorHAnsi"/>
          <w:b/>
          <w:bCs/>
        </w:rPr>
        <w:t>​</w:t>
      </w:r>
      <w:r>
        <w:rPr>
          <w:rFonts w:cs="Times New Roman" w:cstheme="minorHAnsi"/>
          <w:b/>
          <w:bCs/>
        </w:rPr>
        <w:t>Kasus Kekerasan Dalam Rumah Tangga (KDRT) dan Perlindungan Perempuan</w:t>
      </w:r>
    </w:p>
    <w:p>
      <w:pPr>
        <w:pStyle w:val="ListParagraph"/>
        <w:ind w:start="357"/>
        <w:rPr>
          <w:rFonts w:ascii="Times New Roman" w:hAnsi="Times New Roman" w:cs="Times New Roman" w:asciiTheme="minorHAnsi" w:cstheme="minorHAnsi" w:hAnsiTheme="minorHAnsi"/>
        </w:rPr>
      </w:pPr>
      <w:r>
        <w:rPr>
          <w:rFonts w:cs="Times New Roman" w:cstheme="minorHAnsi"/>
        </w:rPr>
        <w:t>Penanganan perkara kekerasan psikis atau fisik ringan dalam lingkup domestik sering kali kontraproduktif jika diselesaikan semata-mata melalui pemenjaraan. Hukuman penjara terhadap pelaku yang berstatus sebagai pencari nafkah utama dapat memicu kemiskinan dan keruntuhan relasi keluarga. Pendekatan keadilan restoratif berbasis perlindungan hak korban memungkinkan pemulihan psikologis korban, pemberian kompensasi, dan konseling perilaku bagi pelaku tanpa menghilangkan fungsi kontrol sosial (Widiartana, Setyawan, &amp; Anditya, 2025: 650).</w:t>
      </w:r>
    </w:p>
    <w:p>
      <w:pPr>
        <w:pStyle w:val="ListParagraph"/>
        <w:keepNext w:val="true"/>
        <w:numPr>
          <w:ilvl w:val="0"/>
          <w:numId w:val="3"/>
        </w:numPr>
        <w:ind w:hanging="360" w:start="357"/>
        <w:rPr>
          <w:rFonts w:ascii="Times New Roman" w:hAnsi="Times New Roman" w:cs="Times New Roman" w:asciiTheme="minorHAnsi" w:cstheme="minorHAnsi" w:hAnsiTheme="minorHAnsi"/>
          <w:b/>
          <w:bCs/>
        </w:rPr>
      </w:pPr>
      <w:r>
        <w:rPr>
          <w:rFonts w:cs="Times New Roman" w:cstheme="minorHAnsi"/>
          <w:b/>
          <w:bCs/>
        </w:rPr>
        <w:t>​</w:t>
      </w:r>
      <w:r>
        <w:rPr>
          <w:rFonts w:cs="Times New Roman" w:cstheme="minorHAnsi"/>
          <w:b/>
          <w:bCs/>
        </w:rPr>
        <w:t>Kasus Pelecehan Seksual Siber (</w:t>
      </w:r>
      <w:r>
        <w:rPr>
          <w:rFonts w:cs="Times New Roman" w:cstheme="minorHAnsi"/>
          <w:b/>
          <w:bCs/>
          <w:i/>
          <w:iCs/>
        </w:rPr>
        <w:t>Cyber Sexual Harassment</w:t>
      </w:r>
      <w:r>
        <w:rPr>
          <w:rFonts w:cs="Times New Roman" w:cstheme="minorHAnsi"/>
          <w:b/>
          <w:bCs/>
        </w:rPr>
        <w:t>) Non-Kekerasan Fisik</w:t>
      </w:r>
    </w:p>
    <w:p>
      <w:pPr>
        <w:pStyle w:val="ListParagraph"/>
        <w:ind w:start="357"/>
        <w:rPr>
          <w:rFonts w:ascii="Times New Roman" w:hAnsi="Times New Roman" w:cs="Times New Roman" w:asciiTheme="minorHAnsi" w:cstheme="minorHAnsi" w:hAnsiTheme="minorHAnsi"/>
        </w:rPr>
      </w:pPr>
      <w:r>
        <w:rPr>
          <w:rFonts w:cs="Times New Roman" w:cstheme="minorHAnsi"/>
        </w:rPr>
        <w:t>Perkembangan teknologi digital melahirkan tindak pidana siber berbasis relasi personal, seperti transmisi konten intimidatif atau penghinaan martabat di ruang digital. Dalam kasus-kasus tanpa unsur pemerasan masif, mekanisme mediasi penal dan pemenuhan ganti kerugian moril terbukti lebih efektif menghapus jejak trauma korban dan menghentikan sirkulasi materi digital daripada pemidanaan kurungan yang membutuhkan proses ajudikasi panjang (Dewantara &amp; Fransisca, 2024: 235).</w:t>
      </w:r>
    </w:p>
    <w:p>
      <w:pPr>
        <w:pStyle w:val="ListParagraph"/>
        <w:keepNext w:val="true"/>
        <w:numPr>
          <w:ilvl w:val="0"/>
          <w:numId w:val="3"/>
        </w:numPr>
        <w:ind w:hanging="360" w:start="357"/>
        <w:rPr>
          <w:rFonts w:ascii="Times New Roman" w:hAnsi="Times New Roman" w:cs="Times New Roman" w:asciiTheme="minorHAnsi" w:cstheme="minorHAnsi" w:hAnsiTheme="minorHAnsi"/>
          <w:b/>
          <w:bCs/>
        </w:rPr>
      </w:pPr>
      <w:r>
        <w:rPr>
          <w:rFonts w:cs="Times New Roman" w:cstheme="minorHAnsi"/>
          <w:b/>
          <w:bCs/>
        </w:rPr>
        <w:t>​</w:t>
      </w:r>
      <w:r>
        <w:rPr>
          <w:rFonts w:cs="Times New Roman" w:cstheme="minorHAnsi"/>
          <w:b/>
          <w:bCs/>
        </w:rPr>
        <w:t>Kasus Penyalahgunaan Narkotika bagi Diri Sendiri</w:t>
      </w:r>
    </w:p>
    <w:p>
      <w:pPr>
        <w:pStyle w:val="ListParagraph"/>
        <w:ind w:start="357"/>
        <w:rPr>
          <w:rFonts w:ascii="Times New Roman" w:hAnsi="Times New Roman" w:cs="Times New Roman" w:asciiTheme="minorHAnsi" w:cstheme="minorHAnsi" w:hAnsiTheme="minorHAnsi"/>
        </w:rPr>
      </w:pPr>
      <w:r>
        <w:rPr>
          <w:rFonts w:cs="Times New Roman" w:cstheme="minorHAnsi"/>
        </w:rPr>
        <w:t>Sistem peradilan pidana lama menghadapi persoalan kelebihan kapasitas lembaga pemasyarakatan (</w:t>
      </w:r>
      <w:r>
        <w:rPr>
          <w:rFonts w:cs="Times New Roman" w:cstheme="minorHAnsi"/>
          <w:i/>
          <w:iCs/>
        </w:rPr>
        <w:t>overcrowding</w:t>
      </w:r>
      <w:r>
        <w:rPr>
          <w:rFonts w:cs="Times New Roman" w:cstheme="minorHAnsi"/>
        </w:rPr>
        <w:t>) akibat kriminalisasi masif terhadap pengguna narkotika. Dengan kerangka restoratif dan rehabilitatif dalam KUHP Baru, pelaku penyalahgunaan narkotika diposisikan sebagai korban ketergantungan yang membutuhkan intervensi medis dan sosial, bukan subjek pembalasan pidana (Hambali, Salle, Zainuddin, &amp; Risma, 2025: 1184).</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Melalui ketiga studi kasus tersebut, terbukti bahwa pelembagaan Keadilan Restoratif dalam Undang-Undang Nomor 1 Tahun 2023 menghadirkan solusi pragmatis yang memadukan perlindungan hak korban, rehabilitasi pelaku, dan efisiensi sistem peradilan pidana nasional.</w:t>
      </w:r>
    </w:p>
    <w:p>
      <w:pPr>
        <w:pStyle w:val="Heading2"/>
        <w:ind w:hanging="499" w:start="499"/>
        <w:rPr>
          <w:rFonts w:ascii="Times New Roman" w:hAnsi="Times New Roman" w:cs="Times New Roman" w:asciiTheme="minorHAnsi" w:cstheme="minorHAnsi" w:hAnsiTheme="minorHAnsi"/>
        </w:rPr>
      </w:pPr>
      <w:r>
        <w:rPr>
          <w:rFonts w:cs="Times New Roman" w:cstheme="minorHAnsi"/>
        </w:rPr>
        <w:t>Rekonstruksi Doktrinal Pertanggungjawaban Pidana Korporasi dan Penegakan Hukum Pidana Ekonomi</w:t>
      </w:r>
    </w:p>
    <w:p>
      <w:pPr>
        <w:pStyle w:val="Heading3"/>
        <w:ind w:hanging="567" w:start="567"/>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Pergeseran Paradigma Subjek Hukum Pidana dari Individual ke Kolektif</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Kitab Undang-Undang Hukum Pidana warisan kolonial (</w:t>
      </w:r>
      <w:r>
        <w:rPr>
          <w:rFonts w:cs="Times New Roman" w:cstheme="minorHAnsi"/>
          <w:i/>
          <w:iCs/>
        </w:rPr>
        <w:t>Wetboek van Strafrecht</w:t>
      </w:r>
      <w:r>
        <w:rPr>
          <w:rFonts w:cs="Times New Roman" w:cstheme="minorHAnsi"/>
        </w:rPr>
        <w:t>) dibangun di atas paradigma individualistis abad ke-19 yang membatasi subjek tindak pidana hanya pada manusia alamiah (</w:t>
      </w:r>
      <w:r>
        <w:rPr>
          <w:rFonts w:cs="Times New Roman" w:cstheme="minorHAnsi"/>
          <w:i/>
          <w:iCs/>
        </w:rPr>
        <w:t>natuurlijke person</w:t>
      </w:r>
      <w:r>
        <w:rPr>
          <w:rFonts w:cs="Times New Roman" w:cstheme="minorHAnsi"/>
        </w:rPr>
        <w:t xml:space="preserve">). Pembatasan ini berakar pada adagium klasik universitas </w:t>
      </w:r>
      <w:r>
        <w:rPr>
          <w:rFonts w:cs="Times New Roman" w:cstheme="minorHAnsi"/>
          <w:i/>
          <w:iCs/>
        </w:rPr>
        <w:t>delinquere non potest</w:t>
      </w:r>
      <w:r>
        <w:rPr>
          <w:rFonts w:cs="Times New Roman" w:cstheme="minorHAnsi"/>
        </w:rPr>
        <w:t xml:space="preserve"> atau </w:t>
      </w:r>
      <w:r>
        <w:rPr>
          <w:rFonts w:cs="Times New Roman" w:cstheme="minorHAnsi"/>
          <w:i/>
          <w:iCs/>
        </w:rPr>
        <w:t>societas delinquere non potest</w:t>
      </w:r>
      <w:r>
        <w:rPr>
          <w:rFonts w:cs="Times New Roman" w:cstheme="minorHAnsi"/>
        </w:rPr>
        <w:t>, yang menyatakan bahwa badan hukum tidak dapat melakukan tindak pidana karena tidak memiliki kehendak batin (</w:t>
      </w:r>
      <w:r>
        <w:rPr>
          <w:rFonts w:cs="Times New Roman" w:cstheme="minorHAnsi"/>
          <w:i/>
          <w:iCs/>
        </w:rPr>
        <w:t>mens rea</w:t>
      </w:r>
      <w:r>
        <w:rPr>
          <w:rFonts w:cs="Times New Roman" w:cstheme="minorHAnsi"/>
        </w:rPr>
        <w:t>) serta raga fisik untuk melakukan perbuatan jasmaniah (</w:t>
      </w:r>
      <w:r>
        <w:rPr>
          <w:rFonts w:cs="Times New Roman" w:cstheme="minorHAnsi"/>
          <w:i/>
          <w:iCs/>
        </w:rPr>
        <w:t>actus reus</w:t>
      </w:r>
      <w:r>
        <w:rPr>
          <w:rFonts w:cs="Times New Roman" w:cstheme="minorHAnsi"/>
        </w:rPr>
        <w:t>) (Koto &amp; Poeloengan, 2022: 135).</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Perkembangan kejahatan ekonomi modern membuktikan bahwa badan usaha sering menjadi sarana atau penerima manfaat dari kejahatan terorganisasi. Keterbatasan WvS memaksa pembentuk undang-undang di Indonesia mengatur pertanggungjawaban korporasi secara parsial di luar kodifikasi umum, seperti dalam undang-undang tindak pidana korupsi, tindak pidana pencucian uang, dan undang-undang perpajakan (Romy, Andriani, &amp; Rasji, 2023: 2668). Fragmentasi norma ini menimbulkan inkonsistensi doktrinal mengenai kapan korporasi dapat dipidana.</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Undang-Undang Nomor 1 Tahun 2023 menyelesaikan fragmentasi tersebut dengan menempatkan korporasi sebagai subjek hukum pidana umum pada Buku Kesatu. Pasal 45 ayat (1) menyatakan secara tegas:</w:t>
      </w:r>
    </w:p>
    <w:p>
      <w:pPr>
        <w:pStyle w:val="Quote"/>
        <w:rPr>
          <w:rFonts w:ascii="Times New Roman" w:hAnsi="Times New Roman" w:cs="Times New Roman" w:asciiTheme="minorHAnsi" w:cstheme="minorHAnsi" w:hAnsiTheme="minorHAnsi"/>
        </w:rPr>
      </w:pPr>
      <w:r>
        <w:rPr>
          <w:rFonts w:cs="Times New Roman" w:cstheme="minorHAnsi"/>
        </w:rPr>
        <w:t>​</w:t>
      </w:r>
      <w:r>
        <w:rPr>
          <w:rFonts w:cs="Times New Roman" w:cstheme="minorHAnsi"/>
        </w:rPr>
        <w:t>"Korporasi merupakan subjek tindak pidana."</w:t>
      </w:r>
    </w:p>
    <w:p>
      <w:pPr>
        <w:pStyle w:val="Normal"/>
        <w:keepNext w:val="true"/>
        <w:jc w:val="center"/>
        <w:rPr>
          <w:rFonts w:ascii="Times New Roman" w:hAnsi="Times New Roman" w:cs="Times New Roman" w:asciiTheme="minorHAnsi" w:cstheme="minorHAnsi" w:hAnsiTheme="minorHAnsi"/>
        </w:rPr>
      </w:pPr>
      <w:r>
        <w:rPr/>
        <w:drawing>
          <wp:inline distT="0" distB="0" distL="0" distR="0">
            <wp:extent cx="5581650" cy="3275965"/>
            <wp:effectExtent l="0" t="0" r="0" b="0"/>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a:picLocks noChangeAspect="1" noChangeArrowheads="1"/>
                    </pic:cNvPicPr>
                  </pic:nvPicPr>
                  <pic:blipFill>
                    <a:blip r:embed="rId4"/>
                    <a:stretch>
                      <a:fillRect/>
                    </a:stretch>
                  </pic:blipFill>
                  <pic:spPr bwMode="auto">
                    <a:xfrm>
                      <a:off x="0" y="0"/>
                      <a:ext cx="5581650" cy="3275965"/>
                    </a:xfrm>
                    <a:prstGeom prst="rect">
                      <a:avLst/>
                    </a:prstGeom>
                    <a:noFill/>
                  </pic:spPr>
                </pic:pic>
              </a:graphicData>
            </a:graphic>
          </wp:inline>
        </w:drawing>
      </w:r>
    </w:p>
    <w:p>
      <w:pPr>
        <w:pStyle w:val="Caption"/>
        <w:rPr>
          <w:rFonts w:ascii="Times New Roman" w:hAnsi="Times New Roman" w:cs="Times New Roman" w:asciiTheme="minorHAnsi" w:cstheme="minorHAnsi" w:hAnsiTheme="minorHAnsi"/>
        </w:rPr>
      </w:pPr>
      <w:r>
        <w:rPr>
          <w:rFonts w:cs="Times New Roman" w:cstheme="minorHAnsi"/>
        </w:rPr>
        <w:t xml:space="preserve">Gambar </w:t>
      </w:r>
      <w:r>
        <w:rPr>
          <w:rFonts w:cs="Times New Roman" w:cstheme="minorHAnsi"/>
        </w:rPr>
        <w:fldChar w:fldCharType="begin"/>
      </w:r>
      <w:r>
        <w:rPr>
          <w:rFonts w:cs="Times New Roman"/>
        </w:rPr>
        <w:instrText xml:space="preserve"> SEQ "Gambar"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Rezim WvS Kolonial dan Evolusi Kejahatan Ekonomi</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Pengaturan ini mencakup badan hukum seperti perseroan terbatas, yayasan, koperasi, badan usaha milik negara, hingga perkumpulan tidak berbadan hukum. Unifikasi subjek tindak pidana dalam aturan umum KUHP memperkokoh posisi hukum pidana materiil Indonesia dalam merespons kejahatan korporasi kontemporer.</w:t>
      </w:r>
    </w:p>
    <w:p>
      <w:pPr>
        <w:pStyle w:val="Heading3"/>
        <w:ind w:hanging="567" w:start="567"/>
        <w:rPr>
          <w:rFonts w:ascii="Times New Roman" w:hAnsi="Times New Roman" w:cs="Times New Roman" w:asciiTheme="minorHAnsi" w:cstheme="minorHAnsi" w:hAnsiTheme="minorHAnsi"/>
        </w:rPr>
      </w:pPr>
      <w:r>
        <w:rPr>
          <w:rFonts w:cs="Times New Roman" w:cstheme="minorHAnsi"/>
        </w:rPr>
        <w:t>Dialektika Teori Pertanggungjawaban Pidana Korporasi dalam Pasal 45 hingga 50 KUHP Baru</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Pengakuan korporasi sebagai subjek hukum pidana menuntut perumusan kriteria atribusi kesalahan. Dalam Teori Hukum Pidana Kontemporer, pembebanan kesalahan korporasi mengandalkan beberapa doktrin utama (Koto &amp; Poeloengan, 2022: 142):</w:t>
      </w:r>
    </w:p>
    <w:p>
      <w:pPr>
        <w:pStyle w:val="ListParagraph"/>
        <w:numPr>
          <w:ilvl w:val="0"/>
          <w:numId w:val="6"/>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i/>
          <w:iCs/>
        </w:rPr>
        <w:t>Identification Theory</w:t>
      </w:r>
      <w:r>
        <w:rPr>
          <w:rFonts w:cs="Times New Roman" w:cstheme="minorHAnsi"/>
          <w:b/>
          <w:bCs/>
        </w:rPr>
        <w:t xml:space="preserve"> (Teori Identifikasi)</w:t>
      </w:r>
      <w:r>
        <w:rPr>
          <w:rFonts w:cs="Times New Roman" w:cstheme="minorHAnsi"/>
        </w:rPr>
        <w:t>: Perbuatan dan kesalahan dari personil pengendali atau pihak yang menduduki posisi directing mind dianggap langsung sebagai perbuatan dan kesalahan korporasi itu sendiri.</w:t>
      </w:r>
    </w:p>
    <w:p>
      <w:pPr>
        <w:pStyle w:val="ListParagraph"/>
        <w:numPr>
          <w:ilvl w:val="0"/>
          <w:numId w:val="6"/>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i/>
          <w:iCs/>
        </w:rPr>
        <w:t>Vicarious Liability</w:t>
      </w:r>
      <w:r>
        <w:rPr>
          <w:rFonts w:cs="Times New Roman" w:cstheme="minorHAnsi"/>
          <w:b/>
          <w:bCs/>
        </w:rPr>
        <w:t xml:space="preserve"> (Pertanggungjawaban Pengganti)</w:t>
      </w:r>
      <w:r>
        <w:rPr>
          <w:rFonts w:cs="Times New Roman" w:cstheme="minorHAnsi"/>
        </w:rPr>
        <w:t>: Korporasi bertanggung jawab atas tindakan agen, karyawan, atau pihak ketiga yang bertindak untuk dan atas nama korporasi dalam ruang lingkup tugasnya.</w:t>
      </w:r>
    </w:p>
    <w:p>
      <w:pPr>
        <w:pStyle w:val="ListParagraph"/>
        <w:numPr>
          <w:ilvl w:val="0"/>
          <w:numId w:val="6"/>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i/>
          <w:iCs/>
        </w:rPr>
        <w:t>Strict Liability</w:t>
      </w:r>
      <w:r>
        <w:rPr>
          <w:rFonts w:cs="Times New Roman" w:cstheme="minorHAnsi"/>
          <w:b/>
          <w:bCs/>
        </w:rPr>
        <w:t xml:space="preserve"> (Pertanggungjawaban Mutlak)</w:t>
      </w:r>
      <w:r>
        <w:rPr>
          <w:rFonts w:cs="Times New Roman" w:cstheme="minorHAnsi"/>
        </w:rPr>
        <w:t>: Pembebanan pidana tanpa perlu membuktikan adanya unsur kesalahan batin, melainkan cukup membuktikan terjadinya perbuatan yang dilarang.</w:t>
      </w:r>
    </w:p>
    <w:p>
      <w:pPr>
        <w:pStyle w:val="ListParagraph"/>
        <w:numPr>
          <w:ilvl w:val="0"/>
          <w:numId w:val="6"/>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i/>
          <w:iCs/>
        </w:rPr>
        <w:t>Aggregation Theory</w:t>
      </w:r>
      <w:r>
        <w:rPr>
          <w:rFonts w:cs="Times New Roman" w:cstheme="minorHAnsi"/>
          <w:b/>
          <w:bCs/>
        </w:rPr>
        <w:t xml:space="preserve"> (Teori Agregasi)</w:t>
      </w:r>
      <w:r>
        <w:rPr>
          <w:rFonts w:cs="Times New Roman" w:cstheme="minorHAnsi"/>
        </w:rPr>
        <w:t xml:space="preserve">: Penggabungan tindakan dan pengetahuan beberapa individu di dalam korporasi untuk membangun unsur </w:t>
      </w:r>
      <w:r>
        <w:rPr>
          <w:rFonts w:cs="Times New Roman" w:cstheme="minorHAnsi"/>
          <w:i/>
          <w:iCs/>
        </w:rPr>
        <w:t>mens rea</w:t>
      </w:r>
      <w:r>
        <w:rPr>
          <w:rFonts w:cs="Times New Roman" w:cstheme="minorHAnsi"/>
        </w:rPr>
        <w:t xml:space="preserve"> korporasi secara menyeluruh.</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Undang-Undang Nomor 1 Tahun 2023 memadukan teori identifikasi dan pertanggungjawaban pengganti dalam Pasal 46 dan Pasal 47. Pasal 46 menentukan bahwa tindak pidana oleh korporasi merupakan tindak pidana yang dilakukan oleh pengurus yang mempunyai kedudukan fungsional dalam struktur organisasi korporasi, pemberi perintah, pemegang kendali, atau pemilik manfaat (</w:t>
      </w:r>
      <w:r>
        <w:rPr>
          <w:rFonts w:cs="Times New Roman" w:cstheme="minorHAnsi"/>
          <w:i/>
          <w:iCs/>
        </w:rPr>
        <w:t>beneficial owner</w:t>
      </w:r>
      <w:r>
        <w:rPr>
          <w:rFonts w:cs="Times New Roman" w:cstheme="minorHAnsi"/>
        </w:rPr>
        <w:t>), yang bertindak untuk dan atas nama korporasi atau demi keuntungan korporasi.</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Pasal 47 memperluas pertanggungjawaban pidana korporasi apabila perbuatan tersebut termasuk dalam lingkup usaha korporasi, memberikan keuntungan bagi korporasi secara melawan hukum, atau diterima/dibiarkan oleh korporasi tanpa upaya pencegahan yang memadai (</w:t>
      </w:r>
      <w:r>
        <w:rPr>
          <w:rFonts w:cs="Times New Roman" w:cstheme="minorHAnsi"/>
          <w:i/>
          <w:iCs/>
        </w:rPr>
        <w:t>failure to prevent crime</w:t>
      </w:r>
      <w:r>
        <w:rPr>
          <w:rFonts w:cs="Times New Roman" w:cstheme="minorHAnsi"/>
        </w:rPr>
        <w:t>). Ketentuan ini mendorong korporasi menerapkan program kepatuhan hukum (</w:t>
      </w:r>
      <w:r>
        <w:rPr>
          <w:rFonts w:cs="Times New Roman" w:cstheme="minorHAnsi"/>
          <w:i/>
          <w:iCs/>
        </w:rPr>
        <w:t>corporate compliance program</w:t>
      </w:r>
      <w:r>
        <w:rPr>
          <w:rFonts w:cs="Times New Roman" w:cstheme="minorHAnsi"/>
        </w:rPr>
        <w:t>) yang ketat.</w:t>
      </w:r>
    </w:p>
    <w:p>
      <w:pPr>
        <w:pStyle w:val="Caption"/>
        <w:keepNext w:val="true"/>
        <w:rPr>
          <w:rFonts w:ascii="Times New Roman" w:hAnsi="Times New Roman" w:cs="Times New Roman" w:asciiTheme="minorHAnsi" w:cstheme="minorHAnsi" w:hAnsiTheme="minorHAnsi"/>
        </w:rPr>
      </w:pPr>
      <w:r>
        <w:rPr>
          <w:rFonts w:cs="Times New Roman" w:cstheme="minorHAnsi"/>
        </w:rPr>
        <w:t xml:space="preserve">Tabel </w:t>
      </w:r>
      <w:r>
        <w:rPr>
          <w:rFonts w:cs="Times New Roman" w:cstheme="minorHAnsi"/>
        </w:rPr>
        <w:fldChar w:fldCharType="begin"/>
      </w:r>
      <w:r>
        <w:rPr>
          <w:rFonts w:cs="Times New Roman"/>
        </w:rPr>
        <w:instrText xml:space="preserve"> SEQ "Tabel"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Landasan dan Implikasi pada KUHP 2023</w:t>
      </w:r>
    </w:p>
    <w:tbl>
      <w:tblPr>
        <w:tblStyle w:val="KisiTabel"/>
        <w:tblW w:w="9027" w:type="dxa"/>
        <w:jc w:val="start"/>
        <w:tblInd w:w="0" w:type="dxa"/>
        <w:tblLayout w:type="fixed"/>
        <w:tblCellMar>
          <w:top w:w="57" w:type="dxa"/>
          <w:start w:w="57" w:type="dxa"/>
          <w:bottom w:w="57" w:type="dxa"/>
          <w:end w:w="57" w:type="dxa"/>
        </w:tblCellMar>
        <w:tblLook w:noHBand="0" w:lastColumn="0" w:firstColumn="1" w:lastRow="0" w:firstRow="1" w:noVBand="1" w:val="04a0"/>
      </w:tblPr>
      <w:tblGrid>
        <w:gridCol w:w="3009"/>
        <w:gridCol w:w="3009"/>
        <w:gridCol w:w="3009"/>
      </w:tblGrid>
      <w:tr>
        <w:trPr>
          <w:tblHeader w:val="true"/>
          <w:cantSplit/>
        </w:trPr>
        <w:tc>
          <w:tcPr>
            <w:tcW w:w="3009"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Ketentuan KUHP 2023</w:t>
            </w:r>
          </w:p>
        </w:tc>
        <w:tc>
          <w:tcPr>
            <w:tcW w:w="3009"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Landasan Doktrinal</w:t>
            </w:r>
          </w:p>
        </w:tc>
        <w:tc>
          <w:tcPr>
            <w:tcW w:w="3009"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Implikasi terhadap Korporasi</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Pasal 46</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i/>
                <w:iCs/>
              </w:rPr>
            </w:pPr>
            <w:r>
              <w:rPr>
                <w:rFonts w:cs="Times New Roman" w:cstheme="minorHAnsi"/>
                <w:i/>
                <w:iCs/>
                <w:kern w:val="2"/>
                <w:lang w:bidi="ar-SA"/>
              </w:rPr>
              <w:t>Identification Theory &amp; Directing Mind</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 xml:space="preserve">Menjerat </w:t>
            </w:r>
            <w:r>
              <w:rPr>
                <w:rFonts w:cs="Times New Roman" w:cstheme="minorHAnsi"/>
                <w:i/>
                <w:iCs/>
                <w:kern w:val="2"/>
                <w:lang w:bidi="ar-SA"/>
              </w:rPr>
              <w:t>beneficial owner</w:t>
            </w:r>
            <w:r>
              <w:rPr>
                <w:rFonts w:cs="Times New Roman" w:cstheme="minorHAnsi"/>
                <w:kern w:val="2"/>
                <w:lang w:bidi="ar-SA"/>
              </w:rPr>
              <w:t xml:space="preserve"> dan pengurus pengendali</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Pasal 47</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i/>
                <w:iCs/>
              </w:rPr>
            </w:pPr>
            <w:r>
              <w:rPr>
                <w:rFonts w:cs="Times New Roman" w:cstheme="minorHAnsi"/>
                <w:i/>
                <w:iCs/>
                <w:kern w:val="2"/>
                <w:lang w:bidi="ar-SA"/>
              </w:rPr>
              <w:t>Corporate Fault &amp; Duty of Care</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Mewajibkan pencegahan kejahatan internal</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Pasal 48</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i/>
                <w:iCs/>
              </w:rPr>
            </w:pPr>
            <w:r>
              <w:rPr>
                <w:rFonts w:cs="Times New Roman" w:cstheme="minorHAnsi"/>
                <w:i/>
                <w:iCs/>
                <w:kern w:val="2"/>
                <w:lang w:bidi="ar-SA"/>
              </w:rPr>
              <w:t>Independent Liability</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Korporasi dapat dipidana bersama atau terpisah dari pengurus</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Pasal 118 - 124</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i/>
                <w:iCs/>
              </w:rPr>
            </w:pPr>
            <w:r>
              <w:rPr>
                <w:rFonts w:cs="Times New Roman" w:cstheme="minorHAnsi"/>
                <w:i/>
                <w:iCs/>
                <w:kern w:val="2"/>
                <w:lang w:bidi="ar-SA"/>
              </w:rPr>
              <w:t>Special Corporate Sanction</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Pidana denda kategori tinggi, penutupan usaha, perampasan aset</w:t>
            </w:r>
          </w:p>
        </w:tc>
      </w:tr>
    </w:tbl>
    <w:p>
      <w:pPr>
        <w:pStyle w:val="Normal"/>
        <w:rPr>
          <w:rFonts w:ascii="Times New Roman" w:hAnsi="Times New Roman" w:cs="Times New Roman" w:asciiTheme="minorHAnsi" w:cstheme="minorHAnsi" w:hAnsiTheme="minorHAnsi"/>
        </w:rPr>
      </w:pPr>
      <w:r>
        <w:rPr>
          <w:rFonts w:cs="Times New Roman" w:cstheme="minorHAnsi"/>
        </w:rPr>
      </w:r>
    </w:p>
    <w:p>
      <w:pPr>
        <w:pStyle w:val="Heading3"/>
        <w:ind w:hanging="567" w:start="567"/>
        <w:rPr>
          <w:rFonts w:ascii="Times New Roman" w:hAnsi="Times New Roman" w:cs="Times New Roman" w:asciiTheme="minorHAnsi" w:cstheme="minorHAnsi" w:hAnsiTheme="minorHAnsi"/>
        </w:rPr>
      </w:pPr>
      <w:r>
        <w:rPr>
          <w:rFonts w:cs="Times New Roman" w:cstheme="minorHAnsi"/>
        </w:rPr>
        <w:t>Analisis Studi Kasus Kejahatan Korporasi Transnasional dan Sektor Perpajakan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Penerapan norma pertanggungjawaban korporasi dalam KUHP Baru dapat diuji melalui preseden tindak pidana korupsi transnasional dan penghindaran pajak terorganisasi.</w:t>
      </w:r>
    </w:p>
    <w:p>
      <w:pPr>
        <w:pStyle w:val="Heading4"/>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Studi Kasus Suap Pengadaan Pesawat PT Garuda Indonesia</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Perkara korupsi pengadaan pesawat dan mesin pesawat di PT Garuda Indonesia (Putusan Pengadilan Tindak Pidana Korupsi pada Pengadilan Negeri Jakarta Pusat Nomor 121/Pid.Sus-TPK/2019/PN Jkt.Pst) memperlihatkan skema kejahatan korporasi lintas yurisdiksi. Mantan direktur utama bersama pihak perantara menerima suap dari pabrikan multinasional untuk memuluskan kontrak pengadaan armada (Sari &amp; Nata, 2023: 101). Aliran dana suap disamarkan melalui jejaring rekening luar negeri di Singapura dan yurisdiksi lain (Ardiansyah, Zulfa, &amp; Koto, 2022: 7917).</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Dalam penanganan perkara tersebut pada masa lalu, penuntutan hanya difokuskan pada pertanggungjawaban pidana perorangan (</w:t>
      </w:r>
      <w:r>
        <w:rPr>
          <w:rFonts w:cs="Times New Roman" w:cstheme="minorHAnsi"/>
          <w:i/>
          <w:iCs/>
        </w:rPr>
        <w:t>individual liability</w:t>
      </w:r>
      <w:r>
        <w:rPr>
          <w:rFonts w:cs="Times New Roman" w:cstheme="minorHAnsi"/>
        </w:rPr>
        <w:t>) para direksi dan perantara. Konstruksi Pasal 46 dan Pasal 47 UU Nomor 1 Tahun 2023 memungkinkan aparat penegak hukum menjerat entitas korporasi yang menerima manfaat ekonomi dari kontrak koruptif tersebut atau korporasi yang gagal mencegah terjadinya penyuapan oleh agen pemasarannya. Pendekatan ini memastikan pemulihan kerugian keuangan negara melalui perampasan aset (</w:t>
      </w:r>
      <w:r>
        <w:rPr>
          <w:rFonts w:cs="Times New Roman" w:cstheme="minorHAnsi"/>
          <w:i/>
          <w:iCs/>
        </w:rPr>
        <w:t>asset recovery</w:t>
      </w:r>
      <w:r>
        <w:rPr>
          <w:rFonts w:cs="Times New Roman" w:cstheme="minorHAnsi"/>
        </w:rPr>
        <w:t>) korporasi secara maksimal.</w:t>
      </w:r>
    </w:p>
    <w:p>
      <w:pPr>
        <w:pStyle w:val="Heading4"/>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Studi Kasus Tindak Pidana Perpajakan oleh Wajib Pajak Badan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Tindak pidana perpajakan, seperti penerbitan faktur pajak tidak sah (faktur fiktif) atau pelaporan surat pemberitahuan tahunan yang tidak benar, sering kali dirancang secara sistemik oleh konsultan pajak dan pengurus korporasi demi mengurangi beban pajak perusahaan. Dalam praktiknya, pengurus sering mengalihkan tanggung jawab kepada staf akuntansi tingkat bawah (Romy et al., 2023: 2673).</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KUHP Baru menutup celah tersebut melalui Pasal 48 yang menegaskan bahwa pertanggungjawaban korporasi tidak menghapuskan pertanggungjawaban perorangan pengurus, pengendali, atau pemilik manfaat. Penegak hukum dapat menuntut pengurus sekaligus korporasi secara bersama-sama. Sanksi pidana denda yang dijatuhkan kepada korporasi dihitung berdasarkan skala kerusakan ekonomi yang ditimbulkan, disertai pidana tambahan berupa penutupan sebagian atau seluruh tempat usaha dan ganti rugi pemulihan pendapatan negara.</w:t>
      </w:r>
    </w:p>
    <w:p>
      <w:pPr>
        <w:pStyle w:val="Heading2"/>
        <w:ind w:hanging="499" w:start="499"/>
        <w:rPr>
          <w:rFonts w:ascii="Times New Roman" w:hAnsi="Times New Roman" w:cs="Times New Roman" w:asciiTheme="minorHAnsi" w:cstheme="minorHAnsi" w:hAnsiTheme="minorHAnsi"/>
        </w:rPr>
      </w:pPr>
      <w:r>
        <w:rPr>
          <w:rFonts w:cs="Times New Roman" w:cstheme="minorHAnsi"/>
        </w:rPr>
        <w:t>Rekonseptualisasi Sistem Dua Jalur (</w:t>
      </w:r>
      <w:r>
        <w:rPr>
          <w:rFonts w:cs="Times New Roman" w:cstheme="minorHAnsi"/>
          <w:i/>
          <w:iCs/>
        </w:rPr>
        <w:t>Double Track System</w:t>
      </w:r>
      <w:r>
        <w:rPr>
          <w:rFonts w:cs="Times New Roman" w:cstheme="minorHAnsi"/>
        </w:rPr>
        <w:t>) dan Alternatif Pidana Non-Pemenjaraan</w:t>
      </w:r>
    </w:p>
    <w:p>
      <w:pPr>
        <w:pStyle w:val="Heading3"/>
        <w:ind w:hanging="567" w:start="567"/>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Landasan Teoretis </w:t>
      </w:r>
      <w:r>
        <w:rPr>
          <w:rFonts w:cs="Times New Roman" w:cstheme="minorHAnsi"/>
          <w:i/>
          <w:iCs/>
        </w:rPr>
        <w:t>Double Track System</w:t>
      </w:r>
      <w:r>
        <w:rPr>
          <w:rFonts w:cs="Times New Roman" w:cstheme="minorHAnsi"/>
        </w:rPr>
        <w:t xml:space="preserve"> dalam Hukum Pidana Modern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Sistem pemidanaan dalam hukum pidana klasik berpegang pada sistem satu jalur (</w:t>
      </w:r>
      <w:r>
        <w:rPr>
          <w:rFonts w:cs="Times New Roman" w:cstheme="minorHAnsi"/>
          <w:i/>
          <w:iCs/>
        </w:rPr>
        <w:t>single track system</w:t>
      </w:r>
      <w:r>
        <w:rPr>
          <w:rFonts w:cs="Times New Roman" w:cstheme="minorHAnsi"/>
        </w:rPr>
        <w:t>). Sistem ini hanya mengenal sanksi pidana (</w:t>
      </w:r>
      <w:r>
        <w:rPr>
          <w:rFonts w:cs="Times New Roman" w:cstheme="minorHAnsi"/>
          <w:i/>
          <w:iCs/>
        </w:rPr>
        <w:t>straf</w:t>
      </w:r>
      <w:r>
        <w:rPr>
          <w:rFonts w:cs="Times New Roman" w:cstheme="minorHAnsi"/>
        </w:rPr>
        <w:t>) yang didasarkan pada perbuatan jahat dan kadar kesalahan pelaku (</w:t>
      </w:r>
      <w:r>
        <w:rPr>
          <w:rFonts w:cs="Times New Roman" w:cstheme="minorHAnsi"/>
          <w:i/>
          <w:iCs/>
        </w:rPr>
        <w:t>guilt principle</w:t>
      </w:r>
      <w:r>
        <w:rPr>
          <w:rFonts w:cs="Times New Roman" w:cstheme="minorHAnsi"/>
        </w:rPr>
        <w:t>). Kelemahan sistem jalur tunggal terletak pada kegagalannya menangani pelaku tindak pidana yang memiliki kondisi khusus, seperti pelaku dengan disabilitas mental atau pelaku yang membutuhkan perawatan medis dan sosial khusus.</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Undang-Undang Nomor 1 Tahun 2023 secara resmi mengadopsi sistem dua jalur (</w:t>
      </w:r>
      <w:r>
        <w:rPr>
          <w:rFonts w:cs="Times New Roman" w:cstheme="minorHAnsi"/>
          <w:i/>
          <w:iCs/>
        </w:rPr>
        <w:t>double track system</w:t>
      </w:r>
      <w:r>
        <w:rPr>
          <w:rFonts w:cs="Times New Roman" w:cstheme="minorHAnsi"/>
        </w:rPr>
        <w:t>). Sistem ini menempatkan sanksi pidana (</w:t>
      </w:r>
      <w:r>
        <w:rPr>
          <w:rFonts w:cs="Times New Roman" w:cstheme="minorHAnsi"/>
          <w:i/>
          <w:iCs/>
        </w:rPr>
        <w:t>straf</w:t>
      </w:r>
      <w:r>
        <w:rPr>
          <w:rFonts w:cs="Times New Roman" w:cstheme="minorHAnsi"/>
        </w:rPr>
        <w:t>) dan sanksi tindakan (</w:t>
      </w:r>
      <w:r>
        <w:rPr>
          <w:rFonts w:cs="Times New Roman" w:cstheme="minorHAnsi"/>
          <w:i/>
          <w:iCs/>
        </w:rPr>
        <w:t>maatregel</w:t>
      </w:r>
      <w:r>
        <w:rPr>
          <w:rFonts w:cs="Times New Roman" w:cstheme="minorHAnsi"/>
        </w:rPr>
        <w:t>) dalam posisi setara dan saling melengkapi (Koto &amp; Poeloengan, 2022: 156). Sanksi pidana berorientasi pada pencelaan atas kesalahan masa lalu (</w:t>
      </w:r>
      <w:r>
        <w:rPr>
          <w:rFonts w:cs="Times New Roman" w:cstheme="minorHAnsi"/>
          <w:i/>
          <w:iCs/>
        </w:rPr>
        <w:t>retribution and deterrence</w:t>
      </w:r>
      <w:r>
        <w:rPr>
          <w:rFonts w:cs="Times New Roman" w:cstheme="minorHAnsi"/>
        </w:rPr>
        <w:t>), sedangkan sanksi tindakan berorientasi ke masa depan guna perlindungan masyarakat dan perawatan pelaku (</w:t>
      </w:r>
      <w:r>
        <w:rPr>
          <w:rFonts w:cs="Times New Roman" w:cstheme="minorHAnsi"/>
          <w:i/>
          <w:iCs/>
        </w:rPr>
        <w:t>treatment and social defense</w:t>
      </w:r>
      <w:r>
        <w:rPr>
          <w:rFonts w:cs="Times New Roman" w:cstheme="minorHAnsi"/>
        </w:rPr>
        <w:t>) (Iswanto &amp; Amaliah, 2026: 53).</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Pemisahan dan integrasi kedua jenis sanksi tersebut diatur dalam Pasal 64, Pasal 65, dan Pasal 103 UU Nomor 1 Tahun 2023. Pasal 103 merumuskan variasi tindakan yang dapat dijatuhkan oleh hakim, antara lain rehabilitasi medis, rehabilitasi mental, pelatihan kerja, perawatan di lembaga, dan penyerahan kepada pemerintah atau yayasan sosial.</w:t>
      </w:r>
    </w:p>
    <w:p>
      <w:pPr>
        <w:pStyle w:val="Normal"/>
        <w:keepNext w:val="true"/>
        <w:jc w:val="center"/>
        <w:rPr>
          <w:rFonts w:ascii="Times New Roman" w:hAnsi="Times New Roman" w:cs="Times New Roman" w:asciiTheme="minorHAnsi" w:cstheme="minorHAnsi" w:hAnsiTheme="minorHAnsi"/>
        </w:rPr>
      </w:pPr>
      <w:r>
        <w:rPr/>
        <w:drawing>
          <wp:inline distT="0" distB="0" distL="0" distR="0">
            <wp:extent cx="5732145" cy="973455"/>
            <wp:effectExtent l="0" t="0" r="0" b="0"/>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a:picLocks noChangeAspect="1" noChangeArrowheads="1"/>
                    </pic:cNvPicPr>
                  </pic:nvPicPr>
                  <pic:blipFill>
                    <a:blip r:embed="rId5"/>
                    <a:stretch>
                      <a:fillRect/>
                    </a:stretch>
                  </pic:blipFill>
                  <pic:spPr bwMode="auto">
                    <a:xfrm>
                      <a:off x="0" y="0"/>
                      <a:ext cx="5732145" cy="973455"/>
                    </a:xfrm>
                    <a:prstGeom prst="rect">
                      <a:avLst/>
                    </a:prstGeom>
                    <a:noFill/>
                  </pic:spPr>
                </pic:pic>
              </a:graphicData>
            </a:graphic>
          </wp:inline>
        </w:drawing>
      </w:r>
    </w:p>
    <w:p>
      <w:pPr>
        <w:pStyle w:val="Caption"/>
        <w:rPr>
          <w:rFonts w:ascii="Times New Roman" w:hAnsi="Times New Roman" w:cs="Times New Roman" w:asciiTheme="minorHAnsi" w:cstheme="minorHAnsi" w:hAnsiTheme="minorHAnsi"/>
        </w:rPr>
      </w:pPr>
      <w:r>
        <w:rPr>
          <w:rFonts w:cs="Times New Roman" w:cstheme="minorHAnsi"/>
        </w:rPr>
        <w:t xml:space="preserve">Gambar </w:t>
      </w:r>
      <w:r>
        <w:rPr>
          <w:rFonts w:cs="Times New Roman" w:cstheme="minorHAnsi"/>
        </w:rPr>
        <w:fldChar w:fldCharType="begin"/>
      </w:r>
      <w:r>
        <w:rPr>
          <w:rFonts w:cs="Times New Roman"/>
        </w:rPr>
        <w:instrText xml:space="preserve"> SEQ "Gambar"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Sistem Pemidanaan UU No. 1 Tahun 2023</w:t>
      </w:r>
    </w:p>
    <w:p>
      <w:pPr>
        <w:pStyle w:val="Heading3"/>
        <w:ind w:hanging="567" w:start="567"/>
        <w:rPr>
          <w:rFonts w:ascii="Times New Roman" w:hAnsi="Times New Roman" w:cs="Times New Roman" w:asciiTheme="minorHAnsi" w:cstheme="minorHAnsi" w:hAnsiTheme="minorHAnsi"/>
        </w:rPr>
      </w:pPr>
      <w:r>
        <w:rPr>
          <w:rFonts w:cs="Times New Roman" w:cstheme="minorHAnsi"/>
        </w:rPr>
        <w:t>Rekonstruksi Pidana Kerja Sosial dan Pidana Pengawasan sebagai Solusi Kritis Overkapasitas Lembaga Pemasyarakatan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Hukum pidana lama menempatkan pidana penjara sebagai sanksi primer (</w:t>
      </w:r>
      <w:r>
        <w:rPr>
          <w:rFonts w:cs="Times New Roman" w:cstheme="minorHAnsi"/>
          <w:i/>
          <w:iCs/>
        </w:rPr>
        <w:t>primary sanction</w:t>
      </w:r>
      <w:r>
        <w:rPr>
          <w:rFonts w:cs="Times New Roman" w:cstheme="minorHAnsi"/>
        </w:rPr>
        <w:t>). Akibatnya, lembaga pemasyarakatan di Indonesia mengalami krisis kelebihan kapasitas (</w:t>
      </w:r>
      <w:r>
        <w:rPr>
          <w:rFonts w:cs="Times New Roman" w:cstheme="minorHAnsi"/>
          <w:i/>
          <w:iCs/>
        </w:rPr>
        <w:t>prison overcrowding</w:t>
      </w:r>
      <w:r>
        <w:rPr>
          <w:rFonts w:cs="Times New Roman" w:cstheme="minorHAnsi"/>
        </w:rPr>
        <w:t>) yang kronis. Kepadatan hunian penjara yang melampaui batas menurunkan efektivitas pembinaan narapidana dan membebani anggaran negara (Hambali, Salle, Zainuddin, &amp; Risma, 2025: 1182).</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KUHP Baru mengoreksi orientasi tersebut dengan mengubah pidana penjara menjadi upaya terakhir (</w:t>
      </w:r>
      <w:r>
        <w:rPr>
          <w:rFonts w:cs="Times New Roman" w:cstheme="minorHAnsi"/>
          <w:i/>
          <w:iCs/>
        </w:rPr>
        <w:t>ultimum remedium</w:t>
      </w:r>
      <w:r>
        <w:rPr>
          <w:rFonts w:cs="Times New Roman" w:cstheme="minorHAnsi"/>
        </w:rPr>
        <w:t>) melalui pengenalan dua pidana pokok non-pemenjaraan:</w:t>
      </w:r>
    </w:p>
    <w:p>
      <w:pPr>
        <w:pStyle w:val="ListParagraph"/>
        <w:keepNext w:val="true"/>
        <w:numPr>
          <w:ilvl w:val="0"/>
          <w:numId w:val="7"/>
        </w:numPr>
        <w:ind w:hanging="357" w:start="357"/>
        <w:rPr>
          <w:rFonts w:ascii="Times New Roman" w:hAnsi="Times New Roman" w:cs="Times New Roman" w:asciiTheme="minorHAnsi" w:cstheme="minorHAnsi" w:hAnsiTheme="minorHAnsi"/>
          <w:b/>
          <w:bCs/>
        </w:rPr>
      </w:pPr>
      <w:r>
        <w:rPr>
          <w:rFonts w:cs="Times New Roman" w:cstheme="minorHAnsi"/>
          <w:b/>
          <w:bCs/>
        </w:rPr>
        <w:t>​</w:t>
      </w:r>
      <w:r>
        <w:rPr>
          <w:rFonts w:cs="Times New Roman" w:cstheme="minorHAnsi"/>
          <w:b/>
          <w:bCs/>
        </w:rPr>
        <w:t>Pidana Pengawasan (</w:t>
      </w:r>
      <w:r>
        <w:rPr>
          <w:rFonts w:cs="Times New Roman" w:cstheme="minorHAnsi"/>
          <w:b/>
          <w:bCs/>
          <w:i/>
          <w:iCs/>
        </w:rPr>
        <w:t>probation</w:t>
      </w:r>
      <w:r>
        <w:rPr>
          <w:rFonts w:cs="Times New Roman" w:cstheme="minorHAnsi"/>
          <w:b/>
          <w:bCs/>
        </w:rPr>
        <w:t>):</w:t>
      </w:r>
    </w:p>
    <w:p>
      <w:pPr>
        <w:pStyle w:val="ListParagraph"/>
        <w:ind w:start="357"/>
        <w:rPr>
          <w:rFonts w:ascii="Times New Roman" w:hAnsi="Times New Roman" w:cs="Times New Roman" w:asciiTheme="minorHAnsi" w:cstheme="minorHAnsi" w:hAnsiTheme="minorHAnsi"/>
        </w:rPr>
      </w:pPr>
      <w:r>
        <w:rPr>
          <w:rFonts w:cs="Times New Roman" w:cstheme="minorHAnsi"/>
        </w:rPr>
        <w:t>Diatur dalam Pasal 65 ayat (1) huruf c dan Pasal 75 hingga Pasal 77. Pidana pengawasan dapat dijatuhkan kepada pelaku yang diancam pidana penjara tidak lebih dari 5 tahun atau hakim menjatuhkan pidana penjara paling lama 3 tahun. Terpidana tidak dimasukkan ke dalam lembaga pemasyarakatan, melainkan menjalani kehidupan bebas dengan syarat-syarat khusus di bawah pengawasan pembimbing kemasyarakatan.</w:t>
      </w:r>
    </w:p>
    <w:p>
      <w:pPr>
        <w:pStyle w:val="ListParagraph"/>
        <w:keepNext w:val="true"/>
        <w:numPr>
          <w:ilvl w:val="0"/>
          <w:numId w:val="7"/>
        </w:numPr>
        <w:ind w:hanging="357" w:start="357"/>
        <w:rPr>
          <w:rFonts w:ascii="Times New Roman" w:hAnsi="Times New Roman" w:cs="Times New Roman" w:asciiTheme="minorHAnsi" w:cstheme="minorHAnsi" w:hAnsiTheme="minorHAnsi"/>
          <w:b/>
          <w:bCs/>
        </w:rPr>
      </w:pPr>
      <w:r>
        <w:rPr>
          <w:rFonts w:cs="Times New Roman" w:cstheme="minorHAnsi"/>
          <w:b/>
          <w:bCs/>
        </w:rPr>
        <w:t>​</w:t>
      </w:r>
      <w:r>
        <w:rPr>
          <w:rFonts w:cs="Times New Roman" w:cstheme="minorHAnsi"/>
          <w:b/>
          <w:bCs/>
        </w:rPr>
        <w:t>Pidana Kerja Sosial (</w:t>
      </w:r>
      <w:r>
        <w:rPr>
          <w:rFonts w:cs="Times New Roman" w:cstheme="minorHAnsi"/>
          <w:b/>
          <w:bCs/>
          <w:i/>
          <w:iCs/>
        </w:rPr>
        <w:t>community service order</w:t>
      </w:r>
      <w:r>
        <w:rPr>
          <w:rFonts w:cs="Times New Roman" w:cstheme="minorHAnsi"/>
          <w:b/>
          <w:bCs/>
        </w:rPr>
        <w:t>):</w:t>
      </w:r>
    </w:p>
    <w:p>
      <w:pPr>
        <w:pStyle w:val="ListParagraph"/>
        <w:ind w:start="357"/>
        <w:rPr>
          <w:rFonts w:ascii="Times New Roman" w:hAnsi="Times New Roman" w:cs="Times New Roman" w:asciiTheme="minorHAnsi" w:cstheme="minorHAnsi" w:hAnsiTheme="minorHAnsi"/>
        </w:rPr>
      </w:pPr>
      <w:r>
        <w:rPr>
          <w:rFonts w:cs="Times New Roman" w:cstheme="minorHAnsi"/>
        </w:rPr>
        <w:t>Diatur dalam Pasal 65 ayat (1) huruf d dan Pasal 85. Pidana kerja sosial dapat dijatuhkan jika hakim akan menjatuhkan pidana penjara tidak lebih dari 6 bulan atau denda tidak lebih dari kategori II. Pelaksanaan kerja sosial berkisar antara 8 hingga 240 jam dengan ketentuan tidak boleh bersifat komersial.</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Untuk menjamin kepatuhan terhadap instrumen hak asasi manusia internasional dan konvensi ketenagakerjaan, Pasal 85 ayat (2) mewajibkan adanya persetujuan terdakwa sebelum pidana kerja sosial dijatuhkan. Ketentuan ini mencegah sanksi pidana berubah menjadi praktik kerja paksa (</w:t>
      </w:r>
      <w:r>
        <w:rPr>
          <w:rFonts w:cs="Times New Roman" w:cstheme="minorHAnsi"/>
          <w:i/>
          <w:iCs/>
        </w:rPr>
        <w:t>forced labor</w:t>
      </w:r>
      <w:r>
        <w:rPr>
          <w:rFonts w:cs="Times New Roman" w:cstheme="minorHAnsi"/>
        </w:rPr>
        <w:t>).</w:t>
      </w:r>
    </w:p>
    <w:p>
      <w:pPr>
        <w:pStyle w:val="Caption"/>
        <w:keepNext w:val="true"/>
        <w:rPr>
          <w:rFonts w:ascii="Times New Roman" w:hAnsi="Times New Roman" w:cs="Times New Roman" w:asciiTheme="minorHAnsi" w:cstheme="minorHAnsi" w:hAnsiTheme="minorHAnsi"/>
        </w:rPr>
      </w:pPr>
      <w:r>
        <w:rPr>
          <w:rFonts w:cs="Times New Roman" w:cstheme="minorHAnsi"/>
        </w:rPr>
        <w:t xml:space="preserve">Tabel </w:t>
      </w:r>
      <w:r>
        <w:rPr>
          <w:rFonts w:cs="Times New Roman" w:cstheme="minorHAnsi"/>
        </w:rPr>
        <w:fldChar w:fldCharType="begin"/>
      </w:r>
      <w:r>
        <w:rPr>
          <w:rFonts w:cs="Times New Roman"/>
        </w:rPr>
        <w:instrText xml:space="preserve"> SEQ "Tabel"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Parameter Pidana Kerja Sosial dan Pidana Pengawasan</w:t>
      </w:r>
    </w:p>
    <w:tbl>
      <w:tblPr>
        <w:tblStyle w:val="KisiTabel"/>
        <w:tblW w:w="5000" w:type="pct"/>
        <w:jc w:val="start"/>
        <w:tblInd w:w="0" w:type="dxa"/>
        <w:tblLayout w:type="fixed"/>
        <w:tblCellMar>
          <w:top w:w="57" w:type="dxa"/>
          <w:start w:w="57" w:type="dxa"/>
          <w:bottom w:w="57" w:type="dxa"/>
          <w:end w:w="57" w:type="dxa"/>
        </w:tblCellMar>
        <w:tblLook w:noHBand="0" w:lastColumn="0" w:firstColumn="1" w:lastRow="0" w:firstRow="1" w:noVBand="1" w:val="04a0"/>
      </w:tblPr>
      <w:tblGrid>
        <w:gridCol w:w="2612"/>
        <w:gridCol w:w="3353"/>
        <w:gridCol w:w="3061"/>
      </w:tblGrid>
      <w:tr>
        <w:trPr>
          <w:cantSplit/>
        </w:trPr>
        <w:tc>
          <w:tcPr>
            <w:tcW w:w="2612"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Parameter</w:t>
            </w:r>
          </w:p>
        </w:tc>
        <w:tc>
          <w:tcPr>
            <w:tcW w:w="3353"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Pidana Kerja Sosial (Pasal 85)</w:t>
            </w:r>
          </w:p>
        </w:tc>
        <w:tc>
          <w:tcPr>
            <w:tcW w:w="3061"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Pidana Pengawasan (Pasal 75-77)</w:t>
            </w:r>
          </w:p>
        </w:tc>
      </w:tr>
      <w:tr>
        <w:trPr>
          <w:cantSplit/>
        </w:trPr>
        <w:tc>
          <w:tcPr>
            <w:tcW w:w="2612"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 xml:space="preserve">Batas Maksimal Penjara Pengganti </w:t>
            </w:r>
          </w:p>
        </w:tc>
        <w:tc>
          <w:tcPr>
            <w:tcW w:w="3353"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Kurang dari 6 bulan penjara</w:t>
            </w:r>
          </w:p>
        </w:tc>
        <w:tc>
          <w:tcPr>
            <w:tcW w:w="3061"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Paling lama 3 tahun penjara</w:t>
            </w:r>
          </w:p>
        </w:tc>
      </w:tr>
      <w:tr>
        <w:trPr>
          <w:cantSplit/>
        </w:trPr>
        <w:tc>
          <w:tcPr>
            <w:tcW w:w="2612"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Durasi Pelaksanaan</w:t>
            </w:r>
          </w:p>
        </w:tc>
        <w:tc>
          <w:tcPr>
            <w:tcW w:w="3353"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8 sampai 240 jam kerja</w:t>
            </w:r>
          </w:p>
        </w:tc>
        <w:tc>
          <w:tcPr>
            <w:tcW w:w="3061"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Paling lama 3 tahun masa pengawasan</w:t>
            </w:r>
          </w:p>
        </w:tc>
      </w:tr>
      <w:tr>
        <w:trPr>
          <w:cantSplit/>
        </w:trPr>
        <w:tc>
          <w:tcPr>
            <w:tcW w:w="2612"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Fokus Sasaran</w:t>
            </w:r>
          </w:p>
        </w:tc>
        <w:tc>
          <w:tcPr>
            <w:tcW w:w="3353"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 xml:space="preserve">Delik ringan dan pelaku pertama </w:t>
            </w:r>
          </w:p>
        </w:tc>
        <w:tc>
          <w:tcPr>
            <w:tcW w:w="3061"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Delik sedang dengan motif situasional</w:t>
            </w:r>
          </w:p>
        </w:tc>
      </w:tr>
      <w:tr>
        <w:trPr>
          <w:cantSplit/>
        </w:trPr>
        <w:tc>
          <w:tcPr>
            <w:tcW w:w="2612"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Instansi Pelaksana</w:t>
            </w:r>
          </w:p>
        </w:tc>
        <w:tc>
          <w:tcPr>
            <w:tcW w:w="3353"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Balai Pemasyarakatan &amp; Instansi Pemerintah</w:t>
            </w:r>
          </w:p>
        </w:tc>
        <w:tc>
          <w:tcPr>
            <w:tcW w:w="3061"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Pembimbing Kemasyarakatan (Bapas)</w:t>
            </w:r>
          </w:p>
        </w:tc>
      </w:tr>
      <w:tr>
        <w:trPr>
          <w:cantSplit/>
        </w:trPr>
        <w:tc>
          <w:tcPr>
            <w:tcW w:w="2612"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 xml:space="preserve">Tujuan Utama </w:t>
            </w:r>
          </w:p>
        </w:tc>
        <w:tc>
          <w:tcPr>
            <w:tcW w:w="3353"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Penggantian kerugian sosial nyata</w:t>
            </w:r>
          </w:p>
        </w:tc>
        <w:tc>
          <w:tcPr>
            <w:tcW w:w="3061"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Kontrol perilaku tanpa pemisahan sosial</w:t>
            </w:r>
          </w:p>
        </w:tc>
      </w:tr>
    </w:tbl>
    <w:p>
      <w:pPr>
        <w:pStyle w:val="Normal"/>
        <w:rPr>
          <w:rFonts w:ascii="Times New Roman" w:hAnsi="Times New Roman" w:cs="Times New Roman" w:asciiTheme="minorHAnsi" w:cstheme="minorHAnsi" w:hAnsiTheme="minorHAnsi"/>
        </w:rPr>
      </w:pPr>
      <w:r>
        <w:rPr>
          <w:rFonts w:cs="Times New Roman" w:cstheme="minorHAnsi"/>
        </w:rPr>
      </w:r>
    </w:p>
    <w:p>
      <w:pPr>
        <w:pStyle w:val="Heading3"/>
        <w:ind w:hanging="567" w:start="567"/>
        <w:rPr>
          <w:rFonts w:ascii="Times New Roman" w:hAnsi="Times New Roman" w:cs="Times New Roman" w:asciiTheme="minorHAnsi" w:cstheme="minorHAnsi" w:hAnsiTheme="minorHAnsi"/>
        </w:rPr>
      </w:pPr>
      <w:r>
        <w:rPr>
          <w:rFonts w:cs="Times New Roman" w:cstheme="minorHAnsi"/>
        </w:rPr>
        <w:t>Efektivitas Penerapan Sanksi Tindakan bagi Pelaku Khusus dan Perlindungan HAM</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Sanksi tindakan dalam KUHP Baru memberikan solusi yuridis bagi pertanggungjawaban pidana mereka yang memiliki keterbatasan kemampuan berpikir atau gangguan jiwa. Pasal 38 dan Pasal 39 menentukan bahwa orang yang melakukan tindak pidana dalam keadaan disabilitas mental atau intelektual tidak dapat dijatuhi pidana, melainkan dikenakan tindakan perawatan di rumah sakit jiwa atau penyerahan kepada instansi sosial.</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Penerapan sanksi tindakan ini menuntut kesiapan sarana dan prasarana terpadu antara pengadilan, Balai Pemasyarakatan (Bapas), serta fasilitas kesehatan pemerintah. Melalui integrasi sanksi tindakan dan alternatif non-pemenjaraan, UU Nomor 1 Tahun 2023 menghadirkan sistem peradilan pidana yang berorientasi pada pemulihan kemanusiaan, perlindungan hak asasi, serta de-eskalasi penahanan fisik di penjara.</w:t>
      </w:r>
    </w:p>
    <w:p>
      <w:pPr>
        <w:pStyle w:val="Heading2"/>
        <w:ind w:hanging="499" w:start="499"/>
        <w:rPr>
          <w:rFonts w:ascii="Times New Roman" w:hAnsi="Times New Roman" w:cs="Times New Roman" w:asciiTheme="minorHAnsi" w:cstheme="minorHAnsi" w:hAnsiTheme="minorHAnsi"/>
        </w:rPr>
      </w:pPr>
      <w:r>
        <w:rPr>
          <w:rFonts w:cs="Times New Roman" w:cstheme="minorHAnsi"/>
        </w:rPr>
        <w:t>​</w:t>
      </w:r>
      <w:r>
        <w:rPr>
          <w:rFonts w:cs="Times New Roman" w:cstheme="minorHAnsi"/>
        </w:rPr>
        <w:t>Batasan Konstitusional dan Harmonisasi Asas Legalitas Materiil dalam Perspektif Hak Asasi Manusia</w:t>
      </w:r>
    </w:p>
    <w:p>
      <w:pPr>
        <w:pStyle w:val="Heading3"/>
        <w:ind w:hanging="567" w:start="567"/>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Ketegangan Doktrinal Antara Kepastian Hukum dan Fleksibilitas </w:t>
      </w:r>
      <w:r>
        <w:rPr>
          <w:rFonts w:cs="Times New Roman" w:cstheme="minorHAnsi"/>
          <w:i/>
          <w:iCs/>
        </w:rPr>
        <w:t>Living Law</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Pengakuan hukum yang hidup dalam masyarakat (</w:t>
      </w:r>
      <w:r>
        <w:rPr>
          <w:rFonts w:cs="Times New Roman" w:cstheme="minorHAnsi"/>
          <w:i/>
          <w:iCs/>
        </w:rPr>
        <w:t>living law</w:t>
      </w:r>
      <w:r>
        <w:rPr>
          <w:rFonts w:cs="Times New Roman" w:cstheme="minorHAnsi"/>
        </w:rPr>
        <w:t>) pada Pasal 2 ayat (1) UU Nomor 1 Tahun 2023 memicu perdebatan fundamental mengenai batas-batas kepastian hukum (</w:t>
      </w:r>
      <w:r>
        <w:rPr>
          <w:rFonts w:cs="Times New Roman" w:cstheme="minorHAnsi"/>
          <w:i/>
          <w:iCs/>
        </w:rPr>
        <w:t>rechtszekerheid</w:t>
      </w:r>
      <w:r>
        <w:rPr>
          <w:rFonts w:cs="Times New Roman" w:cstheme="minorHAnsi"/>
        </w:rPr>
        <w:t xml:space="preserve">). Dalam tradisi </w:t>
      </w:r>
      <w:r>
        <w:rPr>
          <w:rFonts w:cs="Times New Roman" w:cstheme="minorHAnsi"/>
          <w:i/>
          <w:iCs/>
        </w:rPr>
        <w:t>civil law</w:t>
      </w:r>
      <w:r>
        <w:rPr>
          <w:rFonts w:cs="Times New Roman" w:cstheme="minorHAnsi"/>
        </w:rPr>
        <w:t>, asas legalitas formil menjamin perlindungan warga negara melalui empat prinsip operasional:</w:t>
      </w:r>
    </w:p>
    <w:p>
      <w:pPr>
        <w:pStyle w:val="ListParagraph"/>
        <w:numPr>
          <w:ilvl w:val="0"/>
          <w:numId w:val="8"/>
        </w:numPr>
        <w:ind w:hanging="360" w:start="360"/>
        <w:rPr>
          <w:rFonts w:ascii="Times New Roman" w:hAnsi="Times New Roman" w:cs="Times New Roman" w:asciiTheme="minorHAnsi" w:cstheme="minorHAnsi" w:hAnsiTheme="minorHAnsi"/>
        </w:rPr>
      </w:pPr>
      <w:r>
        <w:rPr>
          <w:rFonts w:cs="Times New Roman" w:cstheme="minorHAnsi"/>
          <w:b/>
          <w:bCs/>
          <w:i/>
          <w:iCs/>
        </w:rPr>
        <w:t>​</w:t>
      </w:r>
      <w:r>
        <w:rPr>
          <w:rFonts w:cs="Times New Roman" w:cstheme="minorHAnsi"/>
          <w:b/>
          <w:bCs/>
          <w:i/>
          <w:iCs/>
        </w:rPr>
        <w:t>Lex scripta</w:t>
      </w:r>
      <w:r>
        <w:rPr>
          <w:rFonts w:cs="Times New Roman" w:cstheme="minorHAnsi"/>
        </w:rPr>
        <w:t>: Hukum pidana harus tertulis.</w:t>
      </w:r>
    </w:p>
    <w:p>
      <w:pPr>
        <w:pStyle w:val="ListParagraph"/>
        <w:numPr>
          <w:ilvl w:val="0"/>
          <w:numId w:val="8"/>
        </w:numPr>
        <w:ind w:hanging="360" w:start="360"/>
        <w:rPr>
          <w:rFonts w:ascii="Times New Roman" w:hAnsi="Times New Roman" w:cs="Times New Roman" w:asciiTheme="minorHAnsi" w:cstheme="minorHAnsi" w:hAnsiTheme="minorHAnsi"/>
        </w:rPr>
      </w:pPr>
      <w:r>
        <w:rPr>
          <w:rFonts w:cs="Times New Roman" w:cstheme="minorHAnsi"/>
          <w:b/>
          <w:bCs/>
          <w:i/>
          <w:iCs/>
        </w:rPr>
        <w:t>​</w:t>
      </w:r>
      <w:r>
        <w:rPr>
          <w:rFonts w:cs="Times New Roman" w:cstheme="minorHAnsi"/>
          <w:b/>
          <w:bCs/>
          <w:i/>
          <w:iCs/>
        </w:rPr>
        <w:t>Lex certa</w:t>
      </w:r>
      <w:r>
        <w:rPr>
          <w:rFonts w:cs="Times New Roman" w:cstheme="minorHAnsi"/>
        </w:rPr>
        <w:t>: Rumusan perbuatan pidana harus jelas dan tidak multitafsir.</w:t>
      </w:r>
    </w:p>
    <w:p>
      <w:pPr>
        <w:pStyle w:val="ListParagraph"/>
        <w:numPr>
          <w:ilvl w:val="0"/>
          <w:numId w:val="8"/>
        </w:numPr>
        <w:ind w:hanging="360" w:start="360"/>
        <w:rPr>
          <w:rFonts w:ascii="Times New Roman" w:hAnsi="Times New Roman" w:cs="Times New Roman" w:asciiTheme="minorHAnsi" w:cstheme="minorHAnsi" w:hAnsiTheme="minorHAnsi"/>
        </w:rPr>
      </w:pPr>
      <w:r>
        <w:rPr>
          <w:rFonts w:cs="Times New Roman" w:cstheme="minorHAnsi"/>
          <w:b/>
          <w:bCs/>
          <w:i/>
          <w:iCs/>
        </w:rPr>
        <w:t>​</w:t>
      </w:r>
      <w:r>
        <w:rPr>
          <w:rFonts w:cs="Times New Roman" w:cstheme="minorHAnsi"/>
          <w:b/>
          <w:bCs/>
          <w:i/>
          <w:iCs/>
        </w:rPr>
        <w:t>Lex stricta</w:t>
      </w:r>
      <w:r>
        <w:rPr>
          <w:rFonts w:cs="Times New Roman" w:cstheme="minorHAnsi"/>
        </w:rPr>
        <w:t>: Penafsiran analogi dilarang.</w:t>
      </w:r>
    </w:p>
    <w:p>
      <w:pPr>
        <w:pStyle w:val="ListParagraph"/>
        <w:numPr>
          <w:ilvl w:val="0"/>
          <w:numId w:val="8"/>
        </w:numPr>
        <w:ind w:hanging="360" w:start="360"/>
        <w:rPr>
          <w:rFonts w:ascii="Times New Roman" w:hAnsi="Times New Roman" w:cs="Times New Roman" w:asciiTheme="minorHAnsi" w:cstheme="minorHAnsi" w:hAnsiTheme="minorHAnsi"/>
        </w:rPr>
      </w:pPr>
      <w:r>
        <w:rPr>
          <w:rFonts w:cs="Times New Roman" w:cstheme="minorHAnsi"/>
          <w:b/>
          <w:bCs/>
          <w:i/>
          <w:iCs/>
        </w:rPr>
        <w:t>​</w:t>
      </w:r>
      <w:r>
        <w:rPr>
          <w:rFonts w:cs="Times New Roman" w:cstheme="minorHAnsi"/>
          <w:b/>
          <w:bCs/>
          <w:i/>
          <w:iCs/>
        </w:rPr>
        <w:t>Lex praevia</w:t>
      </w:r>
      <w:r>
        <w:rPr>
          <w:rFonts w:cs="Times New Roman" w:cstheme="minorHAnsi"/>
        </w:rPr>
        <w:t>: Hukum pidana tidak boleh berlaku surut.</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Pelembagaan hukum adat berpotensi berbenturan dengan prinsip </w:t>
      </w:r>
      <w:r>
        <w:rPr>
          <w:rFonts w:cs="Times New Roman" w:cstheme="minorHAnsi"/>
          <w:i/>
          <w:iCs/>
        </w:rPr>
        <w:t>lex scripta</w:t>
      </w:r>
      <w:r>
        <w:rPr>
          <w:rFonts w:cs="Times New Roman" w:cstheme="minorHAnsi"/>
        </w:rPr>
        <w:t xml:space="preserve"> dan </w:t>
      </w:r>
      <w:r>
        <w:rPr>
          <w:rFonts w:cs="Times New Roman" w:cstheme="minorHAnsi"/>
          <w:i/>
          <w:iCs/>
        </w:rPr>
        <w:t>lex certa</w:t>
      </w:r>
      <w:r>
        <w:rPr>
          <w:rFonts w:cs="Times New Roman" w:cstheme="minorHAnsi"/>
        </w:rPr>
        <w:t xml:space="preserve"> karena sebagian besar norma adat tidak terkodifikasi secara tertulis dan memiliki variasi lokal yang sangat beragam (Dewantara &amp; Fransisca, 2024: 233). Apabila penerapannya tidak dibatasi oleh instrumen penapisan yang jelas, fleksibilitas tersebut dapat membuka ruang bagi tindakan sewenang-wenang oleh aparat penegak hukum di daerah.</w:t>
      </w:r>
    </w:p>
    <w:p>
      <w:pPr>
        <w:pStyle w:val="Normal"/>
        <w:keepNext w:val="true"/>
        <w:rPr>
          <w:rFonts w:ascii="Times New Roman" w:hAnsi="Times New Roman" w:cs="Times New Roman" w:asciiTheme="minorHAnsi" w:cstheme="minorHAnsi" w:hAnsiTheme="minorHAnsi"/>
        </w:rPr>
      </w:pPr>
      <w:r>
        <w:rPr/>
        <w:drawing>
          <wp:inline distT="0" distB="0" distL="0" distR="0">
            <wp:extent cx="5732145" cy="2258060"/>
            <wp:effectExtent l="0" t="0" r="0" b="0"/>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a:picLocks noChangeAspect="1" noChangeArrowheads="1"/>
                    </pic:cNvPicPr>
                  </pic:nvPicPr>
                  <pic:blipFill>
                    <a:blip r:embed="rId6"/>
                    <a:stretch>
                      <a:fillRect/>
                    </a:stretch>
                  </pic:blipFill>
                  <pic:spPr bwMode="auto">
                    <a:xfrm>
                      <a:off x="0" y="0"/>
                      <a:ext cx="5732145" cy="2258060"/>
                    </a:xfrm>
                    <a:prstGeom prst="rect">
                      <a:avLst/>
                    </a:prstGeom>
                    <a:noFill/>
                  </pic:spPr>
                </pic:pic>
              </a:graphicData>
            </a:graphic>
          </wp:inline>
        </w:drawing>
      </w:r>
    </w:p>
    <w:p>
      <w:pPr>
        <w:pStyle w:val="Caption"/>
        <w:rPr>
          <w:rFonts w:ascii="Times New Roman" w:hAnsi="Times New Roman" w:cs="Times New Roman" w:asciiTheme="minorHAnsi" w:cstheme="minorHAnsi" w:hAnsiTheme="minorHAnsi"/>
        </w:rPr>
      </w:pPr>
      <w:r>
        <w:rPr>
          <w:rFonts w:cs="Times New Roman" w:cstheme="minorHAnsi"/>
        </w:rPr>
        <w:t xml:space="preserve">Gambar </w:t>
      </w:r>
      <w:r>
        <w:rPr>
          <w:rFonts w:cs="Times New Roman" w:cstheme="minorHAnsi"/>
        </w:rPr>
        <w:fldChar w:fldCharType="begin"/>
      </w:r>
      <w:r>
        <w:rPr>
          <w:rFonts w:cs="Times New Roman"/>
        </w:rPr>
        <w:instrText xml:space="preserve"> SEQ "Gambar"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Fleksibilitas </w:t>
      </w:r>
      <w:r>
        <w:rPr>
          <w:rFonts w:cs="Times New Roman" w:cstheme="minorHAnsi"/>
          <w:i/>
          <w:iCs/>
        </w:rPr>
        <w:t>Living Law</w:t>
      </w:r>
      <w:r>
        <w:rPr>
          <w:rFonts w:cs="Times New Roman" w:cstheme="minorHAnsi"/>
        </w:rPr>
        <w:t xml:space="preserve"> pada Pasal 2 Ayat 1</w:t>
      </w:r>
    </w:p>
    <w:p>
      <w:pPr>
        <w:pStyle w:val="Heading3"/>
        <w:ind w:hanging="567" w:start="567"/>
        <w:rPr>
          <w:rFonts w:ascii="Times New Roman" w:hAnsi="Times New Roman" w:cs="Times New Roman" w:asciiTheme="minorHAnsi" w:cstheme="minorHAnsi" w:hAnsiTheme="minorHAnsi"/>
        </w:rPr>
      </w:pPr>
      <w:r>
        <w:rPr>
          <w:rFonts w:cs="Times New Roman" w:cstheme="minorHAnsi"/>
        </w:rPr>
        <w:t>Mekanisme Penapisan Konstitusional Berdasarkan Pasal 2 Ayat (2)</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Untuk mengatasi potensi benturan tersebut, pembentuk undang-undang menyusun mekanisme penyaring (</w:t>
      </w:r>
      <w:r>
        <w:rPr>
          <w:rFonts w:cs="Times New Roman" w:cstheme="minorHAnsi"/>
          <w:i/>
          <w:iCs/>
        </w:rPr>
        <w:t>filtering mechanism</w:t>
      </w:r>
      <w:r>
        <w:rPr>
          <w:rFonts w:cs="Times New Roman" w:cstheme="minorHAnsi"/>
        </w:rPr>
        <w:t>) pada Pasal 2 ayat (2) KUHP Baru. Norma hukum adat hanya dapat diakui dan ditegakkan dalam peradilan pidana apabila memenuhi empat kriteria kumulatif:</w:t>
      </w:r>
    </w:p>
    <w:p>
      <w:pPr>
        <w:pStyle w:val="ListParagraph"/>
        <w:numPr>
          <w:ilvl w:val="0"/>
          <w:numId w:val="9"/>
        </w:numPr>
        <w:ind w:hanging="360" w:start="360"/>
        <w:rPr>
          <w:rFonts w:ascii="Times New Roman" w:hAnsi="Times New Roman" w:cs="Times New Roman" w:asciiTheme="minorHAnsi" w:cstheme="minorHAnsi" w:hAnsiTheme="minorHAnsi"/>
        </w:rPr>
      </w:pPr>
      <w:r>
        <w:rPr>
          <w:rFonts w:cs="Times New Roman" w:cstheme="minorHAnsi"/>
          <w:b/>
          <w:bCs/>
        </w:rPr>
        <w:t>​</w:t>
      </w:r>
      <w:r>
        <w:rPr>
          <w:rFonts w:cs="Times New Roman" w:cstheme="minorHAnsi"/>
          <w:b/>
          <w:bCs/>
        </w:rPr>
        <w:t>Kesesuaian dengan Nilai-Nilai Pancasila</w:t>
      </w:r>
      <w:r>
        <w:rPr>
          <w:rFonts w:cs="Times New Roman" w:cstheme="minorHAnsi"/>
        </w:rPr>
        <w:t>: Norma adat tidak boleh bertentangan dengan prinsip ketuhanan, kemanusiaan, persatuan, kerakyatan, dan keadilan sosial.</w:t>
      </w:r>
    </w:p>
    <w:p>
      <w:pPr>
        <w:pStyle w:val="ListParagraph"/>
        <w:numPr>
          <w:ilvl w:val="0"/>
          <w:numId w:val="9"/>
        </w:numPr>
        <w:ind w:hanging="360" w:start="360"/>
        <w:rPr>
          <w:rFonts w:ascii="Times New Roman" w:hAnsi="Times New Roman" w:cs="Times New Roman" w:asciiTheme="minorHAnsi" w:cstheme="minorHAnsi" w:hAnsiTheme="minorHAnsi"/>
        </w:rPr>
      </w:pPr>
      <w:r>
        <w:rPr>
          <w:rFonts w:cs="Times New Roman" w:cstheme="minorHAnsi"/>
          <w:b/>
          <w:bCs/>
        </w:rPr>
        <w:t>​</w:t>
      </w:r>
      <w:r>
        <w:rPr>
          <w:rFonts w:cs="Times New Roman" w:cstheme="minorHAnsi"/>
          <w:b/>
          <w:bCs/>
        </w:rPr>
        <w:t>Kepatuhan terhadap UUD NRI 1945</w:t>
      </w:r>
      <w:r>
        <w:rPr>
          <w:rFonts w:cs="Times New Roman" w:cstheme="minorHAnsi"/>
        </w:rPr>
        <w:t>: Penegakan delik adat tidak boleh melanggar hak-hak konstitusional warga negara yang dijamin dalam konstitusi.</w:t>
      </w:r>
    </w:p>
    <w:p>
      <w:pPr>
        <w:pStyle w:val="ListParagraph"/>
        <w:numPr>
          <w:ilvl w:val="0"/>
          <w:numId w:val="9"/>
        </w:numPr>
        <w:ind w:hanging="360" w:start="360"/>
        <w:rPr>
          <w:rFonts w:ascii="Times New Roman" w:hAnsi="Times New Roman" w:cs="Times New Roman" w:asciiTheme="minorHAnsi" w:cstheme="minorHAnsi" w:hAnsiTheme="minorHAnsi"/>
        </w:rPr>
      </w:pPr>
      <w:r>
        <w:rPr>
          <w:rFonts w:cs="Times New Roman" w:cstheme="minorHAnsi"/>
          <w:b/>
          <w:bCs/>
        </w:rPr>
        <w:t>​</w:t>
      </w:r>
      <w:r>
        <w:rPr>
          <w:rFonts w:cs="Times New Roman" w:cstheme="minorHAnsi"/>
          <w:b/>
          <w:bCs/>
        </w:rPr>
        <w:t>Penghormatan terhadap Hak Asasi Manusia</w:t>
      </w:r>
      <w:r>
        <w:rPr>
          <w:rFonts w:cs="Times New Roman" w:cstheme="minorHAnsi"/>
        </w:rPr>
        <w:t>: Praktik sanksi adat yang merendahkan martabat manusia, seperti hukuman fisik yang kejam atau pengusiran tanpa pembelaan yang adil, dinyatakan batal demi hukum (</w:t>
      </w:r>
      <w:r>
        <w:rPr>
          <w:rFonts w:cs="Times New Roman" w:cstheme="minorHAnsi"/>
          <w:i/>
          <w:iCs/>
        </w:rPr>
        <w:t>null and void</w:t>
      </w:r>
      <w:r>
        <w:rPr>
          <w:rFonts w:cs="Times New Roman" w:cstheme="minorHAnsi"/>
        </w:rPr>
        <w:t>).</w:t>
      </w:r>
    </w:p>
    <w:p>
      <w:pPr>
        <w:pStyle w:val="ListParagraph"/>
        <w:numPr>
          <w:ilvl w:val="0"/>
          <w:numId w:val="9"/>
        </w:numPr>
        <w:ind w:hanging="360" w:start="360"/>
        <w:rPr>
          <w:rFonts w:ascii="Times New Roman" w:hAnsi="Times New Roman" w:cs="Times New Roman" w:asciiTheme="minorHAnsi" w:cstheme="minorHAnsi" w:hAnsiTheme="minorHAnsi"/>
        </w:rPr>
      </w:pPr>
      <w:r>
        <w:rPr>
          <w:rFonts w:cs="Times New Roman" w:cstheme="minorHAnsi"/>
          <w:b/>
          <w:bCs/>
        </w:rPr>
        <w:t>​</w:t>
      </w:r>
      <w:r>
        <w:rPr>
          <w:rFonts w:cs="Times New Roman" w:cstheme="minorHAnsi"/>
          <w:b/>
          <w:bCs/>
        </w:rPr>
        <w:t>Pengakuan Asas Hukum Umum yang Berlaku pada Bangsa Beradab</w:t>
      </w:r>
      <w:r>
        <w:rPr>
          <w:rFonts w:cs="Times New Roman" w:cstheme="minorHAnsi"/>
        </w:rPr>
        <w:t xml:space="preserve">: Mengacu pada standar </w:t>
      </w:r>
      <w:r>
        <w:rPr>
          <w:rFonts w:cs="Times New Roman" w:cstheme="minorHAnsi"/>
          <w:i/>
          <w:iCs/>
        </w:rPr>
        <w:t>general principles of law recognized by civilized nations</w:t>
      </w:r>
      <w:r>
        <w:rPr>
          <w:rFonts w:cs="Times New Roman" w:cstheme="minorHAnsi"/>
        </w:rPr>
        <w:t xml:space="preserve"> sebagaimana termaktub dalam Pasal 15 ayat (2) </w:t>
      </w:r>
      <w:r>
        <w:rPr>
          <w:rFonts w:cs="Times New Roman" w:cstheme="minorHAnsi"/>
          <w:i/>
          <w:iCs/>
        </w:rPr>
        <w:t>International Covenant on Civil and Political Rights</w:t>
      </w:r>
      <w:r>
        <w:rPr>
          <w:rFonts w:cs="Times New Roman" w:cstheme="minorHAnsi"/>
        </w:rPr>
        <w:t xml:space="preserve"> (ICCPR).</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Dengan parameter ini, Pasal 2 UU Nomor 1 Tahun 2023 tidak menciptakan delik pidana baru secara liar, melainkan memberikan kerangka legal bagi pengadilan untuk memvalidasi sanksi komunal yang telah terbukti menjaga ketertiban sosial tanpa merusak prinsip perlindungan HAM (Prabowo, Imanuddin, &amp; Bachtiar, 2024: 115).</w:t>
      </w:r>
    </w:p>
    <w:p>
      <w:pPr>
        <w:pStyle w:val="Heading2"/>
        <w:ind w:hanging="499" w:start="499"/>
        <w:rPr>
          <w:rFonts w:ascii="Times New Roman" w:hAnsi="Times New Roman" w:cs="Times New Roman" w:asciiTheme="minorHAnsi" w:cstheme="minorHAnsi" w:hAnsiTheme="minorHAnsi"/>
        </w:rPr>
      </w:pPr>
      <w:r>
        <w:rPr>
          <w:rFonts w:cs="Times New Roman" w:cstheme="minorHAnsi"/>
        </w:rPr>
        <w:t>​</w:t>
      </w:r>
      <w:r>
        <w:rPr>
          <w:rFonts w:cs="Times New Roman" w:cstheme="minorHAnsi"/>
        </w:rPr>
        <w:t>Sinkronisasi Kelembagaan dan Reformasi Hukum Acara Pidana (</w:t>
      </w:r>
      <w:r>
        <w:rPr>
          <w:rFonts w:cs="Times New Roman" w:cstheme="minorHAnsi"/>
          <w:i/>
          <w:iCs/>
        </w:rPr>
        <w:t>Jus Constituendum</w:t>
      </w:r>
      <w:r>
        <w:rPr>
          <w:rFonts w:cs="Times New Roman" w:cstheme="minorHAnsi"/>
        </w:rPr>
        <w:t>)</w:t>
      </w:r>
    </w:p>
    <w:p>
      <w:pPr>
        <w:pStyle w:val="Heading3"/>
        <w:ind w:hanging="567" w:start="567"/>
        <w:rPr>
          <w:rFonts w:ascii="Times New Roman" w:hAnsi="Times New Roman" w:cs="Times New Roman" w:asciiTheme="minorHAnsi" w:cstheme="minorHAnsi" w:hAnsiTheme="minorHAnsi"/>
        </w:rPr>
      </w:pPr>
      <w:r>
        <w:rPr>
          <w:rFonts w:cs="Times New Roman" w:cstheme="minorHAnsi"/>
        </w:rPr>
        <w:t>​</w:t>
      </w:r>
      <w:r>
        <w:rPr>
          <w:rFonts w:cs="Times New Roman" w:cstheme="minorHAnsi"/>
        </w:rPr>
        <w:t>Problematika Tumpang Tindih Diskresi Antara Polri dan Kejaksaan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Pembaruan hukum pidana materiil dalam KUHP Baru belum diimbangi secara utuh oleh pembaruan hukum acara pidana formil. Kondisi ini menciptakan kesenjangan kelembagaan (</w:t>
      </w:r>
      <w:r>
        <w:rPr>
          <w:rFonts w:cs="Times New Roman" w:cstheme="minorHAnsi"/>
          <w:i/>
          <w:iCs/>
        </w:rPr>
        <w:t>institutional gap</w:t>
      </w:r>
      <w:r>
        <w:rPr>
          <w:rFonts w:cs="Times New Roman" w:cstheme="minorHAnsi"/>
        </w:rPr>
        <w:t>) dalam implementasi keadilan restoratif. Kepolisian mengoperasikan mekanisme damai berdasarkan Peraturan Kepolisian Nomor 8 Tahun 2021, sementara Kejaksaan mengacu pada Peraturan Kejaksaan Nomor 15 Tahun 2020 (Silalahi &amp; Sari, 2026: 403).</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Perbedaan tolok ukur administratif antara kedua instansi penegak hukum ini menimbulkan risiko benturan kewenangan, khususnya mengenai batas kewenangan diskresi penyidik Polri pada tahap pra-ajudikasi berhadapan dengan asas </w:t>
      </w:r>
      <w:r>
        <w:rPr>
          <w:rFonts w:cs="Times New Roman" w:cstheme="minorHAnsi"/>
          <w:i/>
          <w:iCs/>
        </w:rPr>
        <w:t>dominus litis</w:t>
      </w:r>
      <w:r>
        <w:rPr>
          <w:rFonts w:cs="Times New Roman" w:cstheme="minorHAnsi"/>
        </w:rPr>
        <w:t xml:space="preserve"> jaksa penuntut umum (Koto &amp; Poeloengan, 2022: 88).</w:t>
      </w:r>
    </w:p>
    <w:p>
      <w:pPr>
        <w:pStyle w:val="Normal"/>
        <w:keepNext w:val="true"/>
        <w:jc w:val="center"/>
        <w:rPr>
          <w:rFonts w:ascii="Times New Roman" w:hAnsi="Times New Roman" w:cs="Times New Roman" w:asciiTheme="minorHAnsi" w:cstheme="minorHAnsi" w:hAnsiTheme="minorHAnsi"/>
        </w:rPr>
      </w:pPr>
      <w:r>
        <w:rPr/>
        <w:drawing>
          <wp:inline distT="0" distB="0" distL="0" distR="0">
            <wp:extent cx="4653280" cy="4616450"/>
            <wp:effectExtent l="0" t="0" r="0" b="0"/>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a:picLocks noChangeAspect="1" noChangeArrowheads="1"/>
                    </pic:cNvPicPr>
                  </pic:nvPicPr>
                  <pic:blipFill>
                    <a:blip r:embed="rId7"/>
                    <a:stretch>
                      <a:fillRect/>
                    </a:stretch>
                  </pic:blipFill>
                  <pic:spPr bwMode="auto">
                    <a:xfrm>
                      <a:off x="0" y="0"/>
                      <a:ext cx="4653280" cy="4616450"/>
                    </a:xfrm>
                    <a:prstGeom prst="rect">
                      <a:avLst/>
                    </a:prstGeom>
                    <a:noFill/>
                  </pic:spPr>
                </pic:pic>
              </a:graphicData>
            </a:graphic>
          </wp:inline>
        </w:drawing>
      </w:r>
    </w:p>
    <w:p>
      <w:pPr>
        <w:pStyle w:val="Caption"/>
        <w:rPr>
          <w:rFonts w:ascii="Times New Roman" w:hAnsi="Times New Roman" w:cs="Times New Roman" w:asciiTheme="minorHAnsi" w:cstheme="minorHAnsi" w:hAnsiTheme="minorHAnsi"/>
        </w:rPr>
      </w:pPr>
      <w:r>
        <w:rPr>
          <w:rFonts w:cs="Times New Roman" w:cstheme="minorHAnsi"/>
        </w:rPr>
        <w:t xml:space="preserve">Gambar </w:t>
      </w:r>
      <w:r>
        <w:rPr>
          <w:rFonts w:cs="Times New Roman" w:cstheme="minorHAnsi"/>
        </w:rPr>
        <w:fldChar w:fldCharType="begin"/>
      </w:r>
      <w:r>
        <w:rPr>
          <w:rFonts w:cs="Times New Roman"/>
        </w:rPr>
        <w:instrText xml:space="preserve"> SEQ "Gambar"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Harmonisasi </w:t>
      </w:r>
      <w:r>
        <w:rPr>
          <w:rFonts w:cs="Times New Roman" w:cstheme="minorHAnsi"/>
          <w:i/>
          <w:iCs/>
        </w:rPr>
        <w:t>Jus Constituendum</w:t>
      </w:r>
      <w:r>
        <w:rPr>
          <w:rFonts w:cs="Times New Roman" w:cstheme="minorHAnsi"/>
        </w:rPr>
        <w:t xml:space="preserve"> dan Fragmentasi Hukum Acara Saat Ini</w:t>
      </w:r>
    </w:p>
    <w:p>
      <w:pPr>
        <w:pStyle w:val="Heading3"/>
        <w:ind w:hanging="567" w:start="567"/>
        <w:rPr>
          <w:rFonts w:ascii="Times New Roman" w:hAnsi="Times New Roman" w:cs="Times New Roman" w:asciiTheme="minorHAnsi" w:cstheme="minorHAnsi" w:hAnsiTheme="minorHAnsi"/>
        </w:rPr>
      </w:pPr>
      <w:r>
        <w:rPr>
          <w:rFonts w:cs="Times New Roman" w:cstheme="minorHAnsi"/>
        </w:rPr>
        <w:t>Rekonstruksi Hubungan Fungsional dalam RUU KUHAP</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Guna menjamin kepastian hukum dalam penerapan KUHP Baru, pembaruan Kitab Undang-Undang Hukum Acara Pidana (RUU KUHAP) harus memuat standardisasi mediasi penal yang terintegrasi. Rekonstruksi hubungan fungsional tersebut bertumpu pada tiga pilar:</w:t>
      </w:r>
    </w:p>
    <w:p>
      <w:pPr>
        <w:pStyle w:val="ListParagraph"/>
        <w:numPr>
          <w:ilvl w:val="0"/>
          <w:numId w:val="10"/>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rPr>
        <w:t>Pelembagaan Lembaga Hakim Pemeriksa Pendahuluan (</w:t>
      </w:r>
      <w:r>
        <w:rPr>
          <w:rFonts w:cs="Times New Roman" w:cstheme="minorHAnsi"/>
          <w:b/>
          <w:bCs/>
          <w:i/>
          <w:iCs/>
        </w:rPr>
        <w:t>Judicial Scrutiny</w:t>
      </w:r>
      <w:r>
        <w:rPr>
          <w:rFonts w:cs="Times New Roman" w:cstheme="minorHAnsi"/>
          <w:b/>
          <w:bCs/>
        </w:rPr>
        <w:t>)</w:t>
      </w:r>
      <w:r>
        <w:rPr>
          <w:rFonts w:cs="Times New Roman" w:cstheme="minorHAnsi"/>
        </w:rPr>
        <w:t>: Penghentian perkara berdasarkan keadilan restoratif atau penerapan pemaafan peradilan (</w:t>
      </w:r>
      <w:r>
        <w:rPr>
          <w:rFonts w:cs="Times New Roman" w:cstheme="minorHAnsi"/>
          <w:i/>
          <w:iCs/>
        </w:rPr>
        <w:t>judicial pardon</w:t>
      </w:r>
      <w:r>
        <w:rPr>
          <w:rFonts w:cs="Times New Roman" w:cstheme="minorHAnsi"/>
        </w:rPr>
        <w:t>) wajib memperoleh penetapan resmi dari pengadilan guna mencegah komersialisasi perkara.</w:t>
      </w:r>
    </w:p>
    <w:p>
      <w:pPr>
        <w:pStyle w:val="ListParagraph"/>
        <w:numPr>
          <w:ilvl w:val="0"/>
          <w:numId w:val="10"/>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rPr>
        <w:t>Penegasan Diferensiasi Fungsional yang Jelas</w:t>
      </w:r>
      <w:r>
        <w:rPr>
          <w:rFonts w:cs="Times New Roman" w:cstheme="minorHAnsi"/>
        </w:rPr>
        <w:t>: Memberikan batas tegas kewenangan diskresi penyidikan awal kepada Polri dan kewenangan pengendali penuntutan kepada Kejaksaan secara proporsional (Silalahi &amp; Sari, 2026: 405).</w:t>
      </w:r>
    </w:p>
    <w:p>
      <w:pPr>
        <w:pStyle w:val="ListParagraph"/>
        <w:numPr>
          <w:ilvl w:val="0"/>
          <w:numId w:val="10"/>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rPr>
        <w:t>Perlindungan Hak Korban yang Mengikat</w:t>
      </w:r>
      <w:r>
        <w:rPr>
          <w:rFonts w:cs="Times New Roman" w:cstheme="minorHAnsi"/>
        </w:rPr>
        <w:t>: Menjadikan pemulihan kerugian korban (</w:t>
      </w:r>
      <w:r>
        <w:rPr>
          <w:rFonts w:cs="Times New Roman" w:cstheme="minorHAnsi"/>
          <w:i/>
          <w:iCs/>
        </w:rPr>
        <w:t>victim restitution</w:t>
      </w:r>
      <w:r>
        <w:rPr>
          <w:rFonts w:cs="Times New Roman" w:cstheme="minorHAnsi"/>
        </w:rPr>
        <w:t>) sebagai syarat mutlak sebelum suatu perkara pidana dialihkan keluar dari jalur litigasi formal.</w:t>
      </w:r>
    </w:p>
    <w:p>
      <w:pPr>
        <w:pStyle w:val="Caption"/>
        <w:keepNext w:val="true"/>
        <w:rPr>
          <w:rFonts w:ascii="Times New Roman" w:hAnsi="Times New Roman" w:cs="Times New Roman" w:asciiTheme="minorHAnsi" w:cstheme="minorHAnsi" w:hAnsiTheme="minorHAnsi"/>
        </w:rPr>
      </w:pPr>
      <w:r>
        <w:rPr>
          <w:rFonts w:cs="Times New Roman" w:cstheme="minorHAnsi"/>
        </w:rPr>
        <w:t xml:space="preserve">Tabel </w:t>
      </w:r>
      <w:r>
        <w:rPr>
          <w:rFonts w:cs="Times New Roman" w:cstheme="minorHAnsi"/>
        </w:rPr>
        <w:fldChar w:fldCharType="begin"/>
      </w:r>
      <w:r>
        <w:rPr>
          <w:rFonts w:cs="Times New Roman"/>
        </w:rPr>
        <w:instrText xml:space="preserve"> SEQ "Tabel" \* ARABIC </w:instrText>
      </w:r>
      <w:r>
        <w:rPr>
          <w:rFonts w:cs="Times New Roman"/>
        </w:rPr>
        <w:fldChar w:fldCharType="separate"/>
      </w:r>
      <w:r>
        <w:rPr>
          <w:rFonts w:cs="Times New Roman"/>
        </w:rPr>
        <w:t>1</w:t>
      </w:r>
      <w:r>
        <w:rPr>
          <w:rFonts w:cs="Times New Roman"/>
        </w:rPr>
        <w:fldChar w:fldCharType="end"/>
      </w:r>
      <w:r>
        <w:rPr>
          <w:rFonts w:cs="Times New Roman" w:cstheme="minorHAnsi"/>
        </w:rPr>
        <w:t xml:space="preserve"> Perbandingan Komprehensif Karakteristik WvS dan UU Nomor 1 Tahun 2023</w:t>
      </w:r>
    </w:p>
    <w:tbl>
      <w:tblPr>
        <w:tblStyle w:val="KisiTabel"/>
        <w:tblW w:w="9027" w:type="dxa"/>
        <w:jc w:val="start"/>
        <w:tblInd w:w="0" w:type="dxa"/>
        <w:tblLayout w:type="fixed"/>
        <w:tblCellMar>
          <w:top w:w="57" w:type="dxa"/>
          <w:start w:w="57" w:type="dxa"/>
          <w:bottom w:w="57" w:type="dxa"/>
          <w:end w:w="57" w:type="dxa"/>
        </w:tblCellMar>
        <w:tblLook w:noHBand="0" w:lastColumn="0" w:firstColumn="1" w:lastRow="0" w:firstRow="1" w:noVBand="1" w:val="04a0"/>
      </w:tblPr>
      <w:tblGrid>
        <w:gridCol w:w="3009"/>
        <w:gridCol w:w="3009"/>
        <w:gridCol w:w="3009"/>
      </w:tblGrid>
      <w:tr>
        <w:trPr>
          <w:cantSplit/>
        </w:trPr>
        <w:tc>
          <w:tcPr>
            <w:tcW w:w="3009"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Parameter Analisis</w:t>
            </w:r>
          </w:p>
        </w:tc>
        <w:tc>
          <w:tcPr>
            <w:tcW w:w="3009"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WvS (KUHP Kolonial Lama)</w:t>
            </w:r>
          </w:p>
        </w:tc>
        <w:tc>
          <w:tcPr>
            <w:tcW w:w="3009" w:type="dxa"/>
            <w:tcBorders/>
            <w:vAlign w:val="center"/>
          </w:tcPr>
          <w:p>
            <w:pPr>
              <w:pStyle w:val="Normal"/>
              <w:widowControl/>
              <w:suppressAutoHyphens w:val="true"/>
              <w:spacing w:lineRule="auto" w:line="240" w:before="0" w:after="0"/>
              <w:jc w:val="center"/>
              <w:rPr>
                <w:rFonts w:ascii="Times New Roman" w:hAnsi="Times New Roman" w:cs="Times New Roman" w:asciiTheme="minorHAnsi" w:cstheme="minorHAnsi" w:hAnsiTheme="minorHAnsi"/>
                <w:b/>
                <w:bCs/>
              </w:rPr>
            </w:pPr>
            <w:r>
              <w:rPr>
                <w:rFonts w:cs="Times New Roman" w:cstheme="minorHAnsi"/>
                <w:b/>
                <w:bCs/>
                <w:kern w:val="2"/>
                <w:lang w:bidi="ar-SA"/>
              </w:rPr>
              <w:t>UU Nomor 1 Tahun 2023 (KUHP Nasional Baru)</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Landasan Filosofis</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Retributif klasik dan individualistis</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Monodualistik Pancasila dan keseimbangan sosial</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Asas Legalitas</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Legalitas formil mutlak (Pasal 1 ayat 1)</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Perluasan legalitas materiil /</w:t>
            </w:r>
            <w:r>
              <w:rPr>
                <w:rFonts w:cs="Times New Roman" w:cstheme="minorHAnsi"/>
                <w:i/>
                <w:iCs/>
                <w:kern w:val="2"/>
                <w:lang w:bidi="ar-SA"/>
              </w:rPr>
              <w:t>living law</w:t>
            </w:r>
            <w:r>
              <w:rPr>
                <w:rFonts w:cs="Times New Roman" w:cstheme="minorHAnsi"/>
                <w:kern w:val="2"/>
                <w:lang w:bidi="ar-SA"/>
              </w:rPr>
              <w:t xml:space="preserve"> (Pasal 1 &amp; 2)</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Subjek Tindak Pidana</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Manusia alamiah (</w:t>
            </w:r>
            <w:r>
              <w:rPr>
                <w:rFonts w:cs="Times New Roman" w:cstheme="minorHAnsi"/>
                <w:i/>
                <w:iCs/>
                <w:kern w:val="2"/>
                <w:lang w:bidi="ar-SA"/>
              </w:rPr>
              <w:t>natuurlijke person</w:t>
            </w:r>
            <w:r>
              <w:rPr>
                <w:rFonts w:cs="Times New Roman" w:cstheme="minorHAnsi"/>
                <w:kern w:val="2"/>
                <w:lang w:bidi="ar-SA"/>
              </w:rPr>
              <w:t>)</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Manusia alamiah dan Korporasi (Pasal 45-50)</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Sistem Pemidanaan</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Jalur tunggal (</w:t>
            </w:r>
            <w:r>
              <w:rPr>
                <w:rFonts w:cs="Times New Roman" w:cstheme="minorHAnsi"/>
                <w:i/>
                <w:iCs/>
                <w:kern w:val="2"/>
                <w:lang w:bidi="ar-SA"/>
              </w:rPr>
              <w:t>single track system</w:t>
            </w:r>
            <w:r>
              <w:rPr>
                <w:rFonts w:cs="Times New Roman" w:cstheme="minorHAnsi"/>
                <w:kern w:val="2"/>
                <w:lang w:bidi="ar-SA"/>
              </w:rPr>
              <w:t>)</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Jalur ganda / sanksi &amp; tindakan (</w:t>
            </w:r>
            <w:r>
              <w:rPr>
                <w:rFonts w:cs="Times New Roman" w:cstheme="minorHAnsi"/>
                <w:i/>
                <w:iCs/>
                <w:kern w:val="2"/>
                <w:lang w:bidi="ar-SA"/>
              </w:rPr>
              <w:t>double track system</w:t>
            </w:r>
            <w:r>
              <w:rPr>
                <w:rFonts w:cs="Times New Roman" w:cstheme="minorHAnsi"/>
                <w:kern w:val="2"/>
                <w:lang w:bidi="ar-SA"/>
              </w:rPr>
              <w:t>)</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 xml:space="preserve">Pedoman Pemidanaan </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 xml:space="preserve">Tidak diatur secara eksplisit </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 xml:space="preserve">Diatur rinci meliputi </w:t>
            </w:r>
            <w:r>
              <w:rPr>
                <w:rFonts w:cs="Times New Roman" w:cstheme="minorHAnsi"/>
                <w:i/>
                <w:iCs/>
                <w:kern w:val="2"/>
                <w:lang w:bidi="ar-SA"/>
              </w:rPr>
              <w:t>judicial pardon</w:t>
            </w:r>
            <w:r>
              <w:rPr>
                <w:rFonts w:cs="Times New Roman" w:cstheme="minorHAnsi"/>
                <w:kern w:val="2"/>
                <w:lang w:bidi="ar-SA"/>
              </w:rPr>
              <w:t xml:space="preserve"> (Pasal 51-56)</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Pidana Non-Pemenjaraan</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Sangat terbatas (denda dan kurungan)</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Pengawasan dan Kerja Sosial (Pasal 65, 75, 85)</w:t>
            </w:r>
          </w:p>
        </w:tc>
      </w:tr>
      <w:tr>
        <w:trPr>
          <w:cantSplit/>
        </w:trPr>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Perlindungan Korban</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Terabaikan dalam penjatuhan sanksi</w:t>
            </w:r>
          </w:p>
        </w:tc>
        <w:tc>
          <w:tcPr>
            <w:tcW w:w="3009" w:type="dxa"/>
            <w:tcBorders/>
          </w:tcPr>
          <w:p>
            <w:pPr>
              <w:pStyle w:val="Normal"/>
              <w:widowControl/>
              <w:suppressAutoHyphens w:val="true"/>
              <w:spacing w:lineRule="auto" w:line="240" w:before="0" w:after="0"/>
              <w:jc w:val="start"/>
              <w:rPr>
                <w:rFonts w:ascii="Times New Roman" w:hAnsi="Times New Roman" w:cs="Times New Roman" w:asciiTheme="minorHAnsi" w:cstheme="minorHAnsi" w:hAnsiTheme="minorHAnsi"/>
              </w:rPr>
            </w:pPr>
            <w:r>
              <w:rPr>
                <w:rFonts w:cs="Times New Roman" w:cstheme="minorHAnsi"/>
                <w:kern w:val="2"/>
                <w:lang w:bidi="ar-SA"/>
              </w:rPr>
              <w:t>Keadilan restoratif dan restitusi kerugian</w:t>
            </w:r>
          </w:p>
        </w:tc>
      </w:tr>
    </w:tbl>
    <w:p>
      <w:pPr>
        <w:pStyle w:val="Normal"/>
        <w:rPr>
          <w:rFonts w:ascii="Times New Roman" w:hAnsi="Times New Roman" w:cs="Times New Roman" w:asciiTheme="minorHAnsi" w:cstheme="minorHAnsi" w:hAnsiTheme="minorHAnsi"/>
        </w:rPr>
      </w:pPr>
      <w:r>
        <w:rPr>
          <w:rFonts w:cs="Times New Roman" w:cstheme="minorHAnsi"/>
        </w:rPr>
      </w:r>
    </w:p>
    <w:p>
      <w:pPr>
        <w:pStyle w:val="Heading1"/>
        <w:ind w:hanging="360" w:start="360"/>
        <w:rPr>
          <w:rFonts w:ascii="Times New Roman" w:hAnsi="Times New Roman" w:cs="Times New Roman" w:asciiTheme="minorHAnsi" w:cstheme="minorHAnsi" w:hAnsiTheme="minorHAnsi"/>
        </w:rPr>
      </w:pPr>
      <w:r>
        <w:rPr>
          <w:rFonts w:cs="Times New Roman" w:cstheme="minorHAnsi"/>
        </w:rPr>
        <w:t>Kesimpulan</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Pengesahan Undang-Undang Nomor 1 Tahun 2023 tentang Kitab Undang-Undang Hukum Pidana membuktikan terjadinya pergeseran epistemologis dan paradigmatik dari doktrin hukum pidana klasik warisan kolonial menuju hukum pidana nasional yang integratif. Berdasarkan analisis Teori Hukum dan pemikiran hukum pidana kontemporer, kesimpulan penelitian dirumuskan sebagai berikut.</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i/>
          <w:iCs/>
        </w:rPr>
        <w:t>Pertama</w:t>
      </w:r>
      <w:r>
        <w:rPr>
          <w:rFonts w:cs="Times New Roman" w:cstheme="minorHAnsi"/>
        </w:rPr>
        <w:t>, perluasan Asas Legalitas melalui pengakuan hukum yang hidup dalam masyarakat (living law) pada Pasal 2 ayat (1) merupakan koreksi doktrinal terhadap batas-batas kekakuan Positivisme Hukum Abad ke-19 (legisme). Rekonseptualisasi ini menjembatani ketegangan antara kepastian hukum formil dan keadilan substantif dengan mengintegrasikan hukum adat ke dalam sistem pemidanaan negara melalui penapisan ketat berbasis Pancasila, UUD NRI 1945, dan hak asasi manusia.</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i/>
          <w:iCs/>
        </w:rPr>
        <w:t>Kedua</w:t>
      </w:r>
      <w:r>
        <w:rPr>
          <w:rFonts w:cs="Times New Roman" w:cstheme="minorHAnsi"/>
        </w:rPr>
        <w:t>, pelembagaan Keadilan Restoratif (restorative justice) dan asas pemaafan hakim (judicial pardon) dalam Pasal 51 hingga Pasal 56 mencerminkan konvergensi pendekatan Sociological Jurisprudence dan Pragmatic Legal Realism. Norma-norma baru ini mentransformasikan tujuan pemidanaan dari retributif murni menuju pemulihan keseimbangan sosial, perlindungan hak korban, serta efisiensi peradilan pidana melalui diskresi terukur penegak hukum.</w:t>
      </w:r>
    </w:p>
    <w:p>
      <w:pPr>
        <w:pStyle w:val="Normal"/>
        <w:rPr>
          <w:rFonts w:ascii="Times New Roman" w:hAnsi="Times New Roman" w:cs="Times New Roman" w:asciiTheme="minorHAnsi" w:cstheme="minorHAnsi" w:hAnsiTheme="minorHAnsi"/>
          <w:b/>
          <w:bCs/>
        </w:rPr>
      </w:pPr>
      <w:r>
        <w:rPr>
          <w:rFonts w:cs="Times New Roman" w:cstheme="minorHAnsi"/>
          <w:b/>
          <w:bCs/>
        </w:rPr>
        <w:t>​</w:t>
      </w:r>
      <w:r>
        <w:rPr>
          <w:rFonts w:cs="Times New Roman" w:cstheme="minorHAnsi"/>
          <w:b/>
          <w:bCs/>
        </w:rPr>
        <w:t>Rekomendasi Kebijakan (</w:t>
      </w:r>
      <w:r>
        <w:rPr>
          <w:rFonts w:cs="Times New Roman" w:cstheme="minorHAnsi"/>
          <w:b/>
          <w:bCs/>
          <w:i/>
          <w:iCs/>
        </w:rPr>
        <w:t>De Lege Ferenda</w:t>
      </w:r>
      <w:r>
        <w:rPr>
          <w:rFonts w:cs="Times New Roman" w:cstheme="minorHAnsi"/>
          <w:b/>
          <w:bCs/>
        </w:rPr>
        <w:t>)</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Guna memastikan operasionalisasi norma baru berjalan efektif dan terhindar dari kesewenang-wenangan (arbitrary enforcement), dirumuskan rekomendasi kebijakan hukum ke depan (de lege ferenda):</w:t>
      </w:r>
    </w:p>
    <w:p>
      <w:pPr>
        <w:pStyle w:val="ListParagraph"/>
        <w:numPr>
          <w:ilvl w:val="0"/>
          <w:numId w:val="4"/>
        </w:numPr>
        <w:ind w:hanging="360" w:start="357"/>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rPr>
        <w:t>Pembentukan Peraturan Pemerintah tentang Hukum yang Hidup dalam Masyarakat</w:t>
      </w:r>
      <w:r>
        <w:rPr>
          <w:rFonts w:cs="Times New Roman" w:cstheme="minorHAnsi"/>
        </w:rPr>
        <w:t>: Pemerintah perlu segera menyusun dan mengesahkan Peraturan Pemerintah (PP) turunan Pasal 2 ayat (3) KUHP Baru yang memuat pedoman, kriteria, dan inventarisasi kompilasi hukum adat secara dinamis agar penegakan delik adat memiliki batasan materiil yang jelas bagi aparat penegak hukum.</w:t>
      </w:r>
    </w:p>
    <w:p>
      <w:pPr>
        <w:pStyle w:val="ListParagraph"/>
        <w:numPr>
          <w:ilvl w:val="0"/>
          <w:numId w:val="4"/>
        </w:numPr>
        <w:ind w:hanging="360" w:start="357"/>
        <w:rPr>
          <w:rFonts w:ascii="Times New Roman" w:hAnsi="Times New Roman" w:cs="Times New Roman" w:asciiTheme="minorHAnsi" w:cstheme="minorHAnsi" w:hAnsiTheme="minorHAnsi"/>
        </w:rPr>
      </w:pPr>
      <w:r>
        <w:rPr>
          <w:rFonts w:cs="Times New Roman" w:cstheme="minorHAnsi"/>
        </w:rPr>
        <w:t>​</w:t>
      </w:r>
      <w:r>
        <w:rPr>
          <w:rFonts w:cs="Times New Roman" w:cstheme="minorHAnsi"/>
          <w:b/>
          <w:bCs/>
        </w:rPr>
        <w:t>Harmonisasi Regulasi Hukum Acara Pidana</w:t>
      </w:r>
      <w:r>
        <w:rPr>
          <w:rFonts w:cs="Times New Roman" w:cstheme="minorHAnsi"/>
        </w:rPr>
        <w:t>: Pembuat undang-undang wajib mereformasi Kitab Undang-Undang Hukum Acara Pidana (KUHAP Baru) guna melembagakan mekanisme Keadilan Restoratif, mediasi penal, dan pelaksanaan judicial pardon secara terpadu di tingkat kepolisian, kejaksaan, dan pengadilan demi mencegah tumpang tindih kewenangan kelembagaan.</w:t>
      </w:r>
    </w:p>
    <w:p>
      <w:pPr>
        <w:pStyle w:val="Normal"/>
        <w:rPr>
          <w:rFonts w:ascii="Times New Roman" w:hAnsi="Times New Roman" w:cs="Times New Roman" w:asciiTheme="minorHAnsi" w:cstheme="minorHAnsi" w:hAnsiTheme="minorHAnsi"/>
          <w:b/>
          <w:bCs/>
        </w:rPr>
      </w:pPr>
      <w:r>
        <w:rPr>
          <w:rFonts w:cs="Times New Roman" w:cstheme="minorHAnsi"/>
          <w:b/>
          <w:bCs/>
        </w:rPr>
        <w:t>​</w:t>
      </w:r>
      <w:r>
        <w:rPr>
          <w:rFonts w:cs="Times New Roman" w:cstheme="minorHAnsi"/>
          <w:b/>
          <w:bCs/>
        </w:rPr>
        <w:t>Implikasi Praktis Penerapan Hukum</w:t>
      </w:r>
    </w:p>
    <w:p>
      <w:pPr>
        <w:pStyle w:val="Normal"/>
        <w:rPr>
          <w:rFonts w:ascii="Times New Roman" w:hAnsi="Times New Roman" w:cs="Times New Roman" w:asciiTheme="minorHAnsi" w:cstheme="minorHAnsi" w:hAnsiTheme="minorHAnsi"/>
        </w:rPr>
      </w:pPr>
      <w:r>
        <w:rPr>
          <w:rFonts w:cs="Times New Roman" w:cstheme="minorHAnsi"/>
        </w:rPr>
        <w:t>​</w:t>
      </w:r>
      <w:r>
        <w:rPr>
          <w:rFonts w:cs="Times New Roman" w:cstheme="minorHAnsi"/>
        </w:rPr>
        <w:t>Implementasi KUHP Baru membawa implikasi langsung terhadap praktik penegakan hukum di lapangan:</w:t>
      </w:r>
    </w:p>
    <w:p>
      <w:pPr>
        <w:pStyle w:val="ListParagraph"/>
        <w:numPr>
          <w:ilvl w:val="0"/>
          <w:numId w:val="5"/>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rPr>
        <w:t>Transformasi Budaya Hukum Aparat: Institusi Kepolisian Negara Republik Indonesia (Polri) dan Kejaksaan Agung dituntut mereorientasi budaya hukum (legal culture) para penyidik dan penuntut umum dari pola pikir punitif-retributif menuju peran fasilitator pemulihan keadilan sosial melalui program pelatihan berkelanjutan.</w:t>
      </w:r>
    </w:p>
    <w:p>
      <w:pPr>
        <w:pStyle w:val="ListParagraph"/>
        <w:numPr>
          <w:ilvl w:val="0"/>
          <w:numId w:val="5"/>
        </w:numPr>
        <w:ind w:hanging="360" w:start="360"/>
        <w:rPr>
          <w:rFonts w:ascii="Times New Roman" w:hAnsi="Times New Roman" w:cs="Times New Roman" w:asciiTheme="minorHAnsi" w:cstheme="minorHAnsi" w:hAnsiTheme="minorHAnsi"/>
        </w:rPr>
      </w:pPr>
      <w:r>
        <w:rPr>
          <w:rFonts w:cs="Times New Roman" w:cstheme="minorHAnsi"/>
        </w:rPr>
        <w:t>​</w:t>
      </w:r>
      <w:r>
        <w:rPr>
          <w:rFonts w:cs="Times New Roman" w:cstheme="minorHAnsi"/>
        </w:rPr>
        <w:t>Standardisasi Akuntabilitas Diskresi: Penegak hukum harus menerapkan standar operasional prosedur yang transparan dalam penggunaan diskresi penghentian perkara berbasis keadilan restoratif, termasuk kewajiban pengawasan horizontal agar kesepakatan damai bebas dari unsur paksaan, komersialisasi, dan impunitas pelaku kejahatan berat.</w:t>
      </w:r>
    </w:p>
    <w:p>
      <w:pPr>
        <w:pStyle w:val="Heading1"/>
        <w:numPr>
          <w:ilvl w:val="0"/>
          <w:numId w:val="0"/>
        </w:numPr>
        <w:ind w:hanging="0" w:start="0"/>
        <w:rPr>
          <w:rFonts w:ascii="Times New Roman" w:hAnsi="Times New Roman" w:cs="Times New Roman" w:asciiTheme="minorHAnsi" w:cstheme="minorHAnsi" w:hAnsiTheme="minorHAnsi"/>
        </w:rPr>
      </w:pPr>
      <w:r>
        <w:rPr>
          <w:rFonts w:cs="Times New Roman" w:cstheme="minorHAnsi"/>
        </w:rPr>
        <w:t>References</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Ardiansyah, F. N., Zulfa, E. A., &amp; Koto, Z. (2022). International cooperation in the investigation of bribery cases at PT. Garuda Indonesia. </w:t>
      </w:r>
      <w:r>
        <w:rPr>
          <w:rFonts w:cs="Times New Roman" w:cstheme="minorHAnsi"/>
          <w:i/>
          <w:iCs/>
        </w:rPr>
        <w:t>International Journal of Innovative Technologies in Social Science, 4</w:t>
      </w:r>
      <w:r>
        <w:rPr>
          <w:rFonts w:cs="Times New Roman" w:cstheme="minorHAnsi"/>
        </w:rPr>
        <w:t>(36), 7915–7924. https://doi.org/10.31435/rsglobal_ijitss/30122022/7915</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Dewantara, Y. P., &amp; Fransisca, I. (2024). Restorative justice dalam penyelesaian sengketa pelecehan seksual cyber. </w:t>
      </w:r>
      <w:r>
        <w:rPr>
          <w:rFonts w:cs="Times New Roman" w:cstheme="minorHAnsi"/>
          <w:i/>
          <w:iCs/>
        </w:rPr>
        <w:t>Jurnal Hukum Mimbar Justitia, 10</w:t>
      </w:r>
      <w:r>
        <w:rPr>
          <w:rFonts w:cs="Times New Roman" w:cstheme="minorHAnsi"/>
        </w:rPr>
        <w:t>(2), 223–251. https://doi.org/10.35194/jhmj.v10i2.4679</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Hambali, A. R., Salle, S., Zainuddin, Z., &amp; Risma, A. (2025). From criminalization to restoration: Reformulating narcotic law policy with a restorative justice approach in Indonesia. </w:t>
      </w:r>
      <w:r>
        <w:rPr>
          <w:rFonts w:cs="Times New Roman" w:cstheme="minorHAnsi"/>
          <w:i/>
          <w:iCs/>
        </w:rPr>
        <w:t>Journal of Sustainable Development and Regulatory Issues, 4</w:t>
      </w:r>
      <w:r>
        <w:rPr>
          <w:rFonts w:cs="Times New Roman" w:cstheme="minorHAnsi"/>
        </w:rPr>
        <w:t>(5), 1176–1190. https://doi.org/10.53955/jsderi.v4i5.112</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Iswanto, C., &amp; Amaliah, F. T. (2026). Teori kontemporer dalam tujuan pemidanaan pada hukum pidana modern. </w:t>
      </w:r>
      <w:r>
        <w:rPr>
          <w:rFonts w:cs="Times New Roman" w:cstheme="minorHAnsi"/>
          <w:i/>
          <w:iCs/>
        </w:rPr>
        <w:t>Judge: Jurnal Hukum, 6</w:t>
      </w:r>
      <w:r>
        <w:rPr>
          <w:rFonts w:cs="Times New Roman" w:cstheme="minorHAnsi"/>
        </w:rPr>
        <w:t>(10), 47–60. https://doi.org/10.54209/judge.v07i10.2348</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Koto, Z., &amp; Poeloengan, A. H. (2022). Catatan dalam RUU KUHP Buku Kesatu terkait tugas Polri sebagai penegak hukum. </w:t>
      </w:r>
      <w:r>
        <w:rPr>
          <w:rFonts w:cs="Times New Roman" w:cstheme="minorHAnsi"/>
          <w:i/>
          <w:iCs/>
        </w:rPr>
        <w:t>Jurnal Hukum Pidana dan Kriminologi, 3</w:t>
      </w:r>
      <w:r>
        <w:rPr>
          <w:rFonts w:cs="Times New Roman" w:cstheme="minorHAnsi"/>
        </w:rPr>
        <w:t>(2), 80–95. https://doi.org/10.51370/jhpk.v3i2.80</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Koto, Z., &amp; Poeloengan, A. H. (2022). </w:t>
      </w:r>
      <w:r>
        <w:rPr>
          <w:rFonts w:cs="Times New Roman" w:cstheme="minorHAnsi"/>
          <w:i/>
          <w:iCs/>
        </w:rPr>
        <w:t>Teori hukum dan hukum pidana kontemporer jilid 1</w:t>
      </w:r>
      <w:r>
        <w:rPr>
          <w:rFonts w:cs="Times New Roman" w:cstheme="minorHAnsi"/>
        </w:rPr>
        <w:t>. Rajawali Pers.</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Prabowo, L. S., Imanuddin, I., &amp; Bachtiar. (2024). </w:t>
      </w:r>
      <w:r>
        <w:rPr>
          <w:rFonts w:cs="Times New Roman" w:cstheme="minorHAnsi"/>
          <w:i/>
          <w:iCs/>
        </w:rPr>
        <w:t>Restorative justice sebagai implementasi nilai Pancasila: Menggeser paradigma hukum menuju pemulihan dan tanggung jawab bersama</w:t>
      </w:r>
      <w:r>
        <w:rPr>
          <w:rFonts w:cs="Times New Roman" w:cstheme="minorHAnsi"/>
        </w:rPr>
        <w:t>. Rajawali Pers.</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Romy, M., Andriani, D., &amp; Rasji. (2023). Pertanggungjawaban wajib pajak selaku pelaku tindak pidana pajak menurut hukum positif Indonesia. </w:t>
      </w:r>
      <w:r>
        <w:rPr>
          <w:rFonts w:cs="Times New Roman" w:cstheme="minorHAnsi"/>
          <w:i/>
          <w:iCs/>
        </w:rPr>
        <w:t>Innovative: Journal of Social Science Research, 3</w:t>
      </w:r>
      <w:r>
        <w:rPr>
          <w:rFonts w:cs="Times New Roman" w:cstheme="minorHAnsi"/>
        </w:rPr>
        <w:t>(2), 2666–2680. https://doi.org/10.31004/innovative.v3i2.614</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Sari, M. P., &amp; Nata, A. R. (2023). Organized crime in the corruption of Garuda Indonesia's former director (analysis of the Jakarta District Court decision). </w:t>
      </w:r>
      <w:r>
        <w:rPr>
          <w:rFonts w:cs="Times New Roman" w:cstheme="minorHAnsi"/>
          <w:i/>
          <w:iCs/>
        </w:rPr>
        <w:t>International Journal of Law Dynamics Review, 1</w:t>
      </w:r>
      <w:r>
        <w:rPr>
          <w:rFonts w:cs="Times New Roman" w:cstheme="minorHAnsi"/>
        </w:rPr>
        <w:t>(2), 97–110. https://doi.org/10.62039/ijldr.v1i2.18</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Silalahi, F. E., &amp; Sari, R. D. P. (2026). Tumpang tindih kewenangan penyidikan dalam reformasi Kitab Undang-Undang Hukum Acara Pidana dan Kejaksaan berdasarkan analisis jus constituendum. </w:t>
      </w:r>
      <w:r>
        <w:rPr>
          <w:rFonts w:cs="Times New Roman" w:cstheme="minorHAnsi"/>
          <w:i/>
          <w:iCs/>
        </w:rPr>
        <w:t>Wajah Hukum, 10</w:t>
      </w:r>
      <w:r>
        <w:rPr>
          <w:rFonts w:cs="Times New Roman" w:cstheme="minorHAnsi"/>
        </w:rPr>
        <w:t>(1), 397–409. https://doi.org/10.33087/wjh.v10i1.2066</w:t>
      </w:r>
    </w:p>
    <w:p>
      <w:pPr>
        <w:pStyle w:val="Normal"/>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Undang-Undang Republik Indonesia Nomor 1 Tahun 2023 tentang Kitab Undang-Undang Hukum Pidana. Lembaran Negara Republik Indonesia Tahun 2023 Nomor 1.</w:t>
      </w:r>
    </w:p>
    <w:p>
      <w:pPr>
        <w:pStyle w:val="Normal"/>
        <w:spacing w:before="0" w:after="160"/>
        <w:ind w:hanging="714" w:start="714"/>
        <w:rPr>
          <w:rFonts w:ascii="Times New Roman" w:hAnsi="Times New Roman" w:cs="Times New Roman" w:asciiTheme="minorHAnsi" w:cstheme="minorHAnsi" w:hAnsiTheme="minorHAnsi"/>
        </w:rPr>
      </w:pPr>
      <w:r>
        <w:rPr>
          <w:rFonts w:cs="Times New Roman" w:cstheme="minorHAnsi"/>
        </w:rPr>
        <w:t>​</w:t>
      </w:r>
      <w:r>
        <w:rPr>
          <w:rFonts w:cs="Times New Roman" w:cstheme="minorHAnsi"/>
        </w:rPr>
        <w:t xml:space="preserve">Widiartana, G., Setyawan, V. P., &amp; Anditya, A. W. (2025). Exploring restorative justice in domestic violence cases. </w:t>
      </w:r>
      <w:r>
        <w:rPr>
          <w:rFonts w:cs="Times New Roman" w:cstheme="minorHAnsi"/>
          <w:i/>
          <w:iCs/>
        </w:rPr>
        <w:t>Journal of Sustainable Development and Regulatory Issues, 3</w:t>
      </w:r>
      <w:r>
        <w:rPr>
          <w:rFonts w:cs="Times New Roman" w:cstheme="minorHAnsi"/>
        </w:rPr>
        <w:t>(3), 641–666. https://doi.org/10.53955/jsderi.v3i3.87</w:t>
      </w:r>
    </w:p>
    <w:sectPr>
      <w:footerReference w:type="even" r:id="rId8"/>
      <w:footerReference w:type="default" r:id="rId9"/>
      <w:footerReference w:type="first" r:id="rId10"/>
      <w:type w:val="nextPage"/>
      <w:pgSz w:w="11906" w:h="16838"/>
      <w:pgMar w:left="1440" w:right="1440" w:gutter="0" w:header="0" w:top="1440" w:footer="567"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ptos">
    <w:charset w:val="01"/>
    <w:family w:val="swiss"/>
    <w:pitch w:val="variable"/>
  </w:font>
  <w:font w:name="Times New Roman">
    <w:charset w:val="01"/>
    <w:family w:val="roman"/>
    <w:pitch w:val="variable"/>
  </w:font>
  <w:font w:name="Aptos Display">
    <w:charset w:val="01"/>
    <w:family w:val="swiss"/>
    <w:pitch w:val="variable"/>
  </w:font>
  <w:font w:name="Carlito">
    <w:altName w:val="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decimal"/>
      <w:pStyle w:val="Heading5"/>
      <w:lvlText w:val="%1.%2.%3.%4.%5."/>
      <w:lvlJc w:val="start"/>
      <w:pPr>
        <w:tabs>
          <w:tab w:val="num" w:pos="0"/>
        </w:tabs>
        <w:ind w:start="0" w:hanging="0"/>
      </w:pPr>
      <w:rPr/>
    </w:lvl>
    <w:lvl w:ilvl="5">
      <w:start w:val="1"/>
      <w:numFmt w:val="decimal"/>
      <w:pStyle w:val="Heading6"/>
      <w:lvlText w:val="%1.%2.%3.%4.%5.%6."/>
      <w:lvlJc w:val="start"/>
      <w:pPr>
        <w:tabs>
          <w:tab w:val="num" w:pos="0"/>
        </w:tabs>
        <w:ind w:start="0" w:hanging="0"/>
      </w:pPr>
      <w:rPr/>
    </w:lvl>
    <w:lvl w:ilvl="6">
      <w:start w:val="1"/>
      <w:numFmt w:val="decimal"/>
      <w:pStyle w:val="Heading7"/>
      <w:lvlText w:val="%1.%2.%3.%4.%5.%6.%7."/>
      <w:lvlJc w:val="start"/>
      <w:pPr>
        <w:tabs>
          <w:tab w:val="num" w:pos="0"/>
        </w:tabs>
        <w:ind w:start="0" w:hanging="0"/>
      </w:pPr>
      <w:rPr/>
    </w:lvl>
    <w:lvl w:ilvl="7">
      <w:start w:val="1"/>
      <w:numFmt w:val="decimal"/>
      <w:pStyle w:val="Heading8"/>
      <w:lvlText w:val="%1.%2.%3.%4.%5.%6.%7.%8."/>
      <w:lvlJc w:val="start"/>
      <w:pPr>
        <w:tabs>
          <w:tab w:val="num" w:pos="0"/>
        </w:tabs>
        <w:ind w:start="0" w:hanging="0"/>
      </w:pPr>
      <w:rPr/>
    </w:lvl>
    <w:lvl w:ilvl="8">
      <w:start w:val="1"/>
      <w:numFmt w:val="decimal"/>
      <w:pStyle w:val="Heading9"/>
      <w:lvlText w:val="%1.%2.%3.%4.%5.%6.%7.%8.%9."/>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kern w:val="2"/>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both"/>
    </w:pPr>
    <w:rPr>
      <w:rFonts w:ascii="Times New Roman" w:hAnsi="Times New Roman" w:eastAsia="Times New Roman" w:cs="Times New Roman"/>
      <w:color w:val="auto"/>
      <w:kern w:val="2"/>
      <w:sz w:val="22"/>
      <w:szCs w:val="22"/>
      <w:lang w:val="id-ID" w:eastAsia="zh-CN" w:bidi="ar-SA"/>
    </w:rPr>
  </w:style>
  <w:style w:type="paragraph" w:styleId="Heading1">
    <w:name w:val="heading 1"/>
    <w:basedOn w:val="Normal"/>
    <w:next w:val="Normal"/>
    <w:qFormat/>
    <w:pPr>
      <w:keepNext w:val="true"/>
      <w:keepLines/>
      <w:numPr>
        <w:ilvl w:val="0"/>
        <w:numId w:val="1"/>
      </w:numPr>
      <w:ind w:hanging="360" w:start="360"/>
      <w:outlineLvl w:val="0"/>
    </w:pPr>
    <w:rPr>
      <w:b/>
      <w:bCs/>
      <w:caps/>
    </w:rPr>
  </w:style>
  <w:style w:type="paragraph" w:styleId="Heading2">
    <w:name w:val="heading 2"/>
    <w:basedOn w:val="Normal"/>
    <w:next w:val="Normal"/>
    <w:qFormat/>
    <w:pPr>
      <w:keepNext w:val="true"/>
      <w:keepLines/>
      <w:numPr>
        <w:ilvl w:val="1"/>
        <w:numId w:val="1"/>
      </w:numPr>
      <w:ind w:hanging="499" w:start="499"/>
      <w:outlineLvl w:val="1"/>
    </w:pPr>
    <w:rPr>
      <w:b/>
      <w:bCs/>
    </w:rPr>
  </w:style>
  <w:style w:type="paragraph" w:styleId="Heading3">
    <w:name w:val="heading 3"/>
    <w:basedOn w:val="Normal"/>
    <w:next w:val="Normal"/>
    <w:qFormat/>
    <w:pPr>
      <w:keepNext w:val="true"/>
      <w:keepLines/>
      <w:numPr>
        <w:ilvl w:val="2"/>
        <w:numId w:val="1"/>
      </w:numPr>
      <w:ind w:hanging="567" w:start="567"/>
      <w:outlineLvl w:val="2"/>
    </w:pPr>
    <w:rPr>
      <w:b/>
      <w:bCs/>
    </w:rPr>
  </w:style>
  <w:style w:type="paragraph" w:styleId="Heading4">
    <w:name w:val="heading 4"/>
    <w:basedOn w:val="Normal"/>
    <w:next w:val="Normal"/>
    <w:qFormat/>
    <w:pPr>
      <w:keepNext w:val="true"/>
      <w:keepLines/>
      <w:numPr>
        <w:ilvl w:val="3"/>
        <w:numId w:val="1"/>
      </w:numPr>
      <w:ind w:hanging="714" w:start="714"/>
      <w:outlineLvl w:val="3"/>
    </w:pPr>
    <w:rPr>
      <w:b/>
      <w:bCs/>
    </w:rPr>
  </w:style>
  <w:style w:type="paragraph" w:styleId="Heading5">
    <w:name w:val="heading 5"/>
    <w:basedOn w:val="Normal"/>
    <w:next w:val="Normal"/>
    <w:qFormat/>
    <w:pPr>
      <w:keepNext w:val="true"/>
      <w:keepLines/>
      <w:numPr>
        <w:ilvl w:val="4"/>
        <w:numId w:val="1"/>
      </w:numPr>
      <w:spacing w:before="80" w:after="40"/>
      <w:ind w:hanging="924" w:start="924"/>
      <w:outlineLvl w:val="4"/>
    </w:pPr>
    <w:rPr>
      <w:rFonts w:eastAsia="Aptos Display" w:cs="Aptos Display"/>
      <w:color w:val="0F4761"/>
    </w:rPr>
  </w:style>
  <w:style w:type="paragraph" w:styleId="Heading6">
    <w:name w:val="heading 6"/>
    <w:basedOn w:val="Normal"/>
    <w:next w:val="Normal"/>
    <w:qFormat/>
    <w:pPr>
      <w:keepNext w:val="true"/>
      <w:keepLines/>
      <w:numPr>
        <w:ilvl w:val="5"/>
        <w:numId w:val="1"/>
      </w:numPr>
      <w:spacing w:before="40" w:after="0"/>
      <w:ind w:hanging="1065" w:start="1065"/>
      <w:outlineLvl w:val="5"/>
    </w:pPr>
    <w:rPr>
      <w:rFonts w:eastAsia="Aptos Display" w:cs="Aptos Display"/>
      <w:i/>
      <w:iCs/>
      <w:color w:val="595959"/>
    </w:rPr>
  </w:style>
  <w:style w:type="paragraph" w:styleId="Heading7">
    <w:name w:val="heading 7"/>
    <w:basedOn w:val="Normal"/>
    <w:next w:val="Normal"/>
    <w:qFormat/>
    <w:pPr>
      <w:keepNext w:val="true"/>
      <w:keepLines/>
      <w:numPr>
        <w:ilvl w:val="6"/>
        <w:numId w:val="1"/>
      </w:numPr>
      <w:spacing w:before="40" w:after="0"/>
      <w:ind w:hanging="1206" w:start="1206"/>
      <w:outlineLvl w:val="6"/>
    </w:pPr>
    <w:rPr>
      <w:rFonts w:eastAsia="Aptos Display" w:cs="Aptos Display"/>
      <w:color w:val="595959"/>
    </w:rPr>
  </w:style>
  <w:style w:type="paragraph" w:styleId="Heading8">
    <w:name w:val="heading 8"/>
    <w:basedOn w:val="Normal"/>
    <w:next w:val="Normal"/>
    <w:qFormat/>
    <w:pPr>
      <w:keepNext w:val="true"/>
      <w:keepLines/>
      <w:numPr>
        <w:ilvl w:val="7"/>
        <w:numId w:val="1"/>
      </w:numPr>
      <w:spacing w:before="0" w:after="0"/>
      <w:ind w:hanging="1347" w:start="1347"/>
      <w:outlineLvl w:val="7"/>
    </w:pPr>
    <w:rPr>
      <w:rFonts w:eastAsia="Aptos Display" w:cs="Aptos Display"/>
      <w:i/>
      <w:iCs/>
      <w:color w:val="272727"/>
    </w:rPr>
  </w:style>
  <w:style w:type="paragraph" w:styleId="Heading9">
    <w:name w:val="heading 9"/>
    <w:basedOn w:val="Normal"/>
    <w:next w:val="Normal"/>
    <w:qFormat/>
    <w:pPr>
      <w:keepNext w:val="true"/>
      <w:keepLines/>
      <w:numPr>
        <w:ilvl w:val="8"/>
        <w:numId w:val="1"/>
      </w:numPr>
      <w:spacing w:before="0" w:after="0"/>
      <w:ind w:hanging="1488" w:start="1488"/>
      <w:outlineLvl w:val="8"/>
    </w:pPr>
    <w:rPr>
      <w:rFonts w:eastAsia="Aptos Display" w:cs="Aptos Display"/>
      <w:color w:val="2727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rPr>
      <w:rFonts w:ascii="Aptos Display" w:hAnsi="Aptos Display" w:eastAsia="Aptos Display" w:cs="Aptos Display"/>
      <w:color w:val="0F4761"/>
      <w:sz w:val="40"/>
      <w:szCs w:val="40"/>
    </w:rPr>
  </w:style>
  <w:style w:type="character" w:styleId="Heading2Char" w:customStyle="1">
    <w:name w:val="Heading 2 Char"/>
    <w:basedOn w:val="DefaultParagraphFont"/>
    <w:rPr>
      <w:rFonts w:ascii="Aptos Display" w:hAnsi="Aptos Display" w:eastAsia="Aptos Display" w:cs="Aptos Display"/>
      <w:color w:val="0F4761"/>
      <w:sz w:val="32"/>
      <w:szCs w:val="32"/>
    </w:rPr>
  </w:style>
  <w:style w:type="character" w:styleId="Heading3Char" w:customStyle="1">
    <w:name w:val="Heading 3 Char"/>
    <w:basedOn w:val="DefaultParagraphFont"/>
    <w:rPr>
      <w:rFonts w:eastAsia="Aptos Display" w:cs="Aptos Display"/>
      <w:color w:val="0F4761"/>
      <w:sz w:val="28"/>
      <w:szCs w:val="28"/>
    </w:rPr>
  </w:style>
  <w:style w:type="character" w:styleId="Heading4Char" w:customStyle="1">
    <w:name w:val="Heading 4 Char"/>
    <w:basedOn w:val="DefaultParagraphFont"/>
    <w:rPr>
      <w:rFonts w:eastAsia="Aptos Display" w:cs="Aptos Display"/>
      <w:i/>
      <w:iCs/>
      <w:color w:val="0F4761"/>
    </w:rPr>
  </w:style>
  <w:style w:type="character" w:styleId="Heading5Char" w:customStyle="1">
    <w:name w:val="Heading 5 Char"/>
    <w:basedOn w:val="DefaultParagraphFont"/>
    <w:rPr>
      <w:rFonts w:eastAsia="Aptos Display" w:cs="Aptos Display"/>
      <w:color w:val="0F4761"/>
    </w:rPr>
  </w:style>
  <w:style w:type="character" w:styleId="Heading6Char" w:customStyle="1">
    <w:name w:val="Heading 6 Char"/>
    <w:basedOn w:val="DefaultParagraphFont"/>
    <w:rPr>
      <w:rFonts w:eastAsia="Aptos Display" w:cs="Aptos Display"/>
      <w:i/>
      <w:iCs/>
      <w:color w:val="595959"/>
    </w:rPr>
  </w:style>
  <w:style w:type="character" w:styleId="Heading7Char" w:customStyle="1">
    <w:name w:val="Heading 7 Char"/>
    <w:basedOn w:val="DefaultParagraphFont"/>
    <w:rPr>
      <w:rFonts w:eastAsia="Aptos Display" w:cs="Aptos Display"/>
      <w:color w:val="595959"/>
    </w:rPr>
  </w:style>
  <w:style w:type="character" w:styleId="Heading8Char" w:customStyle="1">
    <w:name w:val="Heading 8 Char"/>
    <w:basedOn w:val="DefaultParagraphFont"/>
    <w:rPr>
      <w:rFonts w:eastAsia="Aptos Display" w:cs="Aptos Display"/>
      <w:i/>
      <w:iCs/>
      <w:color w:val="272727"/>
    </w:rPr>
  </w:style>
  <w:style w:type="character" w:styleId="Heading9Char" w:customStyle="1">
    <w:name w:val="Heading 9 Char"/>
    <w:basedOn w:val="DefaultParagraphFont"/>
    <w:rPr>
      <w:rFonts w:eastAsia="Aptos Display" w:cs="Aptos Display"/>
      <w:color w:val="272727"/>
    </w:rPr>
  </w:style>
  <w:style w:type="character" w:styleId="TitleChar" w:customStyle="1">
    <w:name w:val="Title Char"/>
    <w:basedOn w:val="DefaultParagraphFont"/>
    <w:rPr>
      <w:rFonts w:ascii="Aptos Display" w:hAnsi="Aptos Display" w:eastAsia="Aptos Display" w:cs="Aptos Display"/>
      <w:spacing w:val="-10"/>
      <w:kern w:val="2"/>
      <w:sz w:val="56"/>
      <w:szCs w:val="56"/>
    </w:rPr>
  </w:style>
  <w:style w:type="character" w:styleId="SubtitleChar" w:customStyle="1">
    <w:name w:val="Subtitle Char"/>
    <w:basedOn w:val="DefaultParagraphFont"/>
    <w:rPr>
      <w:rFonts w:eastAsia="Aptos Display" w:cs="Aptos Display"/>
      <w:color w:val="595959"/>
      <w:spacing w:val="15"/>
      <w:sz w:val="28"/>
      <w:szCs w:val="28"/>
    </w:rPr>
  </w:style>
  <w:style w:type="character" w:styleId="QuoteChar" w:customStyle="1">
    <w:name w:val="Quote Char"/>
    <w:basedOn w:val="DefaultParagraphFont"/>
    <w:rPr>
      <w:i/>
      <w:iCs/>
      <w:color w:val="404040"/>
    </w:rPr>
  </w:style>
  <w:style w:type="character" w:styleId="IntenseEmphasis">
    <w:name w:val="Intense Emphasis"/>
    <w:basedOn w:val="DefaultParagraphFont"/>
    <w:rPr>
      <w:i/>
      <w:iCs/>
      <w:color w:val="0F4761"/>
    </w:rPr>
  </w:style>
  <w:style w:type="character" w:styleId="IntenseQuoteChar" w:customStyle="1">
    <w:name w:val="Intense Quote Char"/>
    <w:basedOn w:val="DefaultParagraphFont"/>
    <w:rPr>
      <w:i/>
      <w:iCs/>
      <w:color w:val="0F4761"/>
    </w:rPr>
  </w:style>
  <w:style w:type="character" w:styleId="IntenseReference">
    <w:name w:val="Intense Reference"/>
    <w:basedOn w:val="DefaultParagraphFont"/>
    <w:rPr>
      <w:b/>
      <w:bCs/>
      <w:smallCaps/>
      <w:color w:val="0F4761"/>
      <w:spacing w:val="0"/>
    </w:rPr>
  </w:style>
  <w:style w:type="paragraph" w:styleId="Heading" w:customStyle="1">
    <w:name w:val="Heading"/>
    <w:basedOn w:val="Normal"/>
    <w:next w:val="BodyText"/>
    <w:pPr>
      <w:keepNext w:val="true"/>
      <w:spacing w:before="240" w:after="120"/>
    </w:pPr>
    <w:rPr>
      <w:rFonts w:ascii="Carlito" w:hAnsi="Carlito"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jc w:val="center"/>
    </w:pPr>
    <w:rPr>
      <w:b/>
      <w:bCs/>
    </w:rPr>
  </w:style>
  <w:style w:type="paragraph" w:styleId="Index" w:customStyle="1">
    <w:name w:val="Index"/>
    <w:basedOn w:val="Normal"/>
    <w:pPr>
      <w:suppressLineNumbers/>
    </w:pPr>
    <w:rPr>
      <w:rFonts w:cs="Noto Sans Devanagari"/>
    </w:rPr>
  </w:style>
  <w:style w:type="paragraph" w:styleId="Title">
    <w:name w:val="Title"/>
    <w:basedOn w:val="Normal"/>
    <w:next w:val="Normal"/>
    <w:qFormat/>
    <w:pPr>
      <w:spacing w:before="0" w:after="320"/>
      <w:jc w:val="center"/>
    </w:pPr>
    <w:rPr>
      <w:b/>
      <w:bCs/>
      <w:sz w:val="28"/>
      <w:szCs w:val="28"/>
    </w:rPr>
  </w:style>
  <w:style w:type="paragraph" w:styleId="Subtitle">
    <w:name w:val="Subtitle"/>
    <w:basedOn w:val="Normal"/>
    <w:next w:val="Normal"/>
    <w:qFormat/>
    <w:pPr/>
    <w:rPr>
      <w:rFonts w:eastAsia="Aptos Display" w:cs="Aptos Display"/>
      <w:color w:val="595959"/>
      <w:spacing w:val="14"/>
      <w:sz w:val="28"/>
      <w:szCs w:val="28"/>
    </w:rPr>
  </w:style>
  <w:style w:type="paragraph" w:styleId="Quote">
    <w:name w:val="Quote"/>
    <w:basedOn w:val="Normal"/>
    <w:next w:val="Normal"/>
    <w:qFormat/>
    <w:pPr>
      <w:jc w:val="center"/>
    </w:pPr>
    <w:rPr>
      <w:i/>
      <w:iCs/>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start="864" w:end="864"/>
      <w:jc w:val="center"/>
    </w:pPr>
    <w:rPr>
      <w:i/>
      <w:iCs/>
      <w:color w:val="0F4761"/>
    </w:rPr>
  </w:style>
  <w:style w:type="paragraph" w:styleId="HeaderandFooter" w:customStyle="1">
    <w:name w:val="Header and Footer"/>
    <w:basedOn w:val="Normal"/>
    <w:pPr/>
    <w:rPr/>
  </w:style>
  <w:style w:type="paragraph" w:styleId="Footer">
    <w:name w:val="footer"/>
    <w:basedOn w:val="Normal"/>
    <w:qFormat/>
    <w:pPr>
      <w:tabs>
        <w:tab w:val="clear" w:pos="720"/>
        <w:tab w:val="center" w:pos="4513" w:leader="none"/>
        <w:tab w:val="right" w:pos="9027" w:leader="none"/>
      </w:tabs>
      <w:spacing w:lineRule="auto" w:line="240" w:before="0" w:after="0"/>
    </w:pPr>
    <w:rPr/>
  </w:style>
  <w:style w:type="numbering" w:styleId="NoList" w:default="1">
    <w:name w:val="No List"/>
    <w:uiPriority w:val="99"/>
    <w:semiHidden/>
    <w:unhideWhenUsed/>
  </w:style>
  <w:style w:type="table" w:default="1" w:styleId="TabelNormal">
    <w:name w:val="Normal Table"/>
    <w:uiPriority w:val="99"/>
    <w:semiHidden/>
    <w:unhideWhenUsed/>
    <w:tblPr>
      <w:tblCellMar>
        <w:top w:w="0" w:type="dxa"/>
        <w:left w:w="108" w:type="dxa"/>
        <w:bottom w:w="0" w:type="dxa"/>
        <w:right w:w="108" w:type="dxa"/>
      </w:tblCellMar>
    </w:tblPr>
  </w:style>
  <w:style w:type="table" w:styleId="KisiTabel">
    <w:name w:val="Table Grid"/>
    <w:basedOn w:val="TabelNormal"/>
    <w:uiPriority w:val="59"/>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pitchFamily="0" charset="1"/>
        <a:ea typeface="Times New Roman" pitchFamily="0" charset="1"/>
        <a:cs typeface="Times New Roman" pitchFamily="0" charset="1"/>
      </a:majorFont>
      <a:minorFont>
        <a:latin typeface="Times New Roman" pitchFamily="0" charset="1"/>
        <a:ea typeface="Times New Roman" pitchFamily="0" charset="1"/>
        <a:cs typeface="Times New Roman" pitchFamily="0" charset="1"/>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05360"/>
              </a:schemeClr>
            </a:gs>
          </a:gsLst>
          <a:lin ang="16200000" scaled="1"/>
          <a:tileRect l="0" t="0" r="0" b="0"/>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atMod val="-305360"/>
              </a:schemeClr>
            </a:gs>
            <a:gs pos="40000">
              <a:schemeClr val="phClr">
                <a:tint val="45000"/>
                <a:shade val="99000"/>
                <a:satMod val="-305360"/>
              </a:schemeClr>
            </a:gs>
            <a:gs pos="100000">
              <a:schemeClr val="phClr">
                <a:shade val="20000"/>
                <a:satMod val="255000"/>
              </a:schemeClr>
            </a:gs>
          </a:gsLst>
          <a:path path="circle">
            <a:fillToRect l="50000" t="-80000" r="50000" b="180000"/>
          </a:path>
          <a:tileRect l="0" t="0" r="0" b="0"/>
        </a:gradFill>
        <a:gradFill>
          <a:gsLst>
            <a:gs pos="0">
              <a:schemeClr val="phClr">
                <a:tint val="80000"/>
                <a:satMod val="300000"/>
              </a:schemeClr>
            </a:gs>
            <a:gs pos="100000">
              <a:schemeClr val="phClr">
                <a:shade val="30000"/>
                <a:satMod val="20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Collabora_Office/26.04.3.1$Android_AARCH64 LibreOffice_project/20a46c332c38</Application>
  <AppVersion>15.0000</AppVersion>
  <Pages>15</Pages>
  <Words>5184</Words>
  <Characters>35348</Characters>
  <CharactersWithSpaces>40385</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2026-09-26T07:05:00Z</dcterms:created>
  <dc:creator/>
  <dc:description/>
  <dc:language>id-ID</dc:language>
  <cp:lastModifiedBy/>
  <dcterms:modified xsi:type="dcterms:W3CDTF">2026-09-27T10:06:09Z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