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33EE" w14:textId="77777777" w:rsidR="004C4688" w:rsidRPr="004C4688" w:rsidRDefault="004C4688" w:rsidP="004C4688">
      <w:pPr>
        <w:keepNext/>
        <w:keepLines/>
        <w:spacing w:before="480" w:after="0"/>
        <w:outlineLvl w:val="0"/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</w:pPr>
      <w:r w:rsidRPr="004C4688"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  <w:t>Maker To Do List</w:t>
      </w:r>
    </w:p>
    <w:p w14:paraId="5B5B15A4" w14:textId="5FFFFDBC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74E33639">
        <w:rPr>
          <w:rFonts w:ascii="Calibri" w:eastAsia="Times New Roman" w:hAnsi="Calibri" w:cs="Times New Roman"/>
          <w:lang w:val="en-US"/>
        </w:rPr>
        <w:t>Read through the provided summary to familiarize yourself with the device and other available can opener options.</w:t>
      </w:r>
    </w:p>
    <w:p w14:paraId="505A1FCD" w14:textId="5A9A9146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74E33639">
        <w:rPr>
          <w:rFonts w:ascii="Calibri" w:eastAsia="Times New Roman" w:hAnsi="Calibri" w:cs="Times New Roman"/>
          <w:lang w:val="en-US"/>
        </w:rPr>
        <w:t xml:space="preserve">Talk with </w:t>
      </w:r>
      <w:bookmarkStart w:id="0" w:name="_Int_CJ7DtM40"/>
      <w:r w:rsidRPr="74E33639">
        <w:rPr>
          <w:rFonts w:ascii="Calibri" w:eastAsia="Times New Roman" w:hAnsi="Calibri" w:cs="Times New Roman"/>
          <w:lang w:val="en-US"/>
        </w:rPr>
        <w:t>user</w:t>
      </w:r>
      <w:bookmarkEnd w:id="0"/>
      <w:r w:rsidRPr="74E33639">
        <w:rPr>
          <w:rFonts w:ascii="Calibri" w:eastAsia="Times New Roman" w:hAnsi="Calibri" w:cs="Times New Roman"/>
          <w:lang w:val="en-US"/>
        </w:rPr>
        <w:t xml:space="preserve"> about the available options and determine which Can Opener is best suited to their needs.</w:t>
      </w:r>
    </w:p>
    <w:p w14:paraId="2C82D28A" w14:textId="77777777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3D Print Device.</w:t>
      </w:r>
    </w:p>
    <w:p w14:paraId="31D3D485" w14:textId="77777777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Test device.</w:t>
      </w:r>
    </w:p>
    <w:p w14:paraId="268CCABC" w14:textId="77777777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Print User Guide.</w:t>
      </w:r>
    </w:p>
    <w:p w14:paraId="024A4EAA" w14:textId="77777777" w:rsidR="004C4688" w:rsidRPr="004C4688" w:rsidRDefault="004C4688" w:rsidP="004C4688">
      <w:pPr>
        <w:keepNext/>
        <w:keepLines/>
        <w:spacing w:before="480" w:after="0"/>
        <w:outlineLvl w:val="0"/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</w:pPr>
      <w:r w:rsidRPr="004C4688"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  <w:t>Items to Give to User</w:t>
      </w:r>
    </w:p>
    <w:p w14:paraId="77B8845B" w14:textId="77777777" w:rsidR="004C4688" w:rsidRPr="004C4688" w:rsidRDefault="004C4688" w:rsidP="004C4688">
      <w:pPr>
        <w:numPr>
          <w:ilvl w:val="0"/>
          <w:numId w:val="7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Printed, tested device.</w:t>
      </w:r>
    </w:p>
    <w:p w14:paraId="5DAB6C7B" w14:textId="6ABD05FF" w:rsidR="00890AA1" w:rsidRPr="004C4688" w:rsidRDefault="004C4688" w:rsidP="004C4688">
      <w:pPr>
        <w:numPr>
          <w:ilvl w:val="0"/>
          <w:numId w:val="7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User Guide.</w:t>
      </w:r>
    </w:p>
    <w:sectPr w:rsidR="00890AA1" w:rsidRPr="004C4688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B3E2" w14:textId="77777777" w:rsidR="00057693" w:rsidRDefault="00057693" w:rsidP="00890AA1">
      <w:pPr>
        <w:spacing w:after="0" w:line="240" w:lineRule="auto"/>
      </w:pPr>
      <w:r>
        <w:separator/>
      </w:r>
    </w:p>
  </w:endnote>
  <w:endnote w:type="continuationSeparator" w:id="0">
    <w:p w14:paraId="7DB65281" w14:textId="77777777" w:rsidR="00057693" w:rsidRDefault="00057693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4ACED475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D5683D">
      <w:rPr>
        <w:color w:val="404040" w:themeColor="text1" w:themeTint="BF"/>
        <w:sz w:val="16"/>
        <w:szCs w:val="16"/>
      </w:rPr>
      <w:t>Neil Squire / Makers Making Change</w:t>
    </w:r>
  </w:p>
  <w:p w14:paraId="1C828964" w14:textId="52DD9100" w:rsidR="00D5683D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5019" w:history="1">
      <w:r w:rsidR="00C37C0B" w:rsidRPr="00C37C0B">
        <w:rPr>
          <w:color w:val="0563C1" w:themeColor="hyperlink"/>
          <w:sz w:val="16"/>
          <w:szCs w:val="16"/>
          <w:u w:val="single"/>
        </w:rPr>
        <w:t>https://makersmakingchange.com/project/beverage-can-opener/</w:t>
      </w:r>
    </w:hyperlink>
  </w:p>
  <w:p w14:paraId="2210A978" w14:textId="2BF2CBD6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71C8" w14:textId="77777777" w:rsidR="00057693" w:rsidRDefault="00057693" w:rsidP="00890AA1">
      <w:pPr>
        <w:spacing w:after="0" w:line="240" w:lineRule="auto"/>
      </w:pPr>
      <w:r>
        <w:separator/>
      </w:r>
    </w:p>
  </w:footnote>
  <w:footnote w:type="continuationSeparator" w:id="0">
    <w:p w14:paraId="7252984C" w14:textId="77777777" w:rsidR="00057693" w:rsidRDefault="00057693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9B12AF2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D5683D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D5683D">
      <w:rPr>
        <w:b/>
        <w:bCs/>
        <w:color w:val="646464"/>
        <w:sz w:val="16"/>
        <w:szCs w:val="16"/>
      </w:rPr>
      <w:t>June 2022</w:t>
    </w:r>
  </w:p>
  <w:p w14:paraId="2717E993" w14:textId="21F1A2B2" w:rsidR="00FA7DB8" w:rsidRPr="00884DFC" w:rsidRDefault="00D5683D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D5683D">
      <w:rPr>
        <w:rFonts w:ascii="Roboto" w:hAnsi="Roboto"/>
        <w:color w:val="646464"/>
        <w:sz w:val="36"/>
        <w:szCs w:val="36"/>
      </w:rPr>
      <w:t>Beverage Can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J7DtM40" int2:invalidationBookmarkName="" int2:hashCode="Et6pb+wgWTVmq3" int2:id="Fy5oHRH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  <w:num w:numId="6" w16cid:durableId="1732074508">
    <w:abstractNumId w:val="3"/>
  </w:num>
  <w:num w:numId="7" w16cid:durableId="1817797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57693"/>
    <w:rsid w:val="000C0733"/>
    <w:rsid w:val="000D4C85"/>
    <w:rsid w:val="00122961"/>
    <w:rsid w:val="0015757A"/>
    <w:rsid w:val="00177224"/>
    <w:rsid w:val="00223228"/>
    <w:rsid w:val="00254A08"/>
    <w:rsid w:val="00274D8B"/>
    <w:rsid w:val="0039197B"/>
    <w:rsid w:val="003B0475"/>
    <w:rsid w:val="003D6474"/>
    <w:rsid w:val="00495AE2"/>
    <w:rsid w:val="004C4688"/>
    <w:rsid w:val="0051B773"/>
    <w:rsid w:val="005A29F7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35D38"/>
    <w:rsid w:val="00C37C0B"/>
    <w:rsid w:val="00C672E4"/>
    <w:rsid w:val="00CA31F7"/>
    <w:rsid w:val="00D12366"/>
    <w:rsid w:val="00D5683D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  <w:rsid w:val="74E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56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39</cp:revision>
  <cp:lastPrinted>2022-06-10T21:23:00Z</cp:lastPrinted>
  <dcterms:created xsi:type="dcterms:W3CDTF">2021-04-26T18:36:00Z</dcterms:created>
  <dcterms:modified xsi:type="dcterms:W3CDTF">2022-06-10T21:23:00Z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