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5014ED4B" w14:textId="08E50884" w:rsidR="001D5FD1" w:rsidRDefault="001D5FD1" w:rsidP="001D5FD1">
      <w:pPr>
        <w:rPr>
          <w:sz w:val="20"/>
          <w:szCs w:val="20"/>
        </w:rPr>
      </w:pPr>
      <w:r w:rsidRPr="14B9E829">
        <w:rPr>
          <w:sz w:val="20"/>
          <w:szCs w:val="20"/>
        </w:rPr>
        <w:t xml:space="preserve">The Finger Lift Switch is an accessible switch with a single button finger lever. The switch is activated by placing a finger under the finger </w:t>
      </w:r>
      <w:r w:rsidR="00D81399" w:rsidRPr="14B9E829">
        <w:rPr>
          <w:sz w:val="20"/>
          <w:szCs w:val="20"/>
        </w:rPr>
        <w:t>pad and</w:t>
      </w:r>
      <w:r w:rsidRPr="14B9E829">
        <w:rPr>
          <w:sz w:val="20"/>
          <w:szCs w:val="20"/>
        </w:rPr>
        <w:t xml:space="preserve"> lifting the finger until activation occurs. This device is suitable for anyone and can be connected to any device with a 3.5 mm interface. </w:t>
      </w:r>
    </w:p>
    <w:p w14:paraId="5141E5B3" w14:textId="1639E5F2" w:rsidR="001D5FD1" w:rsidRDefault="00482E09" w:rsidP="00482E09">
      <w:pPr>
        <w:pStyle w:val="Heading2"/>
      </w:pPr>
      <w:r>
        <w:t>Features</w:t>
      </w:r>
    </w:p>
    <w:p w14:paraId="292FA7DC" w14:textId="1B647A52" w:rsidR="001D5FD1" w:rsidRDefault="4B634AE8" w:rsidP="00482E09">
      <w:pPr>
        <w:pStyle w:val="Heading2"/>
      </w:pPr>
      <w:r>
        <w:rPr>
          <w:noProof/>
        </w:rPr>
        <w:drawing>
          <wp:inline distT="0" distB="0" distL="0" distR="0" wp14:anchorId="6FB3CC2F" wp14:editId="2D075DA7">
            <wp:extent cx="4285768" cy="3066415"/>
            <wp:effectExtent l="0" t="0" r="635" b="635"/>
            <wp:docPr id="865202572" name="Picture 86520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" t="8495" r="7831" b="13336"/>
                    <a:stretch/>
                  </pic:blipFill>
                  <pic:spPr bwMode="auto">
                    <a:xfrm>
                      <a:off x="0" y="0"/>
                      <a:ext cx="4287412" cy="306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1EE35" w14:textId="0C5E2FCE" w:rsidR="00BC424C" w:rsidRDefault="00482E09" w:rsidP="00435602">
      <w:pPr>
        <w:pStyle w:val="Heading2"/>
      </w:pPr>
      <w:r>
        <w:t>Usage</w:t>
      </w:r>
    </w:p>
    <w:p w14:paraId="65BC49B5" w14:textId="42A925AF" w:rsidR="00BC424C" w:rsidRDefault="00BC424C" w:rsidP="00BC424C">
      <w:pPr>
        <w:rPr>
          <w:sz w:val="20"/>
          <w:szCs w:val="20"/>
        </w:rPr>
      </w:pPr>
      <w:r>
        <w:rPr>
          <w:sz w:val="20"/>
          <w:szCs w:val="20"/>
        </w:rPr>
        <w:t>Connect the cable to the assistive device.</w:t>
      </w:r>
      <w:r w:rsidR="008766E4">
        <w:rPr>
          <w:sz w:val="20"/>
          <w:szCs w:val="20"/>
        </w:rPr>
        <w:t xml:space="preserve"> The user’s lifting fingertip should be placed under the finger lift pad, resting on a lower surface or splint. The switch is activated by the user raising their lifting </w:t>
      </w:r>
      <w:r w:rsidR="00730FBB">
        <w:rPr>
          <w:sz w:val="20"/>
          <w:szCs w:val="20"/>
        </w:rPr>
        <w:t>finger and pressing a</w:t>
      </w:r>
      <w:r w:rsidR="008766E4">
        <w:rPr>
          <w:sz w:val="20"/>
          <w:szCs w:val="20"/>
        </w:rPr>
        <w:t>gainst the finger lift pad</w:t>
      </w:r>
      <w:r w:rsidR="00730FBB">
        <w:rPr>
          <w:sz w:val="20"/>
          <w:szCs w:val="20"/>
        </w:rPr>
        <w:t xml:space="preserve"> from below. The switch will de-activate when the user lowers their lifting finger back to the resting surface. The switch activation distance will be approximately 5 mm.</w:t>
      </w:r>
    </w:p>
    <w:tbl>
      <w:tblPr>
        <w:tblW w:w="4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276"/>
        <w:gridCol w:w="1701"/>
      </w:tblGrid>
      <w:tr w:rsidR="00BC424C" w14:paraId="5676DABA" w14:textId="77777777" w:rsidTr="002616F3">
        <w:tc>
          <w:tcPr>
            <w:tcW w:w="1696" w:type="dxa"/>
            <w:shd w:val="clear" w:color="auto" w:fill="F2F2F2"/>
            <w:vAlign w:val="center"/>
          </w:tcPr>
          <w:p w14:paraId="03649886" w14:textId="77777777" w:rsidR="00BC424C" w:rsidRDefault="00BC424C" w:rsidP="002616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53BF225" w14:textId="77777777" w:rsidR="00BC424C" w:rsidRDefault="00BC424C" w:rsidP="002616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Time (seconds)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7C54864" w14:textId="77777777" w:rsidR="00BC424C" w:rsidRDefault="00BC424C" w:rsidP="002616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</w:tr>
      <w:tr w:rsidR="00BC424C" w14:paraId="33753811" w14:textId="77777777" w:rsidTr="002616F3">
        <w:tc>
          <w:tcPr>
            <w:tcW w:w="1696" w:type="dxa"/>
            <w:tcBorders>
              <w:bottom w:val="single" w:sz="4" w:space="0" w:color="000000"/>
            </w:tcBorders>
          </w:tcPr>
          <w:p w14:paraId="28B1E677" w14:textId="77777777" w:rsidR="00BC424C" w:rsidRDefault="00BC424C" w:rsidP="002616F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Lifting Finger Pad</w:t>
            </w:r>
          </w:p>
          <w:p w14:paraId="4BE3355A" w14:textId="77777777" w:rsidR="00BC424C" w:rsidRDefault="00BC424C" w:rsidP="002616F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using finger</w:t>
            </w:r>
          </w:p>
        </w:tc>
        <w:tc>
          <w:tcPr>
            <w:tcW w:w="1276" w:type="dxa"/>
            <w:vAlign w:val="center"/>
          </w:tcPr>
          <w:p w14:paraId="66829A88" w14:textId="77777777" w:rsidR="00BC424C" w:rsidRDefault="00BC424C" w:rsidP="002616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</w:t>
            </w:r>
          </w:p>
        </w:tc>
        <w:tc>
          <w:tcPr>
            <w:tcW w:w="1701" w:type="dxa"/>
            <w:vAlign w:val="center"/>
          </w:tcPr>
          <w:p w14:paraId="3B6F2F45" w14:textId="77777777" w:rsidR="00BC424C" w:rsidRDefault="00BC424C" w:rsidP="002616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“On” Defined by interfaced device</w:t>
            </w:r>
          </w:p>
        </w:tc>
      </w:tr>
    </w:tbl>
    <w:p w14:paraId="32F4C163" w14:textId="77777777" w:rsidR="00BC424C" w:rsidRDefault="00BC424C" w:rsidP="00BC424C"/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lastRenderedPageBreak/>
        <w:t>Compatibility</w:t>
      </w:r>
    </w:p>
    <w:p w14:paraId="6A05A809" w14:textId="534839FF" w:rsidR="00482E09" w:rsidRDefault="00B11033" w:rsidP="00482E09">
      <w:r>
        <w:rPr>
          <w:sz w:val="20"/>
          <w:szCs w:val="20"/>
        </w:rPr>
        <w:t>The Finger Lift Switch is compatible with any device that accepts a 3.5 mm mono plug.  Note that this switch is</w:t>
      </w:r>
      <w:r w:rsidR="00D81399">
        <w:rPr>
          <w:sz w:val="20"/>
          <w:szCs w:val="20"/>
        </w:rPr>
        <w:t xml:space="preserve"> intend for low current </w:t>
      </w:r>
      <w:r w:rsidR="00EB5315">
        <w:rPr>
          <w:sz w:val="20"/>
          <w:szCs w:val="20"/>
        </w:rPr>
        <w:t>applications, such as computer or toy (digital) type inputs</w:t>
      </w:r>
      <w:r>
        <w:rPr>
          <w:sz w:val="20"/>
          <w:szCs w:val="20"/>
        </w:rPr>
        <w:t>. Switching currents higher than 50</w:t>
      </w:r>
      <w:r w:rsidR="000709CA">
        <w:rPr>
          <w:sz w:val="20"/>
          <w:szCs w:val="20"/>
        </w:rPr>
        <w:t> </w:t>
      </w:r>
      <w:r>
        <w:rPr>
          <w:sz w:val="20"/>
          <w:szCs w:val="20"/>
        </w:rPr>
        <w:t>m</w:t>
      </w:r>
      <w:r w:rsidR="00D7154D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EB5315">
        <w:rPr>
          <w:sz w:val="20"/>
          <w:szCs w:val="20"/>
        </w:rPr>
        <w:t>may</w:t>
      </w:r>
      <w:r>
        <w:rPr>
          <w:sz w:val="20"/>
          <w:szCs w:val="20"/>
        </w:rPr>
        <w:t xml:space="preserve"> cause the reed switch to become “sticky” </w:t>
      </w:r>
      <w:r w:rsidR="00BC424C">
        <w:rPr>
          <w:sz w:val="20"/>
          <w:szCs w:val="20"/>
        </w:rPr>
        <w:t xml:space="preserve">(sluggish) </w:t>
      </w:r>
      <w:r>
        <w:rPr>
          <w:sz w:val="20"/>
          <w:szCs w:val="20"/>
        </w:rPr>
        <w:t xml:space="preserve">or </w:t>
      </w:r>
      <w:r w:rsidR="00BC424C">
        <w:rPr>
          <w:sz w:val="20"/>
          <w:szCs w:val="20"/>
        </w:rPr>
        <w:t>“</w:t>
      </w:r>
      <w:r>
        <w:rPr>
          <w:sz w:val="20"/>
          <w:szCs w:val="20"/>
        </w:rPr>
        <w:t>stuck</w:t>
      </w:r>
      <w:r w:rsidR="00BC424C">
        <w:rPr>
          <w:sz w:val="20"/>
          <w:szCs w:val="20"/>
        </w:rPr>
        <w:t>” (on all the time)</w:t>
      </w:r>
      <w:r>
        <w:rPr>
          <w:sz w:val="20"/>
          <w:szCs w:val="20"/>
        </w:rPr>
        <w:t>.</w:t>
      </w:r>
      <w:r w:rsidR="00EB5315">
        <w:rPr>
          <w:sz w:val="20"/>
          <w:szCs w:val="20"/>
        </w:rPr>
        <w:t xml:space="preserve"> </w:t>
      </w:r>
    </w:p>
    <w:p w14:paraId="0851CB28" w14:textId="661BFF04" w:rsidR="00B11033" w:rsidRDefault="00482E09" w:rsidP="00B11033">
      <w:pPr>
        <w:pStyle w:val="Heading2"/>
      </w:pPr>
      <w:r>
        <w:t>Specifications</w:t>
      </w:r>
    </w:p>
    <w:tbl>
      <w:tblPr>
        <w:tblW w:w="5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7"/>
        <w:gridCol w:w="2597"/>
      </w:tblGrid>
      <w:tr w:rsidR="00B11033" w14:paraId="13E86392" w14:textId="77777777" w:rsidTr="4B634AE8">
        <w:trPr>
          <w:trHeight w:val="380"/>
        </w:trPr>
        <w:tc>
          <w:tcPr>
            <w:tcW w:w="2597" w:type="dxa"/>
          </w:tcPr>
          <w:p w14:paraId="44EB744E" w14:textId="77777777" w:rsidR="00B11033" w:rsidRDefault="00B11033" w:rsidP="002616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Activation Force</w:t>
            </w:r>
          </w:p>
          <w:p w14:paraId="17D9A5B6" w14:textId="77777777" w:rsidR="00B11033" w:rsidRDefault="00B11033" w:rsidP="002616F3">
            <w:pPr>
              <w:rPr>
                <w:b/>
                <w:sz w:val="20"/>
                <w:szCs w:val="20"/>
              </w:rPr>
            </w:pPr>
          </w:p>
        </w:tc>
        <w:tc>
          <w:tcPr>
            <w:tcW w:w="2597" w:type="dxa"/>
          </w:tcPr>
          <w:p w14:paraId="13B6F4A3" w14:textId="352DD87B" w:rsidR="00B11033" w:rsidRDefault="00DC67E9" w:rsidP="002616F3">
            <w:pPr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0.05</w:t>
            </w:r>
            <w:r w:rsidR="00B11033">
              <w:rPr>
                <w:color w:val="000000"/>
                <w:sz w:val="20"/>
                <w:szCs w:val="20"/>
                <w:highlight w:val="white"/>
              </w:rPr>
              <w:t> </w:t>
            </w:r>
            <w:r w:rsidR="00B11033">
              <w:rPr>
                <w:rFonts w:ascii="MathJax_Main" w:eastAsia="MathJax_Main" w:hAnsi="MathJax_Main" w:cs="MathJax_Main"/>
                <w:color w:val="000000"/>
                <w:sz w:val="20"/>
                <w:szCs w:val="20"/>
                <w:highlight w:val="white"/>
              </w:rPr>
              <w:t>±</w:t>
            </w:r>
            <w:r w:rsidR="00B11033">
              <w:rPr>
                <w:color w:val="000000"/>
                <w:sz w:val="20"/>
                <w:szCs w:val="20"/>
                <w:highlight w:val="white"/>
              </w:rPr>
              <w:t> 0.</w:t>
            </w:r>
            <w:r w:rsidR="00A82DCB">
              <w:rPr>
                <w:color w:val="000000"/>
                <w:sz w:val="20"/>
                <w:szCs w:val="20"/>
                <w:highlight w:val="white"/>
              </w:rPr>
              <w:t>02</w:t>
            </w:r>
            <w:r w:rsidR="00B11033">
              <w:rPr>
                <w:color w:val="000000"/>
                <w:sz w:val="20"/>
                <w:szCs w:val="20"/>
                <w:highlight w:val="white"/>
              </w:rPr>
              <w:t xml:space="preserve"> N</w:t>
            </w:r>
          </w:p>
          <w:p w14:paraId="6CD3C98F" w14:textId="77777777" w:rsidR="00B11033" w:rsidRDefault="00B11033" w:rsidP="00261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5 </w:t>
            </w:r>
            <w:r>
              <w:rPr>
                <w:rFonts w:ascii="MathJax_Main" w:eastAsia="MathJax_Main" w:hAnsi="MathJax_Main" w:cs="MathJax_Main"/>
                <w:color w:val="000000"/>
                <w:sz w:val="20"/>
                <w:szCs w:val="20"/>
                <w:highlight w:val="white"/>
              </w:rPr>
              <w:t xml:space="preserve">± </w:t>
            </w:r>
            <w:r>
              <w:rPr>
                <w:sz w:val="20"/>
                <w:szCs w:val="20"/>
                <w:highlight w:val="white"/>
              </w:rPr>
              <w:t>2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 grams-force</w:t>
            </w:r>
          </w:p>
        </w:tc>
      </w:tr>
      <w:tr w:rsidR="00B11033" w14:paraId="286C55FE" w14:textId="77777777" w:rsidTr="4B634AE8">
        <w:trPr>
          <w:trHeight w:val="641"/>
        </w:trPr>
        <w:tc>
          <w:tcPr>
            <w:tcW w:w="2597" w:type="dxa"/>
          </w:tcPr>
          <w:p w14:paraId="2840981C" w14:textId="6F4C8EF6" w:rsidR="00B11033" w:rsidRDefault="000709CA" w:rsidP="000709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Activation</w:t>
            </w:r>
            <w:r w:rsidR="00B11033">
              <w:rPr>
                <w:b/>
                <w:sz w:val="20"/>
                <w:szCs w:val="20"/>
              </w:rPr>
              <w:t xml:space="preserve"> Distance</w:t>
            </w:r>
          </w:p>
        </w:tc>
        <w:tc>
          <w:tcPr>
            <w:tcW w:w="2597" w:type="dxa"/>
          </w:tcPr>
          <w:p w14:paraId="51183314" w14:textId="77777777" w:rsidR="00B11033" w:rsidRDefault="00B11033" w:rsidP="002616F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~</w:t>
            </w:r>
            <w:r>
              <w:rPr>
                <w:sz w:val="20"/>
                <w:szCs w:val="20"/>
                <w:highlight w:val="white"/>
              </w:rPr>
              <w:t>5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 mm</w:t>
            </w:r>
          </w:p>
        </w:tc>
      </w:tr>
      <w:tr w:rsidR="00B11033" w14:paraId="5FB179A1" w14:textId="77777777" w:rsidTr="4B634AE8">
        <w:trPr>
          <w:trHeight w:val="962"/>
        </w:trPr>
        <w:tc>
          <w:tcPr>
            <w:tcW w:w="2597" w:type="dxa"/>
          </w:tcPr>
          <w:p w14:paraId="5F2BAEF0" w14:textId="77777777" w:rsidR="00B11033" w:rsidRDefault="00B11033" w:rsidP="002616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Dimensions</w:t>
            </w:r>
          </w:p>
          <w:p w14:paraId="0862E8C2" w14:textId="2EA781B8" w:rsidR="00B11033" w:rsidRDefault="00B11033" w:rsidP="000709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(Length x Width x Height)</w:t>
            </w:r>
          </w:p>
        </w:tc>
        <w:tc>
          <w:tcPr>
            <w:tcW w:w="2597" w:type="dxa"/>
          </w:tcPr>
          <w:p w14:paraId="55880EED" w14:textId="27E89987" w:rsidR="00B11033" w:rsidRDefault="00B11033" w:rsidP="002616F3">
            <w:pPr>
              <w:rPr>
                <w:sz w:val="20"/>
                <w:szCs w:val="20"/>
              </w:rPr>
            </w:pPr>
            <w:r w:rsidRPr="4B634AE8">
              <w:rPr>
                <w:sz w:val="20"/>
                <w:szCs w:val="20"/>
              </w:rPr>
              <w:t>85 x 20 x 35 mm</w:t>
            </w:r>
          </w:p>
        </w:tc>
      </w:tr>
      <w:tr w:rsidR="00B11033" w14:paraId="139975AF" w14:textId="77777777" w:rsidTr="4B634AE8">
        <w:trPr>
          <w:trHeight w:val="641"/>
        </w:trPr>
        <w:tc>
          <w:tcPr>
            <w:tcW w:w="2597" w:type="dxa"/>
          </w:tcPr>
          <w:p w14:paraId="67B83400" w14:textId="216080AF" w:rsidR="00B11033" w:rsidRDefault="00B11033" w:rsidP="000709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2597" w:type="dxa"/>
          </w:tcPr>
          <w:p w14:paraId="20AFCEB3" w14:textId="77777777" w:rsidR="00B11033" w:rsidRDefault="00B11033" w:rsidP="002616F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~</m:t>
              </m:r>
            </m:oMath>
            <w:r>
              <w:rPr>
                <w:sz w:val="20"/>
                <w:szCs w:val="20"/>
              </w:rPr>
              <w:t>50 grams</w:t>
            </w:r>
          </w:p>
        </w:tc>
      </w:tr>
      <w:tr w:rsidR="00B11033" w14:paraId="707B7275" w14:textId="77777777" w:rsidTr="4B634AE8">
        <w:trPr>
          <w:trHeight w:val="38"/>
        </w:trPr>
        <w:tc>
          <w:tcPr>
            <w:tcW w:w="2597" w:type="dxa"/>
          </w:tcPr>
          <w:p w14:paraId="3833666C" w14:textId="72ECF012" w:rsidR="00B11033" w:rsidRDefault="00B11033" w:rsidP="000709C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Switch Capacity</w:t>
            </w:r>
          </w:p>
        </w:tc>
        <w:tc>
          <w:tcPr>
            <w:tcW w:w="2597" w:type="dxa"/>
          </w:tcPr>
          <w:p w14:paraId="5E4CC653" w14:textId="5C17A12D" w:rsidR="00B11033" w:rsidRDefault="00B11033" w:rsidP="00261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C424C">
              <w:rPr>
                <w:sz w:val="20"/>
                <w:szCs w:val="20"/>
              </w:rPr>
              <w:t>0</w:t>
            </w:r>
            <w:r w:rsidR="00A82DC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mA </w:t>
            </w:r>
            <w:r w:rsidR="00A45566">
              <w:rPr>
                <w:sz w:val="20"/>
                <w:szCs w:val="20"/>
              </w:rPr>
              <w:t xml:space="preserve">working </w:t>
            </w:r>
            <w:r>
              <w:rPr>
                <w:sz w:val="20"/>
                <w:szCs w:val="20"/>
              </w:rPr>
              <w:t>at 24</w:t>
            </w:r>
            <w:r w:rsidR="00A82DC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VDC or VAC</w:t>
            </w:r>
          </w:p>
          <w:p w14:paraId="26ED1641" w14:textId="6BD614D9" w:rsidR="00A45566" w:rsidRDefault="00A45566" w:rsidP="002616F3">
            <w:pPr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1A max surge</w:t>
            </w:r>
          </w:p>
        </w:tc>
      </w:tr>
    </w:tbl>
    <w:p w14:paraId="4AE2F135" w14:textId="77777777" w:rsidR="00B11033" w:rsidRDefault="00B11033" w:rsidP="00B11033">
      <w:pPr>
        <w:rPr>
          <w:sz w:val="20"/>
          <w:szCs w:val="20"/>
        </w:rPr>
      </w:pP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04A5A929" w14:textId="77777777" w:rsidR="00D81399" w:rsidRDefault="00D81399" w:rsidP="00D813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Remove the lever arm, by unscrewing the bearing pivot screw. Note the position of the balance screw and remove it, placing it aside. </w:t>
      </w:r>
    </w:p>
    <w:p w14:paraId="625747DC" w14:textId="77777777" w:rsidR="00D81399" w:rsidRDefault="00D81399" w:rsidP="00D813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Remove the counterweight screw and clean the counterweight separately. Counterweight should be wiped on the outside only. Never wet the internal nut, or it may rust. </w:t>
      </w:r>
    </w:p>
    <w:p w14:paraId="496CA514" w14:textId="77777777" w:rsidR="00D81399" w:rsidRDefault="00D81399" w:rsidP="00D813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The plastic lever arm can be soaked </w:t>
      </w:r>
      <w:r>
        <w:rPr>
          <w:color w:val="000000"/>
          <w:sz w:val="20"/>
          <w:szCs w:val="20"/>
        </w:rPr>
        <w:t>in any water/detergent-based cleaning solution. Wipe dry.</w:t>
      </w:r>
    </w:p>
    <w:p w14:paraId="6805C828" w14:textId="6844AB8A" w:rsidR="00D81399" w:rsidRDefault="00D81399" w:rsidP="00D813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Wipe </w:t>
      </w:r>
      <w:r>
        <w:rPr>
          <w:sz w:val="20"/>
          <w:szCs w:val="20"/>
        </w:rPr>
        <w:t>outside bearing base with a paper towel</w:t>
      </w:r>
      <w:r>
        <w:rPr>
          <w:color w:val="000000"/>
          <w:sz w:val="20"/>
          <w:szCs w:val="20"/>
        </w:rPr>
        <w:t xml:space="preserve"> moistened in</w:t>
      </w:r>
      <w:r>
        <w:rPr>
          <w:sz w:val="20"/>
          <w:szCs w:val="20"/>
        </w:rPr>
        <w:t xml:space="preserve"> a mild water/detergent solution, </w:t>
      </w:r>
      <w:r>
        <w:rPr>
          <w:color w:val="000000"/>
          <w:sz w:val="20"/>
          <w:szCs w:val="20"/>
        </w:rPr>
        <w:t xml:space="preserve">or Lysol </w:t>
      </w:r>
      <w:r w:rsidR="00A45566">
        <w:rPr>
          <w:color w:val="000000"/>
          <w:sz w:val="20"/>
          <w:szCs w:val="20"/>
        </w:rPr>
        <w:t xml:space="preserve">disinfecting </w:t>
      </w:r>
      <w:r>
        <w:rPr>
          <w:color w:val="000000"/>
          <w:sz w:val="20"/>
          <w:szCs w:val="20"/>
        </w:rPr>
        <w:t xml:space="preserve">wipe. </w:t>
      </w:r>
      <w:r w:rsidR="00A45566">
        <w:rPr>
          <w:color w:val="000000"/>
          <w:sz w:val="20"/>
          <w:szCs w:val="20"/>
        </w:rPr>
        <w:t>Leave</w:t>
      </w:r>
      <w:r>
        <w:rPr>
          <w:color w:val="000000"/>
          <w:sz w:val="20"/>
          <w:szCs w:val="20"/>
        </w:rPr>
        <w:t xml:space="preserve"> to dry completely to ensure that the </w:t>
      </w:r>
      <w:r>
        <w:rPr>
          <w:sz w:val="20"/>
          <w:szCs w:val="20"/>
        </w:rPr>
        <w:t>internal reed switch</w:t>
      </w:r>
      <w:r>
        <w:rPr>
          <w:color w:val="000000"/>
          <w:sz w:val="20"/>
          <w:szCs w:val="20"/>
        </w:rPr>
        <w:t xml:space="preserve"> element will not </w:t>
      </w:r>
      <w:r>
        <w:rPr>
          <w:sz w:val="20"/>
          <w:szCs w:val="20"/>
        </w:rPr>
        <w:t>corrode.</w:t>
      </w:r>
    </w:p>
    <w:p w14:paraId="4234682D" w14:textId="2733ADF7" w:rsidR="005C3A3A" w:rsidRPr="005C3A3A" w:rsidRDefault="005C3A3A" w:rsidP="00D81399"/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148C" w14:textId="77777777" w:rsidR="00A26862" w:rsidRDefault="00A26862">
      <w:pPr>
        <w:spacing w:after="0" w:line="240" w:lineRule="auto"/>
      </w:pPr>
      <w:r>
        <w:separator/>
      </w:r>
    </w:p>
  </w:endnote>
  <w:endnote w:type="continuationSeparator" w:id="0">
    <w:p w14:paraId="63F8F0D1" w14:textId="77777777" w:rsidR="00A26862" w:rsidRDefault="00A2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57FD53E8" w:rsidR="00704DC1" w:rsidRPr="0032736B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32736B" w:rsidRPr="00236BCC">
        <w:rPr>
          <w:rStyle w:val="Hyperlink"/>
          <w:sz w:val="16"/>
          <w:szCs w:val="16"/>
        </w:rPr>
        <w:t>https://makersmakingchange.com/project/finger-lift-switch/</w:t>
      </w:r>
    </w:hyperlink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FD15" w14:textId="77777777" w:rsidR="00A26862" w:rsidRDefault="00A26862">
      <w:pPr>
        <w:spacing w:after="0" w:line="240" w:lineRule="auto"/>
      </w:pPr>
      <w:r>
        <w:separator/>
      </w:r>
    </w:p>
  </w:footnote>
  <w:footnote w:type="continuationSeparator" w:id="0">
    <w:p w14:paraId="6FA4B4D2" w14:textId="77777777" w:rsidR="00A26862" w:rsidRDefault="00A26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4F4CCBAF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47927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147927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147927">
      <w:rPr>
        <w:b/>
        <w:bCs/>
        <w:color w:val="646464"/>
        <w:sz w:val="16"/>
        <w:szCs w:val="16"/>
      </w:rPr>
      <w:t>July</w:t>
    </w:r>
    <w:r>
      <w:rPr>
        <w:b/>
        <w:bCs/>
        <w:color w:val="646464"/>
        <w:sz w:val="16"/>
        <w:szCs w:val="16"/>
      </w:rPr>
      <w:t xml:space="preserve"> </w:t>
    </w:r>
    <w:r w:rsidR="00147927">
      <w:rPr>
        <w:b/>
        <w:bCs/>
        <w:color w:val="646464"/>
        <w:sz w:val="16"/>
        <w:szCs w:val="16"/>
      </w:rPr>
      <w:t>2022</w:t>
    </w:r>
  </w:p>
  <w:p w14:paraId="265C4134" w14:textId="4878F1BD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7927">
      <w:rPr>
        <w:rFonts w:ascii="Roboto" w:hAnsi="Roboto"/>
        <w:b/>
        <w:bCs/>
        <w:noProof/>
        <w:color w:val="646464"/>
        <w:sz w:val="36"/>
        <w:szCs w:val="36"/>
      </w:rPr>
      <w:t>Finger Lift Switch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2C1"/>
    <w:multiLevelType w:val="multilevel"/>
    <w:tmpl w:val="35E0461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818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09CA"/>
    <w:rsid w:val="0007534E"/>
    <w:rsid w:val="00142EAF"/>
    <w:rsid w:val="00147927"/>
    <w:rsid w:val="00180231"/>
    <w:rsid w:val="001A13A3"/>
    <w:rsid w:val="001D4111"/>
    <w:rsid w:val="001D5FD1"/>
    <w:rsid w:val="001E4FAF"/>
    <w:rsid w:val="00261B45"/>
    <w:rsid w:val="00272808"/>
    <w:rsid w:val="002B6D9F"/>
    <w:rsid w:val="0032736B"/>
    <w:rsid w:val="003D58A3"/>
    <w:rsid w:val="00435602"/>
    <w:rsid w:val="00482E09"/>
    <w:rsid w:val="005C3A3A"/>
    <w:rsid w:val="00660409"/>
    <w:rsid w:val="0068766B"/>
    <w:rsid w:val="00704DC1"/>
    <w:rsid w:val="007068CA"/>
    <w:rsid w:val="00730FBB"/>
    <w:rsid w:val="00745A15"/>
    <w:rsid w:val="007C0F40"/>
    <w:rsid w:val="008766E4"/>
    <w:rsid w:val="008A3B98"/>
    <w:rsid w:val="008D07FD"/>
    <w:rsid w:val="0094054B"/>
    <w:rsid w:val="009C33D9"/>
    <w:rsid w:val="00A03A33"/>
    <w:rsid w:val="00A26862"/>
    <w:rsid w:val="00A45566"/>
    <w:rsid w:val="00A5340E"/>
    <w:rsid w:val="00A82DCB"/>
    <w:rsid w:val="00A95DD5"/>
    <w:rsid w:val="00AD3F5C"/>
    <w:rsid w:val="00B11033"/>
    <w:rsid w:val="00BA177A"/>
    <w:rsid w:val="00BC424C"/>
    <w:rsid w:val="00BE2C76"/>
    <w:rsid w:val="00C0639B"/>
    <w:rsid w:val="00CB5C83"/>
    <w:rsid w:val="00D07A26"/>
    <w:rsid w:val="00D7154D"/>
    <w:rsid w:val="00D81399"/>
    <w:rsid w:val="00DC67E9"/>
    <w:rsid w:val="00DD27EF"/>
    <w:rsid w:val="00E52A9A"/>
    <w:rsid w:val="00EB5315"/>
    <w:rsid w:val="00F70442"/>
    <w:rsid w:val="14F2CBB7"/>
    <w:rsid w:val="1E6FE52B"/>
    <w:rsid w:val="4A220D03"/>
    <w:rsid w:val="4B634AE8"/>
    <w:rsid w:val="51F8DA5B"/>
    <w:rsid w:val="546CDC54"/>
    <w:rsid w:val="62C34ACC"/>
    <w:rsid w:val="730B25C0"/>
    <w:rsid w:val="76738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27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project/finger-lift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B3850E-B5D4-461F-B0F9-B4D183C45468}"/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purl.org/dc/dcmitype/"/>
    <ds:schemaRef ds:uri="http://purl.org/dc/elements/1.1/"/>
    <ds:schemaRef ds:uri="http://schemas.openxmlformats.org/package/2006/metadata/core-properties"/>
    <ds:schemaRef ds:uri="cf9f6c1f-8ad0-4eb8-bb2b-fb0b622a341e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72c39c84-b0a3-45a2-a38c-ff46bb47f11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14</cp:revision>
  <cp:lastPrinted>2022-08-19T19:53:00Z</cp:lastPrinted>
  <dcterms:created xsi:type="dcterms:W3CDTF">2022-07-19T22:17:00Z</dcterms:created>
  <dcterms:modified xsi:type="dcterms:W3CDTF">2022-08-19T19:53:00Z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