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587D7B7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*Configuration 1*</w:t>
            </w:r>
          </w:p>
        </w:tc>
        <w:tc>
          <w:tcPr>
            <w:tcW w:w="3117" w:type="dxa"/>
          </w:tcPr>
          <w:p w14:paraId="0A6185F2" w14:textId="38DD445A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*Configuration 2*</w:t>
            </w:r>
          </w:p>
        </w:tc>
      </w:tr>
      <w:tr w:rsidR="00B16ACA" w14:paraId="493D7EF5" w14:textId="77777777" w:rsidTr="5F4D309E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77777777" w:rsidR="00B16ACA" w:rsidRDefault="00B16ACA" w:rsidP="0098503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23FEB94" w14:textId="77777777" w:rsidR="00B16ACA" w:rsidRDefault="00B16ACA" w:rsidP="00985036">
            <w:pPr>
              <w:rPr>
                <w:lang w:val="en-US"/>
              </w:rPr>
            </w:pPr>
          </w:p>
        </w:tc>
      </w:tr>
      <w:tr w:rsidR="007106AC" w14:paraId="135A8720" w14:textId="77777777" w:rsidTr="5F4D309E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77777777" w:rsidR="007106AC" w:rsidRDefault="007106AC" w:rsidP="0098503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AD047AD" w14:textId="77777777" w:rsidR="007106AC" w:rsidRDefault="007106AC" w:rsidP="00985036">
            <w:pPr>
              <w:rPr>
                <w:lang w:val="en-US"/>
              </w:rPr>
            </w:pPr>
          </w:p>
        </w:tc>
      </w:tr>
      <w:tr w:rsidR="007106AC" w14:paraId="1360B33B" w14:textId="77777777" w:rsidTr="5F4D309E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77777777" w:rsidR="007106AC" w:rsidRDefault="007106AC" w:rsidP="0098503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D97CB58" w14:textId="77777777" w:rsidR="007106AC" w:rsidRDefault="007106AC" w:rsidP="00985036">
            <w:pPr>
              <w:rPr>
                <w:lang w:val="en-US"/>
              </w:rPr>
            </w:pPr>
          </w:p>
        </w:tc>
      </w:tr>
      <w:tr w:rsidR="0054189A" w14:paraId="1428206A" w14:textId="77777777" w:rsidTr="5F4D309E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77777777" w:rsidR="0054189A" w:rsidRDefault="0054189A" w:rsidP="00985036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E9F6666" w14:textId="77777777" w:rsidR="0054189A" w:rsidRDefault="0054189A" w:rsidP="00985036">
            <w:pPr>
              <w:rPr>
                <w:lang w:val="en-US"/>
              </w:rPr>
            </w:pP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29"/>
        <w:gridCol w:w="574"/>
        <w:gridCol w:w="980"/>
        <w:gridCol w:w="698"/>
        <w:gridCol w:w="640"/>
        <w:gridCol w:w="1438"/>
        <w:gridCol w:w="1568"/>
        <w:gridCol w:w="2758"/>
      </w:tblGrid>
      <w:tr w:rsidR="004B1742" w14:paraId="11B5E3D8" w14:textId="77777777" w:rsidTr="353FD92F">
        <w:trPr>
          <w:cantSplit/>
          <w:trHeight w:val="903"/>
        </w:trPr>
        <w:tc>
          <w:tcPr>
            <w:tcW w:w="1350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10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005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5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6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75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095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885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353FD92F">
        <w:trPr>
          <w:trHeight w:val="384"/>
        </w:trPr>
        <w:tc>
          <w:tcPr>
            <w:tcW w:w="1350" w:type="dxa"/>
          </w:tcPr>
          <w:p w14:paraId="3C3916EB" w14:textId="77777777" w:rsidR="004B1742" w:rsidRPr="004B1742" w:rsidRDefault="004B1742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Example_file.stl</w:t>
            </w:r>
            <w:proofErr w:type="spellEnd"/>
          </w:p>
        </w:tc>
        <w:tc>
          <w:tcPr>
            <w:tcW w:w="610" w:type="dxa"/>
          </w:tcPr>
          <w:p w14:paraId="18F999B5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5" w:type="dxa"/>
          </w:tcPr>
          <w:p w14:paraId="6CC8039C" w14:textId="394EBD64" w:rsidR="004B1742" w:rsidRPr="004B1742" w:rsidRDefault="00324A3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2:00</w:t>
            </w:r>
          </w:p>
        </w:tc>
        <w:tc>
          <w:tcPr>
            <w:tcW w:w="705" w:type="dxa"/>
          </w:tcPr>
          <w:p w14:paraId="219897CE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6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5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095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3885" w:type="dxa"/>
          </w:tcPr>
          <w:p w14:paraId="0E03073D" w14:textId="77777777" w:rsidR="000B4A63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B1742">
              <w:rPr>
                <w:lang w:val="en-US"/>
              </w:rPr>
              <w:t>Must be printed with a brim</w:t>
            </w:r>
          </w:p>
          <w:p w14:paraId="5BCE6B9E" w14:textId="4E807E05" w:rsidR="004B1742" w:rsidRDefault="000B4A63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Requires </w:t>
            </w:r>
            <w:r w:rsidR="004B1742" w:rsidRPr="004B1742">
              <w:rPr>
                <w:lang w:val="en-US"/>
              </w:rPr>
              <w:t>support</w:t>
            </w:r>
          </w:p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4B1742" w14:paraId="02EB378F" w14:textId="77777777" w:rsidTr="353FD92F">
        <w:trPr>
          <w:trHeight w:val="368"/>
        </w:trPr>
        <w:tc>
          <w:tcPr>
            <w:tcW w:w="1350" w:type="dxa"/>
          </w:tcPr>
          <w:p w14:paraId="6A05A809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610" w:type="dxa"/>
          </w:tcPr>
          <w:p w14:paraId="5A39BBE3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41C8F39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72A3D3EC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0D0B940D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0E27B00A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2C90EEBD" w14:textId="5BA60A62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0061E4C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4B1742" w:rsidRPr="004B1742" w14:paraId="44EAFD9C" w14:textId="77777777" w:rsidTr="353FD92F">
        <w:trPr>
          <w:trHeight w:val="384"/>
        </w:trPr>
        <w:tc>
          <w:tcPr>
            <w:tcW w:w="1350" w:type="dxa"/>
          </w:tcPr>
          <w:p w14:paraId="4B94D5A5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3DEEC66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3656B9A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45FB0818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049F31C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3128261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1B75B6B1" w14:textId="36ECEF6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2486C0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4B1742" w:rsidRPr="004B1742" w14:paraId="4101652C" w14:textId="77777777" w:rsidTr="353FD92F">
        <w:trPr>
          <w:trHeight w:val="368"/>
        </w:trPr>
        <w:tc>
          <w:tcPr>
            <w:tcW w:w="1350" w:type="dxa"/>
          </w:tcPr>
          <w:p w14:paraId="4B99056E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1299C43A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4DDBEF00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3461D77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3CF2D8B6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0FB78278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5AAF56F7" w14:textId="2A3DF9D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1FC3994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4B1742" w:rsidRPr="004B1742" w14:paraId="0562CB0E" w14:textId="77777777" w:rsidTr="353FD92F">
        <w:trPr>
          <w:trHeight w:val="384"/>
        </w:trPr>
        <w:tc>
          <w:tcPr>
            <w:tcW w:w="1350" w:type="dxa"/>
          </w:tcPr>
          <w:p w14:paraId="34CE0A41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62EBF3C5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D98A12B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2946DB82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5997CC1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110FFD37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A7AD83E" w14:textId="0D17F84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B699379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4B1742" w:rsidRPr="004B1742" w14:paraId="3FE9F23F" w14:textId="77777777" w:rsidTr="353FD92F">
        <w:trPr>
          <w:trHeight w:val="368"/>
        </w:trPr>
        <w:tc>
          <w:tcPr>
            <w:tcW w:w="1350" w:type="dxa"/>
          </w:tcPr>
          <w:p w14:paraId="1F72F646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08CE6F91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1CDCEA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6BB9E253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23DE523C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2E56223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424A323" w14:textId="2478D97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07547A01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24E4F49D" w:rsidR="00503F09" w:rsidRDefault="16C7B1A2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58CDC8EB">
        <w:rPr>
          <w:lang w:val="en-US"/>
        </w:rPr>
        <w:t xml:space="preserve">Add any processes that must be done after </w:t>
      </w:r>
      <w:proofErr w:type="gramStart"/>
      <w:r w:rsidRPr="58CDC8EB">
        <w:rPr>
          <w:lang w:val="en-US"/>
        </w:rPr>
        <w:t>print</w:t>
      </w:r>
      <w:proofErr w:type="gramEnd"/>
      <w:r w:rsidRPr="58CDC8EB">
        <w:rPr>
          <w:lang w:val="en-US"/>
        </w:rPr>
        <w:t xml:space="preserve"> such as removing supports</w:t>
      </w:r>
    </w:p>
    <w:p w14:paraId="07459315" w14:textId="3BFF4C7C" w:rsidR="009B60EF" w:rsidRDefault="00BB664A" w:rsidP="00E17FC8">
      <w:pPr>
        <w:pStyle w:val="Heading1"/>
      </w:pPr>
      <w:r>
        <w:t>Customization Options</w:t>
      </w:r>
    </w:p>
    <w:p w14:paraId="11504645" w14:textId="5E6FA31B" w:rsidR="009E22A2" w:rsidRPr="009E22A2" w:rsidRDefault="084F2872" w:rsidP="353FD92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58CDC8EB">
        <w:rPr>
          <w:lang w:val="en-US"/>
        </w:rPr>
        <w:t xml:space="preserve">If there are options for customization of the device include instructions here. This could be printing the device in multiple colors, custom markings, or any other way to customize the device. 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6EE1DD84" w14:textId="0BBCFF26" w:rsidR="009E22A2" w:rsidRPr="009E22A2" w:rsidRDefault="30E47929" w:rsidP="1EC2DD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Add photos of the prints below to show examples of what the </w:t>
      </w:r>
      <w:r w:rsidR="3EDCB7D4">
        <w:t>component should look like after the print. This will help makers know if their print is good quality and if it is up to the expectations of the device.</w:t>
      </w:r>
    </w:p>
    <w:p w14:paraId="08F7A62D" w14:textId="1BBF01BB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>Photos of Component 1</w:t>
      </w:r>
    </w:p>
    <w:p w14:paraId="28FE5B97" w14:textId="12A7AE13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>Photos of Component 2</w:t>
      </w:r>
    </w:p>
    <w:p w14:paraId="78462C0B" w14:textId="45CDCD2B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lastRenderedPageBreak/>
        <w:t>Photos of Component 3</w:t>
      </w:r>
    </w:p>
    <w:p w14:paraId="4A3FDEDF" w14:textId="0093B837" w:rsidR="1EC2DDF8" w:rsidRDefault="1EC2DDF8" w:rsidP="1EC2DDF8"/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B557" w14:textId="77777777" w:rsidR="00F24FEC" w:rsidRDefault="00F24FEC" w:rsidP="004B1742">
      <w:pPr>
        <w:spacing w:after="0" w:line="240" w:lineRule="auto"/>
      </w:pPr>
      <w:r>
        <w:separator/>
      </w:r>
    </w:p>
  </w:endnote>
  <w:endnote w:type="continuationSeparator" w:id="0">
    <w:p w14:paraId="55E30E3A" w14:textId="77777777" w:rsidR="00F24FEC" w:rsidRDefault="00F24FEC" w:rsidP="004B1742">
      <w:pPr>
        <w:spacing w:after="0" w:line="240" w:lineRule="auto"/>
      </w:pPr>
      <w:r>
        <w:continuationSeparator/>
      </w:r>
    </w:p>
  </w:endnote>
  <w:endnote w:type="continuationNotice" w:id="1">
    <w:p w14:paraId="267423D2" w14:textId="77777777" w:rsidR="00F24FEC" w:rsidRDefault="00F24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03AC" w14:textId="77777777" w:rsidR="00DF4324" w:rsidRDefault="00DF4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631B63D6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997074" w:rsidRPr="00DF4324">
      <w:rPr>
        <w:color w:val="404040" w:themeColor="text1" w:themeTint="BF"/>
        <w:sz w:val="16"/>
        <w:szCs w:val="16"/>
      </w:rPr>
      <w:t>&lt;Author&gt;</w:t>
    </w:r>
    <w:r w:rsidR="00BC7F79" w:rsidRPr="00DF4324">
      <w:rPr>
        <w:color w:val="404040" w:themeColor="text1" w:themeTint="BF"/>
        <w:sz w:val="16"/>
        <w:szCs w:val="16"/>
      </w:rPr>
      <w:t xml:space="preserve">.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 &lt;Replace with MMC Library Link&gt;</w:t>
    </w:r>
    <w:r w:rsidR="00BC7F79" w:rsidRPr="00DF4324">
      <w:rPr>
        <w:color w:val="404040" w:themeColor="text1" w:themeTint="BF"/>
        <w:sz w:val="18"/>
        <w:szCs w:val="18"/>
      </w:rPr>
      <w:t xml:space="preserve"> 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02D7" w14:textId="77777777" w:rsidR="00DF4324" w:rsidRDefault="00DF4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39C3" w14:textId="77777777" w:rsidR="00F24FEC" w:rsidRDefault="00F24FEC" w:rsidP="004B1742">
      <w:pPr>
        <w:spacing w:after="0" w:line="240" w:lineRule="auto"/>
      </w:pPr>
      <w:r>
        <w:separator/>
      </w:r>
    </w:p>
  </w:footnote>
  <w:footnote w:type="continuationSeparator" w:id="0">
    <w:p w14:paraId="640E46C1" w14:textId="77777777" w:rsidR="00F24FEC" w:rsidRDefault="00F24FEC" w:rsidP="004B1742">
      <w:pPr>
        <w:spacing w:after="0" w:line="240" w:lineRule="auto"/>
      </w:pPr>
      <w:r>
        <w:continuationSeparator/>
      </w:r>
    </w:p>
  </w:footnote>
  <w:footnote w:type="continuationNotice" w:id="1">
    <w:p w14:paraId="0441B27B" w14:textId="77777777" w:rsidR="00F24FEC" w:rsidRDefault="00F24F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7728" w14:textId="77777777" w:rsidR="00DF4324" w:rsidRDefault="00DF4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434BA12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</w:t>
    </w:r>
    <w:r w:rsidR="00731B50">
      <w:rPr>
        <w:b/>
        <w:bCs/>
        <w:color w:val="646464"/>
        <w:sz w:val="16"/>
        <w:szCs w:val="16"/>
      </w:rPr>
      <w:t>&gt;</w:t>
    </w:r>
  </w:p>
  <w:p w14:paraId="0628E788" w14:textId="2253545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1B50"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7D7E" w14:textId="77777777" w:rsidR="00DF4324" w:rsidRDefault="00DF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324A39"/>
    <w:rsid w:val="00387057"/>
    <w:rsid w:val="00455E1B"/>
    <w:rsid w:val="004B1742"/>
    <w:rsid w:val="004D031D"/>
    <w:rsid w:val="004D6B75"/>
    <w:rsid w:val="00503F09"/>
    <w:rsid w:val="0054189A"/>
    <w:rsid w:val="00553F7F"/>
    <w:rsid w:val="005613D2"/>
    <w:rsid w:val="005E080D"/>
    <w:rsid w:val="006879ED"/>
    <w:rsid w:val="006B083C"/>
    <w:rsid w:val="006F2953"/>
    <w:rsid w:val="007070C5"/>
    <w:rsid w:val="007106AC"/>
    <w:rsid w:val="0072010B"/>
    <w:rsid w:val="00731B50"/>
    <w:rsid w:val="007B28ED"/>
    <w:rsid w:val="007D76AE"/>
    <w:rsid w:val="007D79E7"/>
    <w:rsid w:val="00855C9E"/>
    <w:rsid w:val="00881883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B664A"/>
    <w:rsid w:val="00BC7F79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4" ma:contentTypeDescription="Create a new document." ma:contentTypeScope="" ma:versionID="25bda75a6dfd96e5db8925d9b32884bb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31df18040434d6f7ef0c4bb9a7cb71fe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FA8BAF1D-A2AF-4FDF-A750-54DC672CF811}"/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61</cp:revision>
  <cp:lastPrinted>2022-04-11T18:00:00Z</cp:lastPrinted>
  <dcterms:created xsi:type="dcterms:W3CDTF">2021-04-28T16:46:00Z</dcterms:created>
  <dcterms:modified xsi:type="dcterms:W3CDTF">2022-05-20T18:51:00Z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