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27C9" w14:textId="71D24D35" w:rsidR="269D9AD1" w:rsidRDefault="00ED77C2" w:rsidP="3B4300CC">
      <w:pPr>
        <w:pStyle w:val="Heading1"/>
      </w:pPr>
      <w:r>
        <w:rPr>
          <w:rFonts w:ascii="Calibri" w:eastAsia="Calibri" w:hAnsi="Calibri" w:cs="Calibri"/>
          <w:sz w:val="28"/>
          <w:szCs w:val="28"/>
        </w:rPr>
        <w:t>O</w:t>
      </w:r>
      <w:r w:rsidR="269D9AD1" w:rsidRPr="3B4300CC">
        <w:rPr>
          <w:rFonts w:ascii="Calibri" w:eastAsia="Calibri" w:hAnsi="Calibri" w:cs="Calibri"/>
          <w:sz w:val="28"/>
          <w:szCs w:val="28"/>
        </w:rPr>
        <w:t>verview</w:t>
      </w:r>
    </w:p>
    <w:p w14:paraId="5571729E" w14:textId="1571684F" w:rsidR="00E11DDA" w:rsidRPr="00E11DDA" w:rsidRDefault="0045795B">
      <w:pPr>
        <w:rPr>
          <w:lang w:val="en-US"/>
        </w:rPr>
      </w:pPr>
      <w:r>
        <w:rPr>
          <w:lang w:val="en-US"/>
        </w:rPr>
        <w:t xml:space="preserve">The Device Summary </w:t>
      </w:r>
      <w:r w:rsidR="007A1FD7">
        <w:rPr>
          <w:lang w:val="en-US"/>
        </w:rPr>
        <w:t xml:space="preserve">is intended </w:t>
      </w:r>
      <w:r w:rsidR="00155BEE">
        <w:rPr>
          <w:lang w:val="en-US"/>
        </w:rPr>
        <w:t xml:space="preserve">to be a </w:t>
      </w:r>
      <w:r w:rsidR="009F5FCC">
        <w:rPr>
          <w:lang w:val="en-US"/>
        </w:rPr>
        <w:t xml:space="preserve">detailed </w:t>
      </w:r>
      <w:r w:rsidR="008A23D9">
        <w:rPr>
          <w:lang w:val="en-US"/>
        </w:rPr>
        <w:t xml:space="preserve">summary of the device, product and maker </w:t>
      </w:r>
      <w:r w:rsidR="00330D97">
        <w:rPr>
          <w:lang w:val="en-US"/>
        </w:rPr>
        <w:t>information</w:t>
      </w:r>
      <w:r w:rsidR="00155BEE">
        <w:rPr>
          <w:lang w:val="en-US"/>
        </w:rPr>
        <w:t xml:space="preserve"> </w:t>
      </w:r>
      <w:r w:rsidR="001F701E">
        <w:rPr>
          <w:lang w:val="en-US"/>
        </w:rPr>
        <w:t xml:space="preserve">for the </w:t>
      </w:r>
      <w:r w:rsidR="00424525">
        <w:rPr>
          <w:lang w:val="en-US"/>
        </w:rPr>
        <w:t>Open Rocker Switch,</w:t>
      </w:r>
      <w:r w:rsidR="00155BEE">
        <w:rPr>
          <w:lang w:val="en-US"/>
        </w:rPr>
        <w:t xml:space="preserve"> mak</w:t>
      </w:r>
      <w:r w:rsidR="00330D97">
        <w:rPr>
          <w:lang w:val="en-US"/>
        </w:rPr>
        <w:t>ing</w:t>
      </w:r>
      <w:r w:rsidR="00155BEE">
        <w:rPr>
          <w:lang w:val="en-US"/>
        </w:rPr>
        <w:t xml:space="preserve"> it easier to add to the</w:t>
      </w:r>
      <w:r w:rsidR="00A83B48">
        <w:rPr>
          <w:lang w:val="en-US"/>
        </w:rPr>
        <w:t xml:space="preserve"> Makers Making Change</w:t>
      </w:r>
      <w:r w:rsidR="00155BEE">
        <w:rPr>
          <w:lang w:val="en-US"/>
        </w:rPr>
        <w:t xml:space="preserve"> website.</w:t>
      </w:r>
      <w:r w:rsidR="001E138A">
        <w:rPr>
          <w:lang w:val="en-US"/>
        </w:rPr>
        <w:t xml:space="preserve"> </w:t>
      </w:r>
      <w:r w:rsidR="00562D66">
        <w:rPr>
          <w:lang w:val="en-US"/>
        </w:rPr>
        <w:t xml:space="preserve">It is intended for anyone who will view the device </w:t>
      </w:r>
      <w:r w:rsidR="007F6DA9">
        <w:rPr>
          <w:lang w:val="en-US"/>
        </w:rPr>
        <w:t>listing</w:t>
      </w:r>
      <w:r w:rsidR="008A587A">
        <w:rPr>
          <w:lang w:val="en-US"/>
        </w:rPr>
        <w:t>.</w:t>
      </w:r>
      <w:r w:rsidR="00562D66">
        <w:rPr>
          <w:lang w:val="en-US"/>
        </w:rPr>
        <w:t xml:space="preserve"> </w:t>
      </w:r>
    </w:p>
    <w:p w14:paraId="4DD0EAB4" w14:textId="542BDAE1" w:rsidR="00191C48" w:rsidRDefault="00E11DDA">
      <w:pPr>
        <w:rPr>
          <w:rFonts w:eastAsiaTheme="majorEastAsia" w:cstheme="majorBidi"/>
          <w:b/>
          <w:bCs/>
          <w:color w:val="1C1946" w:themeColor="accent1" w:themeShade="BF"/>
          <w:sz w:val="32"/>
          <w:szCs w:val="32"/>
          <w:lang w:val="en-US"/>
        </w:rPr>
      </w:pPr>
      <w:r>
        <w:rPr>
          <w:noProof/>
        </w:rPr>
        <w:drawing>
          <wp:inline distT="0" distB="0" distL="0" distR="0" wp14:anchorId="3178D7A9" wp14:editId="565FB735">
            <wp:extent cx="5943600" cy="4138295"/>
            <wp:effectExtent l="0" t="0" r="0" b="0"/>
            <wp:docPr id="161902403" name="Picture 1" descr="A photo of the Open Rocker Switch printed in green with red buttons and di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2403" name="Picture 1" descr="A photo of the Open Rocker Switch printed in green with red buttons and dividers"/>
                    <pic:cNvPicPr/>
                  </pic:nvPicPr>
                  <pic:blipFill>
                    <a:blip r:embed="rId11"/>
                    <a:stretch>
                      <a:fillRect/>
                    </a:stretch>
                  </pic:blipFill>
                  <pic:spPr>
                    <a:xfrm>
                      <a:off x="0" y="0"/>
                      <a:ext cx="5943600" cy="4138295"/>
                    </a:xfrm>
                    <a:prstGeom prst="rect">
                      <a:avLst/>
                    </a:prstGeom>
                  </pic:spPr>
                </pic:pic>
              </a:graphicData>
            </a:graphic>
          </wp:inline>
        </w:drawing>
      </w:r>
      <w:r w:rsidR="00191C48">
        <w:br w:type="page"/>
      </w:r>
    </w:p>
    <w:p w14:paraId="758F604B" w14:textId="46232861"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301C2719" w:rsidR="00B9764E" w:rsidRDefault="00900255" w:rsidP="00B9764E">
      <w:pPr>
        <w:rPr>
          <w:lang w:val="en-US"/>
        </w:rPr>
      </w:pPr>
      <w:r>
        <w:rPr>
          <w:lang w:val="en-US"/>
        </w:rPr>
        <w:t>Open Rocker Switch</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4314AA4C" w:rsidR="00A47206" w:rsidRPr="00A47206" w:rsidRDefault="00900255"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45CA6A2E" w:rsidR="00A47206" w:rsidRPr="00A47206" w:rsidRDefault="00905578"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0158438D" w:rsidR="00A47206" w:rsidRPr="00A47206" w:rsidRDefault="00905578"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66FF1A82" w14:textId="2D67EC59" w:rsidR="00765CBC" w:rsidRDefault="00765CBC" w:rsidP="00B9764E">
      <w:pPr>
        <w:rPr>
          <w:lang w:val="en-US"/>
        </w:rPr>
      </w:pPr>
      <w:r w:rsidRPr="00765CBC">
        <w:t>If you are looking for an assistive switch to control two separate inputs on an accessible device, the dual action Open Rocker Switch might just be the two-in-one solution for you.</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7489A906" w14:textId="7754FE1C" w:rsidR="00B9764E" w:rsidRDefault="00900255" w:rsidP="004F139A">
      <w:pPr>
        <w:rPr>
          <w:rFonts w:eastAsia="Times New Roman"/>
          <w:lang w:val="en-US"/>
        </w:rPr>
      </w:pPr>
      <w:r>
        <w:rPr>
          <w:rFonts w:eastAsia="Times New Roman"/>
          <w:lang w:val="en-US"/>
        </w:rPr>
        <w:t>Makers Making Change</w:t>
      </w:r>
    </w:p>
    <w:p w14:paraId="622B22CD" w14:textId="2E104F3C" w:rsidR="00B9764E" w:rsidRDefault="00B9764E" w:rsidP="00B9764E">
      <w:pPr>
        <w:pStyle w:val="Heading1"/>
      </w:pPr>
      <w:r>
        <w:t>Device I</w:t>
      </w:r>
      <w:r w:rsidR="54DAEF09">
        <w:t>nformation</w:t>
      </w:r>
    </w:p>
    <w:p w14:paraId="611393F3" w14:textId="5ABBBCD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Overview</w:t>
      </w:r>
    </w:p>
    <w:p w14:paraId="461C25B6" w14:textId="0756A411" w:rsidR="00E35DC8" w:rsidRDefault="00127839" w:rsidP="00E35DC8">
      <w:pPr>
        <w:rPr>
          <w:lang w:val="en-US"/>
        </w:rPr>
      </w:pPr>
      <w:r>
        <w:rPr>
          <w:lang w:val="en-US"/>
        </w:rPr>
        <w:t xml:space="preserve">The Open Rocker Switch is a </w:t>
      </w:r>
      <w:r w:rsidR="00DE1F2B">
        <w:rPr>
          <w:lang w:val="en-US"/>
        </w:rPr>
        <w:t xml:space="preserve">cost effective, </w:t>
      </w:r>
      <w:r>
        <w:rPr>
          <w:lang w:val="en-US"/>
        </w:rPr>
        <w:t>3D printed</w:t>
      </w:r>
      <w:r w:rsidR="00DE1F2B">
        <w:rPr>
          <w:lang w:val="en-US"/>
        </w:rPr>
        <w:t>,</w:t>
      </w:r>
      <w:r>
        <w:rPr>
          <w:lang w:val="en-US"/>
        </w:rPr>
        <w:t xml:space="preserve"> </w:t>
      </w:r>
      <w:r w:rsidR="00E35DC8">
        <w:rPr>
          <w:lang w:val="en-US"/>
        </w:rPr>
        <w:t>dual action rocker switch that allows users to control dual input accessible devices.</w:t>
      </w:r>
    </w:p>
    <w:p w14:paraId="751A4E78" w14:textId="77777777" w:rsidR="009C72FC" w:rsidRDefault="009C72FC" w:rsidP="009C72FC">
      <w:pPr>
        <w:pStyle w:val="Heading1"/>
        <w:rPr>
          <w:rFonts w:eastAsiaTheme="minorEastAsia" w:cstheme="minorBidi"/>
          <w:b w:val="0"/>
          <w:bCs w:val="0"/>
          <w:color w:val="auto"/>
          <w:sz w:val="22"/>
          <w:szCs w:val="22"/>
          <w:lang w:val="en-CA"/>
        </w:rPr>
      </w:pPr>
      <w:r w:rsidRPr="0006467E">
        <w:rPr>
          <w:rFonts w:eastAsiaTheme="minorEastAsia" w:cstheme="minorBidi"/>
          <w:b w:val="0"/>
          <w:bCs w:val="0"/>
          <w:color w:val="auto"/>
          <w:sz w:val="22"/>
          <w:szCs w:val="22"/>
          <w:lang w:val="en-CA"/>
        </w:rPr>
        <w:t>This switch is comparable in size, activation force, and travel to the discontinued AbleNet Rocker Switch. The Open Rocker Switch has interchangeable button pieces and center divider pieces for users to customize and personalize their switch.</w:t>
      </w:r>
    </w:p>
    <w:p w14:paraId="1CD0109E" w14:textId="77777777" w:rsidR="009C72FC" w:rsidRPr="009C72FC" w:rsidRDefault="009C72FC" w:rsidP="00E35DC8"/>
    <w:p w14:paraId="4DBE383A" w14:textId="0389E671"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02A1EC37" w:rsidR="00A47206" w:rsidRPr="00A47206" w:rsidRDefault="00695B87" w:rsidP="00191C48">
            <w:pPr>
              <w:spacing w:line="276" w:lineRule="auto"/>
              <w:jc w:val="center"/>
              <w:rPr>
                <w:lang w:val="en-US"/>
              </w:rPr>
            </w:pPr>
            <w:r>
              <w:rPr>
                <w:lang w:val="en-US"/>
              </w:rPr>
              <w:t>X</w:t>
            </w: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91C48">
            <w:pPr>
              <w:spacing w:line="276" w:lineRule="auto"/>
              <w:jc w:val="center"/>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18EFA511" w:rsidR="00A47206" w:rsidRPr="00A47206" w:rsidRDefault="00695B87" w:rsidP="00191C48">
            <w:pPr>
              <w:spacing w:line="276" w:lineRule="auto"/>
              <w:jc w:val="center"/>
              <w:rPr>
                <w:lang w:val="en-US"/>
              </w:rPr>
            </w:pPr>
            <w:r>
              <w:rPr>
                <w:lang w:val="en-US"/>
              </w:rPr>
              <w:t>X</w:t>
            </w: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1049F3CA" w:rsidR="00A47206" w:rsidRPr="00A47206" w:rsidRDefault="002F1025" w:rsidP="00191C48">
            <w:pPr>
              <w:spacing w:line="276" w:lineRule="auto"/>
              <w:jc w:val="center"/>
              <w:rPr>
                <w:lang w:val="en-US"/>
              </w:rPr>
            </w:pPr>
            <w:r>
              <w:rPr>
                <w:lang w:val="en-US"/>
              </w:rPr>
              <w:t>X</w:t>
            </w: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91C48">
            <w:pPr>
              <w:spacing w:line="276" w:lineRule="auto"/>
              <w:jc w:val="center"/>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91C48">
            <w:pPr>
              <w:spacing w:line="276" w:lineRule="auto"/>
              <w:jc w:val="center"/>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12CA8E5A" w14:textId="3F166329" w:rsidR="00CF4EFD" w:rsidRPr="00CF4EFD" w:rsidRDefault="0048739D" w:rsidP="00CF4EFD">
      <w:pPr>
        <w:rPr>
          <w:lang w:val="en-US"/>
        </w:rPr>
      </w:pPr>
      <w:r>
        <w:rPr>
          <w:lang w:val="en-US"/>
        </w:rPr>
        <w:t xml:space="preserve">This device is designed for users of accessible switches, particularly those using devices that require </w:t>
      </w:r>
      <w:r w:rsidR="00642FCE">
        <w:rPr>
          <w:lang w:val="en-US"/>
        </w:rPr>
        <w:t>dual inputs, such as scanning devices or morse code input.</w:t>
      </w:r>
    </w:p>
    <w:p w14:paraId="7D2CBC50" w14:textId="298D0403" w:rsidR="00B9764E" w:rsidRDefault="00B9764E" w:rsidP="00B9764E">
      <w:pPr>
        <w:pStyle w:val="Heading2"/>
        <w:rPr>
          <w:lang w:val="en-US"/>
        </w:rPr>
      </w:pPr>
      <w:r w:rsidRPr="3B4300CC">
        <w:rPr>
          <w:rFonts w:ascii="Calibri" w:eastAsia="Calibri" w:hAnsi="Calibri" w:cs="Calibri"/>
          <w:lang w:val="en-US"/>
        </w:rPr>
        <w:t>How To Use</w:t>
      </w:r>
    </w:p>
    <w:p w14:paraId="482C0B5A" w14:textId="5AB97724" w:rsidR="00CF4EFD" w:rsidRPr="00CF4EFD" w:rsidRDefault="00E2303B" w:rsidP="00CF4EFD">
      <w:pPr>
        <w:rPr>
          <w:lang w:val="en-US"/>
        </w:rPr>
      </w:pPr>
      <w:r>
        <w:rPr>
          <w:lang w:val="en-US"/>
        </w:rPr>
        <w:t xml:space="preserve">The user </w:t>
      </w:r>
      <w:r w:rsidR="0044161A">
        <w:rPr>
          <w:lang w:val="en-US"/>
        </w:rPr>
        <w:t>presses on the buttons on either side of the central divider. The button</w:t>
      </w:r>
      <w:r w:rsidR="00486386">
        <w:rPr>
          <w:lang w:val="en-US"/>
        </w:rPr>
        <w:t>s</w:t>
      </w:r>
      <w:r w:rsidR="0044161A">
        <w:rPr>
          <w:lang w:val="en-US"/>
        </w:rPr>
        <w:t xml:space="preserve"> activate the device connected to the corresponding </w:t>
      </w:r>
      <w:r w:rsidR="00E476AE">
        <w:rPr>
          <w:lang w:val="en-US"/>
        </w:rPr>
        <w:t>mono cable.</w:t>
      </w:r>
    </w:p>
    <w:p w14:paraId="3BB3092F" w14:textId="1578F0F4"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191C48">
            <w:pPr>
              <w:jc w:val="cente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3EF27582" w:rsidR="00A47206" w:rsidRPr="00A47206" w:rsidRDefault="00103D6C" w:rsidP="00191C48">
            <w:pPr>
              <w:jc w:val="center"/>
              <w:rPr>
                <w:lang w:val="en-US"/>
              </w:rPr>
            </w:pPr>
            <w:r>
              <w:rPr>
                <w:lang w:val="en-US"/>
              </w:rPr>
              <w:t>X</w:t>
            </w: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191C48">
            <w:pPr>
              <w:jc w:val="cente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191C48">
            <w:pPr>
              <w:jc w:val="cente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14FD0CB" w14:textId="49DC483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Attribution</w:t>
      </w:r>
    </w:p>
    <w:p w14:paraId="083D4DF9" w14:textId="77777777" w:rsidR="002750A1" w:rsidRPr="002750A1" w:rsidRDefault="002750A1" w:rsidP="002750A1">
      <w:r w:rsidRPr="002750A1">
        <w:t xml:space="preserve">The Open Rocker Switch is inspired by the design of the now discontinued </w:t>
      </w:r>
      <w:proofErr w:type="spellStart"/>
      <w:r w:rsidRPr="002750A1">
        <w:t>Ablenet</w:t>
      </w:r>
      <w:proofErr w:type="spellEnd"/>
      <w:r w:rsidRPr="002750A1">
        <w:t xml:space="preserve"> Rocker Switch, originally created by TASH.</w:t>
      </w:r>
    </w:p>
    <w:p w14:paraId="32E4F43E" w14:textId="77777777" w:rsidR="002750A1" w:rsidRPr="002750A1" w:rsidRDefault="002750A1" w:rsidP="002750A1">
      <w:r w:rsidRPr="002750A1">
        <w:t>Design:</w:t>
      </w:r>
    </w:p>
    <w:p w14:paraId="147ABD80" w14:textId="77777777" w:rsidR="002750A1" w:rsidRPr="002750A1" w:rsidRDefault="002750A1" w:rsidP="002750A1">
      <w:pPr>
        <w:pStyle w:val="ListParagraph"/>
        <w:numPr>
          <w:ilvl w:val="0"/>
          <w:numId w:val="6"/>
        </w:numPr>
      </w:pPr>
      <w:r w:rsidRPr="002750A1">
        <w:t>Gabriel Chiu</w:t>
      </w:r>
    </w:p>
    <w:p w14:paraId="43C49C36" w14:textId="77777777" w:rsidR="002750A1" w:rsidRDefault="002750A1" w:rsidP="002750A1">
      <w:pPr>
        <w:pStyle w:val="ListParagraph"/>
        <w:numPr>
          <w:ilvl w:val="0"/>
          <w:numId w:val="6"/>
        </w:numPr>
      </w:pPr>
      <w:r w:rsidRPr="002750A1">
        <w:t>Jake McIvor</w:t>
      </w:r>
    </w:p>
    <w:p w14:paraId="3F33927A" w14:textId="7350E461" w:rsidR="002750A1" w:rsidRPr="002750A1" w:rsidRDefault="002750A1" w:rsidP="002750A1">
      <w:pPr>
        <w:pStyle w:val="ListParagraph"/>
        <w:numPr>
          <w:ilvl w:val="0"/>
          <w:numId w:val="6"/>
        </w:numPr>
      </w:pPr>
      <w:r>
        <w:t>Brad Wellington</w:t>
      </w:r>
    </w:p>
    <w:p w14:paraId="65AF993D" w14:textId="77777777" w:rsidR="0006467E" w:rsidRDefault="0006467E" w:rsidP="00B9764E">
      <w:pPr>
        <w:pStyle w:val="Heading1"/>
        <w:rPr>
          <w:rFonts w:eastAsiaTheme="minorEastAsia" w:cstheme="minorBidi"/>
          <w:b w:val="0"/>
          <w:bCs w:val="0"/>
          <w:color w:val="auto"/>
          <w:sz w:val="22"/>
          <w:szCs w:val="22"/>
          <w:lang w:val="en-CA"/>
        </w:rPr>
      </w:pPr>
      <w:r w:rsidRPr="0006467E">
        <w:rPr>
          <w:rFonts w:eastAsiaTheme="minorEastAsia" w:cstheme="minorBidi"/>
          <w:b w:val="0"/>
          <w:bCs w:val="0"/>
          <w:color w:val="auto"/>
          <w:sz w:val="22"/>
          <w:szCs w:val="22"/>
          <w:lang w:val="en-CA"/>
        </w:rPr>
        <w:lastRenderedPageBreak/>
        <w:t>This switch is comparable in size, activation force, and travel to the discontinued AbleNet Rocker Switch. The Open Rocker Switch has interchangeable button pieces and center divider pieces for users to customize and personalize their switch.</w:t>
      </w:r>
    </w:p>
    <w:p w14:paraId="75D93129" w14:textId="388872F9"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181C8FE0" w:rsidR="00A47206" w:rsidRPr="00A47206" w:rsidRDefault="00486386"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1AC83827" w:rsidR="00A47206" w:rsidRPr="00A47206" w:rsidRDefault="00486386"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Skills Description</w:t>
      </w:r>
    </w:p>
    <w:p w14:paraId="685004AA" w14:textId="0B17B47A" w:rsidR="00E67220" w:rsidRPr="002A5F71" w:rsidRDefault="003651BE" w:rsidP="002A5F71">
      <w:pPr>
        <w:rPr>
          <w:lang w:val="en-US"/>
        </w:rPr>
      </w:pPr>
      <w:r>
        <w:rPr>
          <w:lang w:val="en-US"/>
        </w:rPr>
        <w:t xml:space="preserve">Hot glue to attach the buttons, 3D printing to create the components, soldering to attach the buttons to the </w:t>
      </w:r>
      <w:r w:rsidR="00192BCC">
        <w:rPr>
          <w:lang w:val="en-US"/>
        </w:rPr>
        <w:t>cable, hand tools to trim parts and strip wires.</w:t>
      </w: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20212601"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0E1EF75A" w:rsidR="00A47206" w:rsidRPr="00A47206" w:rsidRDefault="00486386" w:rsidP="00191C48">
            <w:pPr>
              <w:jc w:val="cente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1597E3AC" w:rsidR="00A47206" w:rsidRPr="00A47206" w:rsidRDefault="00486386" w:rsidP="00191C48">
            <w:pPr>
              <w:jc w:val="cente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55040099" w:rsidR="00A47206" w:rsidRPr="00A47206" w:rsidRDefault="00486386" w:rsidP="00191C48">
            <w:pPr>
              <w:jc w:val="cente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9C94E6D" w14:textId="2380CD74" w:rsidR="00CF4EFD" w:rsidRPr="00CF4EFD" w:rsidRDefault="00486386" w:rsidP="00CF4EFD">
      <w:pPr>
        <w:rPr>
          <w:lang w:val="en-US"/>
        </w:rPr>
      </w:pPr>
      <w:r>
        <w:rPr>
          <w:lang w:val="en-US"/>
        </w:rPr>
        <w:t>3</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4E16B71" w14:textId="104C952E" w:rsidR="00CF4EFD" w:rsidRPr="00CF4EFD" w:rsidRDefault="00486386" w:rsidP="00CF4EFD">
      <w:pPr>
        <w:rPr>
          <w:lang w:val="en-US"/>
        </w:rPr>
      </w:pPr>
      <w:r>
        <w:rPr>
          <w:lang w:val="en-US"/>
        </w:rPr>
        <w:t>0.</w:t>
      </w:r>
      <w:r w:rsidR="009E41D0">
        <w:rPr>
          <w:lang w:val="en-US"/>
        </w:rPr>
        <w:t>25</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8A55DF" w14:textId="5ED50E7C" w:rsidR="00CF4EFD" w:rsidRDefault="009E41D0" w:rsidP="3B4300CC">
      <w:r>
        <w:t xml:space="preserve">All parts are 3D printed. The buttons are bent and trimmed to shape, then the mono cables soldered to them. </w:t>
      </w:r>
      <w:r w:rsidR="00C8342B">
        <w:t>The buttons are hot glued to the switch base, then</w:t>
      </w:r>
      <w:r w:rsidR="004A304B">
        <w:t xml:space="preserve"> the cables cable tied in place. The buttons prints and divider are attached to the top rocker face of the switch, then </w:t>
      </w:r>
      <w:r w:rsidR="00E67220">
        <w:t>the top face is connected to the bottom using the axle pin.</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6CD8BED6" w14:textId="6B01E29D" w:rsidR="00AE7515" w:rsidRDefault="00FB1001" w:rsidP="00CF4EFD">
      <w:pPr>
        <w:rPr>
          <w:lang w:val="en-US"/>
        </w:rPr>
      </w:pPr>
      <w:r w:rsidRPr="00FB1001">
        <w:rPr>
          <w:lang w:val="en-US"/>
        </w:rPr>
        <w:t xml:space="preserve">https://github.com/makersmakingchange/Open-Rocker-Switch </w:t>
      </w:r>
      <w:r>
        <w:rPr>
          <w:lang w:val="en-US"/>
        </w:rPr>
        <w:t>/</w:t>
      </w:r>
      <w:r w:rsidR="00445496" w:rsidRPr="00445496">
        <w:rPr>
          <w:lang w:val="en-US"/>
        </w:rPr>
        <w:t>archive/refs/heads/main.zip</w:t>
      </w:r>
    </w:p>
    <w:p w14:paraId="25238EA1" w14:textId="5ABF694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Project Link</w:t>
      </w:r>
    </w:p>
    <w:p w14:paraId="1BD62D1F" w14:textId="77777777" w:rsidR="00E67220" w:rsidRDefault="00E67220" w:rsidP="00E67220">
      <w:pPr>
        <w:rPr>
          <w:lang w:val="en-US"/>
        </w:rPr>
      </w:pPr>
      <w:r w:rsidRPr="00FB1001">
        <w:rPr>
          <w:lang w:val="en-US"/>
        </w:rPr>
        <w:t xml:space="preserve">https://github.com/makersmakingchange/Open-Rocker-Switch </w:t>
      </w:r>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5B0E7541" w14:textId="76A71CD3" w:rsidR="002A5F71" w:rsidRDefault="002A5F71" w:rsidP="00775DE2">
      <w:pPr>
        <w:rPr>
          <w:lang w:val="en-US"/>
        </w:rPr>
      </w:pPr>
      <w:r w:rsidRPr="3B4300CC">
        <w:rPr>
          <w:lang w:val="en-US"/>
        </w:rPr>
        <w:t>Hardware:</w:t>
      </w:r>
      <w:r w:rsidR="61F8FC81" w:rsidRPr="3B4300CC">
        <w:rPr>
          <w:lang w:val="en-US"/>
        </w:rPr>
        <w:t xml:space="preserve"> </w:t>
      </w:r>
      <w:r w:rsidR="00775DE2" w:rsidRPr="00775DE2">
        <w:t> CERN 2.0 Permissive license</w:t>
      </w:r>
    </w:p>
    <w:p w14:paraId="736C600E" w14:textId="45C60882" w:rsidR="002A5F71" w:rsidRPr="00B9764E" w:rsidRDefault="002A5F71" w:rsidP="3B4300CC">
      <w:pPr>
        <w:rPr>
          <w:lang w:val="en-US"/>
        </w:rPr>
      </w:pPr>
      <w:r w:rsidRPr="3B4300CC">
        <w:rPr>
          <w:lang w:val="en-US"/>
        </w:rPr>
        <w:t>Documentation:</w:t>
      </w:r>
      <w:r w:rsidR="0EBF2A2C" w:rsidRPr="3B4300CC">
        <w:rPr>
          <w:lang w:val="en-US"/>
        </w:rPr>
        <w:t xml:space="preserve"> </w:t>
      </w:r>
      <w:r w:rsidR="00775DE2" w:rsidRPr="00775DE2">
        <w:t>Creative Commons Attribution-</w:t>
      </w:r>
      <w:proofErr w:type="spellStart"/>
      <w:r w:rsidR="00775DE2" w:rsidRPr="00775DE2">
        <w:t>ShareAlike</w:t>
      </w:r>
      <w:proofErr w:type="spellEnd"/>
      <w:r w:rsidR="00775DE2" w:rsidRPr="00775DE2">
        <w:t xml:space="preserve"> 4.0</w:t>
      </w: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99F15" w14:textId="77777777" w:rsidR="00543406" w:rsidRDefault="00543406">
      <w:pPr>
        <w:spacing w:after="0" w:line="240" w:lineRule="auto"/>
      </w:pPr>
      <w:r>
        <w:separator/>
      </w:r>
    </w:p>
  </w:endnote>
  <w:endnote w:type="continuationSeparator" w:id="0">
    <w:p w14:paraId="76A32C40" w14:textId="77777777" w:rsidR="00543406" w:rsidRDefault="00543406">
      <w:pPr>
        <w:spacing w:after="0" w:line="240" w:lineRule="auto"/>
      </w:pPr>
      <w:r>
        <w:continuationSeparator/>
      </w:r>
    </w:p>
  </w:endnote>
  <w:endnote w:type="continuationNotice" w:id="1">
    <w:p w14:paraId="3CAD2E07" w14:textId="77777777" w:rsidR="00543406" w:rsidRDefault="005434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1FB0191F"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002E68">
      <w:rPr>
        <w:color w:val="404040" w:themeColor="text1" w:themeTint="BF"/>
        <w:sz w:val="16"/>
        <w:szCs w:val="16"/>
      </w:rPr>
      <w:t xml:space="preserve">2024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002959A0" w:rsidRPr="3F146419">
      <w:rPr>
        <w:color w:val="404040" w:themeColor="text1" w:themeTint="BF"/>
        <w:sz w:val="16"/>
        <w:szCs w:val="16"/>
      </w:rPr>
      <w:t>.</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4776B" w14:textId="77777777" w:rsidR="00543406" w:rsidRDefault="00543406">
      <w:pPr>
        <w:spacing w:after="0" w:line="240" w:lineRule="auto"/>
      </w:pPr>
      <w:r>
        <w:separator/>
      </w:r>
    </w:p>
  </w:footnote>
  <w:footnote w:type="continuationSeparator" w:id="0">
    <w:p w14:paraId="38B63D3E" w14:textId="77777777" w:rsidR="00543406" w:rsidRDefault="00543406">
      <w:pPr>
        <w:spacing w:after="0" w:line="240" w:lineRule="auto"/>
      </w:pPr>
      <w:r>
        <w:continuationSeparator/>
      </w:r>
    </w:p>
  </w:footnote>
  <w:footnote w:type="continuationNotice" w:id="1">
    <w:p w14:paraId="4E6F138C" w14:textId="77777777" w:rsidR="00543406" w:rsidRDefault="005434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72015E83"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002E68">
      <w:rPr>
        <w:b/>
        <w:bCs/>
        <w:color w:val="646464"/>
        <w:sz w:val="16"/>
        <w:szCs w:val="16"/>
      </w:rPr>
      <w:t>2.2</w:t>
    </w:r>
    <w:r w:rsidRPr="00E9140B">
      <w:rPr>
        <w:b/>
        <w:bCs/>
        <w:color w:val="646464"/>
        <w:sz w:val="16"/>
        <w:szCs w:val="16"/>
      </w:rPr>
      <w:t xml:space="preserve"> | </w:t>
    </w:r>
    <w:r w:rsidR="00002E68">
      <w:rPr>
        <w:b/>
        <w:bCs/>
        <w:color w:val="646464"/>
        <w:sz w:val="16"/>
        <w:szCs w:val="16"/>
      </w:rPr>
      <w:t>August 2024</w:t>
    </w:r>
  </w:p>
  <w:p w14:paraId="7911D21C" w14:textId="0262667A" w:rsidR="00B53272" w:rsidRPr="00927929" w:rsidRDefault="00002E68" w:rsidP="3754A0D0">
    <w:pPr>
      <w:pStyle w:val="Header"/>
      <w:tabs>
        <w:tab w:val="clear" w:pos="9360"/>
      </w:tabs>
      <w:rPr>
        <w:rFonts w:ascii="Roboto" w:hAnsi="Roboto"/>
        <w:b/>
        <w:bCs/>
        <w:color w:val="646464"/>
        <w:sz w:val="36"/>
        <w:szCs w:val="36"/>
      </w:rPr>
    </w:pPr>
    <w:r>
      <w:rPr>
        <w:rFonts w:ascii="Roboto" w:hAnsi="Roboto"/>
        <w:b/>
        <w:bCs/>
        <w:color w:val="646464"/>
        <w:sz w:val="36"/>
        <w:szCs w:val="36"/>
      </w:rPr>
      <w:t>Open Rocker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134D3745"/>
    <w:multiLevelType w:val="hybridMultilevel"/>
    <w:tmpl w:val="450AF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B1041"/>
    <w:multiLevelType w:val="multilevel"/>
    <w:tmpl w:val="823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3"/>
  </w:num>
  <w:num w:numId="3" w16cid:durableId="1951890145">
    <w:abstractNumId w:val="5"/>
  </w:num>
  <w:num w:numId="4" w16cid:durableId="93207428">
    <w:abstractNumId w:val="0"/>
  </w:num>
  <w:num w:numId="5" w16cid:durableId="1577743519">
    <w:abstractNumId w:val="4"/>
  </w:num>
  <w:num w:numId="6" w16cid:durableId="650670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2E68"/>
    <w:rsid w:val="00006BC7"/>
    <w:rsid w:val="00010B0F"/>
    <w:rsid w:val="00041479"/>
    <w:rsid w:val="00050CD2"/>
    <w:rsid w:val="0006467E"/>
    <w:rsid w:val="00080517"/>
    <w:rsid w:val="000A2D69"/>
    <w:rsid w:val="000B746E"/>
    <w:rsid w:val="00103D6C"/>
    <w:rsid w:val="00105C29"/>
    <w:rsid w:val="00116004"/>
    <w:rsid w:val="00124534"/>
    <w:rsid w:val="00124CAD"/>
    <w:rsid w:val="00127839"/>
    <w:rsid w:val="00136CFE"/>
    <w:rsid w:val="00142EAF"/>
    <w:rsid w:val="00155BEE"/>
    <w:rsid w:val="001735AB"/>
    <w:rsid w:val="001851D2"/>
    <w:rsid w:val="00191C48"/>
    <w:rsid w:val="00192BCC"/>
    <w:rsid w:val="001E138A"/>
    <w:rsid w:val="001F701E"/>
    <w:rsid w:val="002066CC"/>
    <w:rsid w:val="00212066"/>
    <w:rsid w:val="00216AEC"/>
    <w:rsid w:val="00222D53"/>
    <w:rsid w:val="00237A26"/>
    <w:rsid w:val="002552CB"/>
    <w:rsid w:val="002578F0"/>
    <w:rsid w:val="00272E3D"/>
    <w:rsid w:val="002750A1"/>
    <w:rsid w:val="002959A0"/>
    <w:rsid w:val="002A5F71"/>
    <w:rsid w:val="002B5AAA"/>
    <w:rsid w:val="002D6176"/>
    <w:rsid w:val="002E2A0D"/>
    <w:rsid w:val="002E582F"/>
    <w:rsid w:val="002E6BC1"/>
    <w:rsid w:val="002F1025"/>
    <w:rsid w:val="00311C68"/>
    <w:rsid w:val="00321C3F"/>
    <w:rsid w:val="00330D97"/>
    <w:rsid w:val="00343175"/>
    <w:rsid w:val="003651BE"/>
    <w:rsid w:val="00396FA2"/>
    <w:rsid w:val="003C2B9F"/>
    <w:rsid w:val="003E18F9"/>
    <w:rsid w:val="004110FE"/>
    <w:rsid w:val="004131E5"/>
    <w:rsid w:val="00422FEF"/>
    <w:rsid w:val="00424525"/>
    <w:rsid w:val="0044161A"/>
    <w:rsid w:val="00445496"/>
    <w:rsid w:val="00445AAA"/>
    <w:rsid w:val="0045795B"/>
    <w:rsid w:val="004710FB"/>
    <w:rsid w:val="004746BD"/>
    <w:rsid w:val="00475AA0"/>
    <w:rsid w:val="00481F68"/>
    <w:rsid w:val="00486386"/>
    <w:rsid w:val="0048739D"/>
    <w:rsid w:val="004A304B"/>
    <w:rsid w:val="004F139A"/>
    <w:rsid w:val="005431AF"/>
    <w:rsid w:val="00543406"/>
    <w:rsid w:val="0054692D"/>
    <w:rsid w:val="00562D66"/>
    <w:rsid w:val="005974B4"/>
    <w:rsid w:val="005D7C26"/>
    <w:rsid w:val="005E52F9"/>
    <w:rsid w:val="005F5E1E"/>
    <w:rsid w:val="006032CF"/>
    <w:rsid w:val="00605C89"/>
    <w:rsid w:val="0061174A"/>
    <w:rsid w:val="00621350"/>
    <w:rsid w:val="00637AD0"/>
    <w:rsid w:val="00642FCE"/>
    <w:rsid w:val="006470BD"/>
    <w:rsid w:val="00654A00"/>
    <w:rsid w:val="00660DDE"/>
    <w:rsid w:val="0067181C"/>
    <w:rsid w:val="0067544B"/>
    <w:rsid w:val="00695B87"/>
    <w:rsid w:val="006E08C4"/>
    <w:rsid w:val="006E5139"/>
    <w:rsid w:val="006E7488"/>
    <w:rsid w:val="0072789C"/>
    <w:rsid w:val="00760A99"/>
    <w:rsid w:val="00765CBC"/>
    <w:rsid w:val="007663AD"/>
    <w:rsid w:val="00775DE2"/>
    <w:rsid w:val="007844A9"/>
    <w:rsid w:val="007A1FD7"/>
    <w:rsid w:val="007C7570"/>
    <w:rsid w:val="007F6DA9"/>
    <w:rsid w:val="0082739D"/>
    <w:rsid w:val="00843F37"/>
    <w:rsid w:val="00846692"/>
    <w:rsid w:val="00855181"/>
    <w:rsid w:val="00890C02"/>
    <w:rsid w:val="008A23D9"/>
    <w:rsid w:val="008A4E00"/>
    <w:rsid w:val="008A587A"/>
    <w:rsid w:val="008B6751"/>
    <w:rsid w:val="008C4174"/>
    <w:rsid w:val="008F33B6"/>
    <w:rsid w:val="00900255"/>
    <w:rsid w:val="009014AB"/>
    <w:rsid w:val="00905578"/>
    <w:rsid w:val="0091040C"/>
    <w:rsid w:val="0091200E"/>
    <w:rsid w:val="00921EF1"/>
    <w:rsid w:val="00952100"/>
    <w:rsid w:val="00961389"/>
    <w:rsid w:val="009C72FC"/>
    <w:rsid w:val="009D3390"/>
    <w:rsid w:val="009E3D38"/>
    <w:rsid w:val="009E41D0"/>
    <w:rsid w:val="009F4E84"/>
    <w:rsid w:val="009F5EEC"/>
    <w:rsid w:val="009F5FCC"/>
    <w:rsid w:val="00A3523B"/>
    <w:rsid w:val="00A47206"/>
    <w:rsid w:val="00A60664"/>
    <w:rsid w:val="00A66427"/>
    <w:rsid w:val="00A71089"/>
    <w:rsid w:val="00A83B48"/>
    <w:rsid w:val="00A93B68"/>
    <w:rsid w:val="00AE7515"/>
    <w:rsid w:val="00B2256F"/>
    <w:rsid w:val="00B27FE6"/>
    <w:rsid w:val="00B53272"/>
    <w:rsid w:val="00B5562E"/>
    <w:rsid w:val="00B5755C"/>
    <w:rsid w:val="00B75667"/>
    <w:rsid w:val="00B9764E"/>
    <w:rsid w:val="00BC2BB8"/>
    <w:rsid w:val="00BD6822"/>
    <w:rsid w:val="00C172B4"/>
    <w:rsid w:val="00C1737F"/>
    <w:rsid w:val="00C30C8C"/>
    <w:rsid w:val="00C62BFA"/>
    <w:rsid w:val="00C8342B"/>
    <w:rsid w:val="00C9283B"/>
    <w:rsid w:val="00CC08EA"/>
    <w:rsid w:val="00CC1B45"/>
    <w:rsid w:val="00CC6820"/>
    <w:rsid w:val="00CD4262"/>
    <w:rsid w:val="00CD6B0E"/>
    <w:rsid w:val="00CF3A17"/>
    <w:rsid w:val="00CF4EFD"/>
    <w:rsid w:val="00CF5DEC"/>
    <w:rsid w:val="00CF6D28"/>
    <w:rsid w:val="00D45272"/>
    <w:rsid w:val="00D72E39"/>
    <w:rsid w:val="00DB2591"/>
    <w:rsid w:val="00DB7B32"/>
    <w:rsid w:val="00DC7973"/>
    <w:rsid w:val="00DE1F2B"/>
    <w:rsid w:val="00DE2511"/>
    <w:rsid w:val="00DE6723"/>
    <w:rsid w:val="00E01923"/>
    <w:rsid w:val="00E07712"/>
    <w:rsid w:val="00E11DDA"/>
    <w:rsid w:val="00E16038"/>
    <w:rsid w:val="00E2303B"/>
    <w:rsid w:val="00E27172"/>
    <w:rsid w:val="00E35DC8"/>
    <w:rsid w:val="00E42955"/>
    <w:rsid w:val="00E476AE"/>
    <w:rsid w:val="00E52422"/>
    <w:rsid w:val="00E67111"/>
    <w:rsid w:val="00E67220"/>
    <w:rsid w:val="00E8238C"/>
    <w:rsid w:val="00EB6891"/>
    <w:rsid w:val="00ED054B"/>
    <w:rsid w:val="00ED77C2"/>
    <w:rsid w:val="00F0172E"/>
    <w:rsid w:val="00F018F0"/>
    <w:rsid w:val="00F41C44"/>
    <w:rsid w:val="00F6517A"/>
    <w:rsid w:val="00F77C82"/>
    <w:rsid w:val="00FB1001"/>
    <w:rsid w:val="00FC2B1C"/>
    <w:rsid w:val="00FE5989"/>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 w:type="character" w:styleId="CommentReference">
    <w:name w:val="annotation reference"/>
    <w:basedOn w:val="DefaultParagraphFont"/>
    <w:uiPriority w:val="99"/>
    <w:semiHidden/>
    <w:unhideWhenUsed/>
    <w:rsid w:val="0091040C"/>
    <w:rPr>
      <w:sz w:val="16"/>
      <w:szCs w:val="16"/>
    </w:rPr>
  </w:style>
  <w:style w:type="paragraph" w:styleId="CommentText">
    <w:name w:val="annotation text"/>
    <w:basedOn w:val="Normal"/>
    <w:link w:val="CommentTextChar"/>
    <w:uiPriority w:val="99"/>
    <w:unhideWhenUsed/>
    <w:rsid w:val="0091040C"/>
    <w:pPr>
      <w:spacing w:line="240" w:lineRule="auto"/>
    </w:pPr>
    <w:rPr>
      <w:sz w:val="20"/>
      <w:szCs w:val="20"/>
    </w:rPr>
  </w:style>
  <w:style w:type="character" w:customStyle="1" w:styleId="CommentTextChar">
    <w:name w:val="Comment Text Char"/>
    <w:basedOn w:val="DefaultParagraphFont"/>
    <w:link w:val="CommentText"/>
    <w:uiPriority w:val="99"/>
    <w:rsid w:val="0091040C"/>
    <w:rPr>
      <w:sz w:val="20"/>
      <w:szCs w:val="20"/>
    </w:rPr>
  </w:style>
  <w:style w:type="paragraph" w:styleId="CommentSubject">
    <w:name w:val="annotation subject"/>
    <w:basedOn w:val="CommentText"/>
    <w:next w:val="CommentText"/>
    <w:link w:val="CommentSubjectChar"/>
    <w:uiPriority w:val="99"/>
    <w:semiHidden/>
    <w:unhideWhenUsed/>
    <w:rsid w:val="0091040C"/>
    <w:rPr>
      <w:b/>
      <w:bCs/>
    </w:rPr>
  </w:style>
  <w:style w:type="character" w:customStyle="1" w:styleId="CommentSubjectChar">
    <w:name w:val="Comment Subject Char"/>
    <w:basedOn w:val="CommentTextChar"/>
    <w:link w:val="CommentSubject"/>
    <w:uiPriority w:val="99"/>
    <w:semiHidden/>
    <w:rsid w:val="00910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735746">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489634256">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8" ma:contentTypeDescription="Create a new document." ma:contentTypeScope="" ma:versionID="e35f94ae33f6d332f6080062d75f0ffe">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7e79f0fd5754c50ae17b688c6992d0ee"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78313A5F-C98D-407F-9592-F7B64A305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155</cp:revision>
  <cp:lastPrinted>2024-08-20T19:39:00Z</cp:lastPrinted>
  <dcterms:created xsi:type="dcterms:W3CDTF">2021-05-04T18:43:00Z</dcterms:created>
  <dcterms:modified xsi:type="dcterms:W3CDTF">2024-08-20T19:39:00Z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