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MAKER WEB STUDIOS</w:t>
            </w:r>
          </w:p>
          <w:p>
            <w:pPr>
              <w:spacing w:after="200" w:before="0"/>
              <w:jc w:val="center"/>
            </w:pPr>
            <w:r>
              <w:rPr>
                <w:rFonts w:ascii="Arial" w:cs="Arial" w:eastAsia="Arial" w:hAnsi="Arial"/>
                <w:color w:val="9DB4CC"/>
                <w:sz w:val="18"/>
                <w:szCs w:val="18"/>
              </w:rPr>
              <w:t xml:space="preserve">makerwebstudios.com  |  Mission, TX  |  (512) 635-9629</w:t>
            </w:r>
          </w:p>
          <w:p>
            <w:pPr>
              <w:spacing w:after="120" w:before="0"/>
              <w:jc w:val="center"/>
            </w:pPr>
            <w:r>
              <w:rPr>
                <w:rFonts w:ascii="Arial" w:cs="Arial" w:eastAsia="Arial" w:hAnsi="Arial"/>
                <w:b/>
                <w:bCs/>
                <w:color w:val="FFFFFF"/>
                <w:sz w:val="40"/>
                <w:szCs w:val="40"/>
              </w:rPr>
              <w:t xml:space="preserve">NON-DISCLOSURE AGREEMENT</w:t>
            </w:r>
          </w:p>
          <w:p>
            <w:pPr>
              <w:spacing w:after="120" w:before="0"/>
              <w:jc w:val="center"/>
            </w:pPr>
            <w:r>
              <w:rPr>
                <w:rFonts w:ascii="Arial" w:cs="Arial" w:eastAsia="Arial" w:hAnsi="Arial"/>
                <w:color w:val="AAAAAA"/>
                <w:sz w:val="22"/>
                <w:szCs w:val="22"/>
              </w:rPr>
              <w:t xml:space="preserve">Mutual Confidentiality Agreement</w:t>
            </w:r>
          </w:p>
          <w:p>
            <w:pPr>
              <w:spacing w:after="0" w:before="0"/>
              <w:jc w:val="center"/>
            </w:pPr>
            <w:r>
              <w:rPr>
                <w:rFonts w:ascii="Arial" w:cs="Arial" w:eastAsia="Arial" w:hAnsi="Arial"/>
                <w:color w:val="9DB4CC"/>
                <w:sz w:val="18"/>
                <w:szCs w:val="18"/>
              </w:rPr>
              <w:t xml:space="preserve">Document: MWS-NDA-001  |  Version 1.0</w:t>
            </w:r>
          </w:p>
        </w:tc>
      </w:tr>
    </w:tbl>
    <w:p>
      <w:pPr>
        <w:spacing w:after="0" w:before="0"/>
      </w:pPr>
      <w:r>
        <w:t xml:space="preserve"/>
      </w:r>
    </w:p>
    <w:p>
      <w:pPr>
        <w:spacing w:after="0" w:before="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Party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 ("MWS"), Guillermo Aristi, Mission, TX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Party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 BUSINESS NAME] ("Client")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Effective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Purpose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[Brief description of the business relationship — e.g., web design and digital marketing services]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2 years from the Effective Date</w:t>
            </w:r>
          </w:p>
        </w:tc>
      </w:tr>
    </w:tbl>
    <w:p>
      <w:pPr>
        <w:spacing w:after="0" w:before="0"/>
      </w:pPr>
      <w:r>
        <w:t xml:space="preserve"/>
      </w:r>
    </w:p>
    <w:p>
      <w:pPr>
        <w:spacing w:after="60" w:before="60"/>
        <w:jc w:val="left"/>
      </w:pPr>
      <w:r>
        <w:rPr>
          <w:rFonts w:ascii="Arial" w:cs="Arial" w:eastAsia="Arial" w:hAnsi="Arial"/>
          <w:b w:val="false"/>
          <w:bCs w:val="false"/>
          <w:i w:val="false"/>
          <w:iCs w:val="false"/>
          <w:color w:val="000000"/>
          <w:sz w:val="22"/>
          <w:szCs w:val="22"/>
        </w:rPr>
        <w:t xml:space="preserve">This Mutual Non-Disclosure Agreement ("Agreement") is entered into by the parties identified above for the purpose of exploring and conducting a business relationship. Each party may share Confidential Information with the other in connection with this purpose.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 Definition of Confidential Information</w:t>
      </w:r>
    </w:p>
    <w:p>
      <w:pPr>
        <w:spacing w:after="60" w:before="60"/>
        <w:jc w:val="left"/>
      </w:pPr>
      <w:r>
        <w:rPr>
          <w:rFonts w:ascii="Arial" w:cs="Arial" w:eastAsia="Arial" w:hAnsi="Arial"/>
          <w:b w:val="false"/>
          <w:bCs w:val="false"/>
          <w:i w:val="false"/>
          <w:iCs w:val="false"/>
          <w:color w:val="000000"/>
          <w:sz w:val="22"/>
          <w:szCs w:val="22"/>
        </w:rPr>
        <w:t xml:space="preserve">"Confidential Information" means any non-public information disclosed by one party ("Disclosing Party") to the other ("Receiving Party"), whether disclosed orally, in writing, electronically, or by any other means, that is designated as confidential or that reasonably should be understood to be confidential given the nature of the information and the circumstances of disclosure.</w:t>
      </w:r>
    </w:p>
    <w:p>
      <w:pPr>
        <w:spacing w:after="60" w:before="60"/>
        <w:jc w:val="left"/>
      </w:pPr>
      <w:r>
        <w:rPr>
          <w:rFonts w:ascii="Arial" w:cs="Arial" w:eastAsia="Arial" w:hAnsi="Arial"/>
          <w:b w:val="false"/>
          <w:bCs w:val="false"/>
          <w:i w:val="false"/>
          <w:iCs w:val="false"/>
          <w:color w:val="000000"/>
          <w:sz w:val="22"/>
          <w:szCs w:val="22"/>
        </w:rPr>
        <w:t xml:space="preserve">Confidential Information includes, without limitation: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Business strategies, plans, forecasts, and financial information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Customer and prospect lists, contact information, and customer data</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Pricing, cost structures, and vendor information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Proprietary processes, methodologies, and technical information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Product formulations, specifications, and trade secrets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Any information marked "Confidential" or "Proprietary"</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2. Obligations of Receiving Party</w:t>
      </w:r>
    </w:p>
    <w:p>
      <w:pPr>
        <w:spacing w:after="60" w:before="60"/>
        <w:jc w:val="left"/>
      </w:pPr>
      <w:r>
        <w:rPr>
          <w:rFonts w:ascii="Arial" w:cs="Arial" w:eastAsia="Arial" w:hAnsi="Arial"/>
          <w:b w:val="false"/>
          <w:bCs w:val="false"/>
          <w:i w:val="false"/>
          <w:iCs w:val="false"/>
          <w:color w:val="000000"/>
          <w:sz w:val="22"/>
          <w:szCs w:val="22"/>
        </w:rPr>
        <w:t xml:space="preserve">With respect to Confidential Information received from the Disclosing Party, each Receiving Party agrees to:</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Hold all Confidential Information in strict confidence using at least the same degree of care used to protect its own confidential information, but in no event less than reasonable care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Not disclose Confidential Information to any third party without the prior written consent of the Disclosing Party</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Use Confidential Information only for the purpose of the business relationship described above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Limit access to Confidential Information to those employees or contractors who have a need to know and who are bound by confidentiality obligations no less protective than those in this Agreement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Promptly notify the Disclosing Party upon becoming aware of any unauthorized disclosure or use of Confidential Information</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3. Exceptions</w:t>
      </w:r>
    </w:p>
    <w:p>
      <w:pPr>
        <w:spacing w:after="60" w:before="60"/>
        <w:jc w:val="left"/>
      </w:pPr>
      <w:r>
        <w:rPr>
          <w:rFonts w:ascii="Arial" w:cs="Arial" w:eastAsia="Arial" w:hAnsi="Arial"/>
          <w:b w:val="false"/>
          <w:bCs w:val="false"/>
          <w:i w:val="false"/>
          <w:iCs w:val="false"/>
          <w:color w:val="000000"/>
          <w:sz w:val="22"/>
          <w:szCs w:val="22"/>
        </w:rPr>
        <w:t xml:space="preserve">The obligations of this Agreement do not apply to information that:</w:t>
      </w:r>
    </w:p>
    <w:p>
      <w:pPr>
        <w:pStyle w:val="ListParagraph"/>
        <w:numPr>
          <w:ilvl w:val="0"/>
          <w:numId w:val="3"/>
        </w:numPr>
        <w:spacing w:after="60" w:before="60"/>
        <w:jc w:val="left"/>
      </w:pPr>
      <w:r>
        <w:rPr>
          <w:rFonts w:ascii="Arial" w:cs="Arial" w:eastAsia="Arial" w:hAnsi="Arial"/>
          <w:b w:val="false"/>
          <w:bCs w:val="false"/>
          <w:i w:val="false"/>
          <w:iCs w:val="false"/>
          <w:color w:val="000000"/>
          <w:sz w:val="22"/>
          <w:szCs w:val="22"/>
        </w:rPr>
        <w:t xml:space="preserve">Is or becomes publicly known through no act or omission of the Receiving Party</w:t>
      </w:r>
    </w:p>
    <w:p>
      <w:pPr>
        <w:pStyle w:val="ListParagraph"/>
        <w:numPr>
          <w:ilvl w:val="0"/>
          <w:numId w:val="3"/>
        </w:numPr>
        <w:spacing w:after="60" w:before="60"/>
        <w:jc w:val="left"/>
      </w:pPr>
      <w:r>
        <w:rPr>
          <w:rFonts w:ascii="Arial" w:cs="Arial" w:eastAsia="Arial" w:hAnsi="Arial"/>
          <w:b w:val="false"/>
          <w:bCs w:val="false"/>
          <w:i w:val="false"/>
          <w:iCs w:val="false"/>
          <w:color w:val="000000"/>
          <w:sz w:val="22"/>
          <w:szCs w:val="22"/>
        </w:rPr>
        <w:t xml:space="preserve">Was already known to the Receiving Party prior to disclosure, as evidenced by written records predating receipt</w:t>
      </w:r>
    </w:p>
    <w:p>
      <w:pPr>
        <w:pStyle w:val="ListParagraph"/>
        <w:numPr>
          <w:ilvl w:val="0"/>
          <w:numId w:val="3"/>
        </w:numPr>
        <w:spacing w:after="60" w:before="60"/>
        <w:jc w:val="left"/>
      </w:pPr>
      <w:r>
        <w:rPr>
          <w:rFonts w:ascii="Arial" w:cs="Arial" w:eastAsia="Arial" w:hAnsi="Arial"/>
          <w:b w:val="false"/>
          <w:bCs w:val="false"/>
          <w:i w:val="false"/>
          <w:iCs w:val="false"/>
          <w:color w:val="000000"/>
          <w:sz w:val="22"/>
          <w:szCs w:val="22"/>
        </w:rPr>
        <w:t xml:space="preserve">Is received from a third party without restriction and without breach of any obligation of confidentiality</w:t>
      </w:r>
    </w:p>
    <w:p>
      <w:pPr>
        <w:pStyle w:val="ListParagraph"/>
        <w:numPr>
          <w:ilvl w:val="0"/>
          <w:numId w:val="3"/>
        </w:numPr>
        <w:spacing w:after="60" w:before="60"/>
        <w:jc w:val="left"/>
      </w:pPr>
      <w:r>
        <w:rPr>
          <w:rFonts w:ascii="Arial" w:cs="Arial" w:eastAsia="Arial" w:hAnsi="Arial"/>
          <w:b w:val="false"/>
          <w:bCs w:val="false"/>
          <w:i w:val="false"/>
          <w:iCs w:val="false"/>
          <w:color w:val="000000"/>
          <w:sz w:val="22"/>
          <w:szCs w:val="22"/>
        </w:rPr>
        <w:t xml:space="preserve">Is independently developed by the Receiving Party without use of or reference to the Confidential Information</w:t>
      </w:r>
    </w:p>
    <w:p>
      <w:pPr>
        <w:pStyle w:val="ListParagraph"/>
        <w:numPr>
          <w:ilvl w:val="0"/>
          <w:numId w:val="3"/>
        </w:numPr>
        <w:spacing w:after="60" w:before="60"/>
        <w:jc w:val="left"/>
      </w:pPr>
      <w:r>
        <w:rPr>
          <w:rFonts w:ascii="Arial" w:cs="Arial" w:eastAsia="Arial" w:hAnsi="Arial"/>
          <w:b w:val="false"/>
          <w:bCs w:val="false"/>
          <w:i w:val="false"/>
          <w:iCs w:val="false"/>
          <w:color w:val="000000"/>
          <w:sz w:val="22"/>
          <w:szCs w:val="22"/>
        </w:rPr>
        <w:t xml:space="preserve">Is required to be disclosed by applicable law, regulation, or court order, provided the Receiving Party gives the Disclosing Party prompt written notice and cooperates with efforts to obtain confidential treatment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4. Return of Information</w:t>
      </w:r>
    </w:p>
    <w:p>
      <w:pPr>
        <w:spacing w:after="60" w:before="60"/>
        <w:jc w:val="left"/>
      </w:pPr>
      <w:r>
        <w:rPr>
          <w:rFonts w:ascii="Arial" w:cs="Arial" w:eastAsia="Arial" w:hAnsi="Arial"/>
          <w:b w:val="false"/>
          <w:bCs w:val="false"/>
          <w:i w:val="false"/>
          <w:iCs w:val="false"/>
          <w:color w:val="000000"/>
          <w:sz w:val="22"/>
          <w:szCs w:val="22"/>
        </w:rPr>
        <w:t xml:space="preserve">Upon the Disclosing Party's written request or upon termination of the business relationship, the Receiving Party will promptly return or destroy all materials containing Confidential Information, including all copies and derivatives, and certify such destruction in writing upon request.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5. No License</w:t>
      </w:r>
    </w:p>
    <w:p>
      <w:pPr>
        <w:spacing w:after="60" w:before="60"/>
        <w:jc w:val="left"/>
      </w:pPr>
      <w:r>
        <w:rPr>
          <w:rFonts w:ascii="Arial" w:cs="Arial" w:eastAsia="Arial" w:hAnsi="Arial"/>
          <w:b w:val="false"/>
          <w:bCs w:val="false"/>
          <w:i w:val="false"/>
          <w:iCs w:val="false"/>
          <w:color w:val="000000"/>
          <w:sz w:val="22"/>
          <w:szCs w:val="22"/>
        </w:rPr>
        <w:t xml:space="preserve">Nothing in this Agreement grants either party any right, license, or interest in the other party's Confidential Information, intellectual property, or any other proprietary rights, except as expressly provided herein.</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6. Term</w:t>
      </w:r>
    </w:p>
    <w:p>
      <w:pPr>
        <w:spacing w:after="60" w:before="60"/>
        <w:jc w:val="left"/>
      </w:pPr>
      <w:r>
        <w:rPr>
          <w:rFonts w:ascii="Arial" w:cs="Arial" w:eastAsia="Arial" w:hAnsi="Arial"/>
          <w:b w:val="false"/>
          <w:bCs w:val="false"/>
          <w:i w:val="false"/>
          <w:iCs w:val="false"/>
          <w:color w:val="000000"/>
          <w:sz w:val="22"/>
          <w:szCs w:val="22"/>
        </w:rPr>
        <w:t xml:space="preserve">This Agreement is effective as of the Effective Date and continues for two (2) years. The obligations of confidentiality with respect to Confidential Information disclosed during the term will survive for two (2) years following the termination of this Agreement.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7. Remedies</w:t>
      </w:r>
    </w:p>
    <w:p>
      <w:pPr>
        <w:spacing w:after="60" w:before="60"/>
        <w:jc w:val="left"/>
      </w:pPr>
      <w:r>
        <w:rPr>
          <w:rFonts w:ascii="Arial" w:cs="Arial" w:eastAsia="Arial" w:hAnsi="Arial"/>
          <w:b w:val="false"/>
          <w:bCs w:val="false"/>
          <w:i w:val="false"/>
          <w:iCs w:val="false"/>
          <w:color w:val="000000"/>
          <w:sz w:val="22"/>
          <w:szCs w:val="22"/>
        </w:rPr>
        <w:t xml:space="preserve">Each party acknowledges that breach of this Agreement may cause irreparable harm for which monetary damages would be an inadequate remedy. Each party agrees that the non-breaching party is entitled to seek equitable relief, including injunction and specific performance, in addition to all other remedies available at law.</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8. Governing Law</w:t>
      </w:r>
    </w:p>
    <w:p>
      <w:pPr>
        <w:spacing w:after="60" w:before="60"/>
        <w:jc w:val="left"/>
      </w:pPr>
      <w:r>
        <w:rPr>
          <w:rFonts w:ascii="Arial" w:cs="Arial" w:eastAsia="Arial" w:hAnsi="Arial"/>
          <w:b w:val="false"/>
          <w:bCs w:val="false"/>
          <w:i w:val="false"/>
          <w:iCs w:val="false"/>
          <w:color w:val="000000"/>
          <w:sz w:val="22"/>
          <w:szCs w:val="22"/>
        </w:rPr>
        <w:t xml:space="preserve">This Agreement is governed by the laws of the State of Texas. Any disputes arising under this Agreement will be resolved in the courts of Hidalgo County, Texas.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9. Entire Agreement</w:t>
      </w:r>
    </w:p>
    <w:p>
      <w:pPr>
        <w:spacing w:after="60" w:before="60"/>
        <w:jc w:val="left"/>
      </w:pPr>
      <w:r>
        <w:rPr>
          <w:rFonts w:ascii="Arial" w:cs="Arial" w:eastAsia="Arial" w:hAnsi="Arial"/>
          <w:b w:val="false"/>
          <w:bCs w:val="false"/>
          <w:i w:val="false"/>
          <w:iCs w:val="false"/>
          <w:color w:val="000000"/>
          <w:sz w:val="22"/>
          <w:szCs w:val="22"/>
        </w:rPr>
        <w:t xml:space="preserve">This Agreement constitutes the entire agreement between the parties with respect to its subject matter and supersedes all prior discussions and agreements. This Agreement may be amended only by a written instrument signed by both parties.</w:t>
      </w:r>
    </w:p>
    <w:p>
      <w:pPr>
        <w:spacing w:after="0" w:before="0"/>
      </w:pPr>
      <w:r>
        <w:t xml:space="preserve"/>
      </w:r>
    </w:p>
    <w:p>
      <w:pPr>
        <w:spacing w:after="0" w:before="0"/>
      </w:pPr>
      <w:r>
        <w:t xml:space="preserve"/>
      </w:r>
    </w:p>
    <w:p>
      <w:pPr>
        <w:pBdr>
          <w:bottom w:val="single" w:color="CCCCCC" w:sz="4" w:space="1"/>
        </w:pBdr>
        <w:spacing w:after="120" w:before="12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Signatures</w:t>
      </w:r>
    </w:p>
    <w:p>
      <w:pPr>
        <w:spacing w:after="60" w:before="60"/>
        <w:jc w:val="left"/>
      </w:pPr>
      <w:r>
        <w:rPr>
          <w:rFonts w:ascii="Arial" w:cs="Arial" w:eastAsia="Arial" w:hAnsi="Arial"/>
          <w:b w:val="false"/>
          <w:bCs w:val="false"/>
          <w:i w:val="false"/>
          <w:iCs w:val="false"/>
          <w:color w:val="666666"/>
          <w:sz w:val="22"/>
          <w:szCs w:val="22"/>
        </w:rPr>
        <w:t xml:space="preserve">By signing below, both parties agree to the terms set forth in this Agreement.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Bdr>
          <w:bottom w:val="single" w:color="CCCCCC" w:sz="4" w:space="1"/>
        </w:pBdr>
        <w:spacing w:after="120" w:before="120"/>
      </w:pPr>
      <w:r>
        <w:t xml:space="preserve"/>
      </w:r>
    </w:p>
    <w:p>
      <w:pPr>
        <w:spacing w:after="120" w:before="120"/>
        <w:jc w:val="left"/>
      </w:pPr>
      <w:r>
        <w:rPr>
          <w:rFonts w:ascii="Arial" w:cs="Arial" w:eastAsia="Arial" w:hAnsi="Arial"/>
          <w:b w:val="false"/>
          <w:bCs w:val="false"/>
          <w:i/>
          <w:iCs/>
          <w:color w:val="666666"/>
          <w:sz w:val="18"/>
          <w:szCs w:val="18"/>
        </w:rPr>
        <w:t xml:space="preserve">DISCLAIMER: This document was prepared by Maker Web Studios as a standard business template. It is not a substitute for advice from a licensed attorney. Maker Web Studios recommends that all parties review this agreement with qualified legal counsel before signing. This document is governed by the laws of the State of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Maker Web Studios  |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2026-04-07T18:33:26.480Z</dcterms:created>
  <dcterms:modified xsi:type="dcterms:W3CDTF">2026-04-07T18:33:26.480Z</dcterms:modified>
</cp:coreProperties>
</file>

<file path=docProps/custom.xml><?xml version="1.0" encoding="utf-8"?>
<Properties xmlns="http://schemas.openxmlformats.org/officeDocument/2006/custom-properties" xmlns:vt="http://schemas.openxmlformats.org/officeDocument/2006/docPropsVTypes"/>
</file>