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0E1B2B" w:val="clear"/>
            <w:tcMar>
              <w:top w:type="dxa" w:w="1440"/>
              <w:left w:type="dxa" w:w="1440"/>
              <w:bottom w:type="dxa" w:w="1440"/>
              <w:right w:type="dxa" w:w="1440"/>
            </w:tcMa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color="FFFFFF" w:sz="0"/>
                    <w:left w:val="none" w:color="FFFFFF" w:sz="0"/>
                    <w:bottom w:val="none" w:color="FFFFFF" w:sz="0"/>
                    <w:right w:val="none" w:color="FFFFFF" w:sz="0"/>
                  </w:tcBorders>
                  <w:tcMar>
                    <w:top w:type="dxa" w:w="100"/>
                    <w:left w:type="dxa" w:w="120"/>
                    <w:bottom w:type="dxa" w:w="100"/>
                    <w:right w:type="dxa" w:w="120"/>
                  </w:tcMar>
                </w:tcPr>
                <w:p>
                  <w:pPr>
                    <w:spacing w:before="0" w:after="40"/>
                  </w:pPr>
                  <w:r>
                    <w:drawing>
                      <wp:inline distT="0" distB="0" distL="0" distR="0">
                        <wp:extent cx="571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 cy="542925"/>
                                </a:xfrm>
                                <a:prstGeom prst="rect">
                                  <a:avLst/>
                                </a:prstGeom>
                              </pic:spPr>
                            </pic:pic>
                          </a:graphicData>
                        </a:graphic>
                      </wp:inline>
                    </w:drawing>
                  </w:r>
                </w:p>
                <w:p>
                  <w:pPr>
                    <w:spacing w:before="0" w:after="0"/>
                  </w:pPr>
                  <w:r>
                    <w:rPr>
                      <w:rFonts w:ascii="Arial" w:cs="Arial" w:eastAsia="Arial" w:hAnsi="Arial"/>
                      <w:b/>
                      <w:bCs/>
                      <w:i w:val="false"/>
                      <w:iCs w:val="false"/>
                      <w:color w:val="FFFFFF"/>
                      <w:sz w:val="18"/>
                      <w:szCs w:val="18"/>
                    </w:rPr>
                    <w:t xml:space="preserve"/>
                  </w:r>
                </w:p>
              </w:tc>
            </w:tr>
          </w:tbl>
          <w:p>
            <w:pPr>
              <w:spacing w:before="400" w:after="120"/>
            </w:pPr>
            <w:r>
              <w:rPr>
                <w:rFonts w:ascii="Arial" w:cs="Arial" w:eastAsia="Arial" w:hAnsi="Arial"/>
                <w:b/>
                <w:bCs/>
                <w:i w:val="false"/>
                <w:iCs w:val="false"/>
                <w:color w:val="E85D1A"/>
                <w:sz w:val="18"/>
                <w:szCs w:val="18"/>
              </w:rPr>
              <w:t>DIGITAL PRESENCE AUDIT</w:t>
            </w:r>
          </w:p>
          <w:p>
            <w:pPr>
              <w:spacing w:before="0" w:after="40"/>
            </w:pPr>
            <w:r>
              <w:rPr>
                <w:rFonts w:ascii="Arial" w:cs="Arial" w:eastAsia="Arial" w:hAnsi="Arial"/>
                <w:b/>
                <w:bCs/>
                <w:i w:val="false"/>
                <w:iCs w:val="false"/>
                <w:color w:val="FFFFFF"/>
                <w:sz w:val="68"/>
                <w:szCs w:val="68"/>
              </w:rPr>
              <w:t>DIGITAL PRESENCE</w:t>
            </w:r>
          </w:p>
          <w:p>
            <w:pPr>
              <w:spacing w:before="0" w:after="0"/>
            </w:pPr>
            <w:r>
              <w:rPr>
                <w:rFonts w:ascii="Arial" w:cs="Arial" w:eastAsia="Arial" w:hAnsi="Arial"/>
                <w:b/>
                <w:bCs/>
                <w:i w:val="false"/>
                <w:iCs w:val="false"/>
                <w:color w:val="FFFFFF"/>
                <w:sz w:val="68"/>
                <w:szCs w:val="68"/>
              </w:rPr>
              <w:t>AUDIT REPORT</w:t>
            </w:r>
          </w:p>
          <w:p>
            <w:pPr>
              <w:pBdr>
                <w:bottom w:val="single" w:color="E85D1A" w:sz="8"/>
              </w:pBdr>
              <w:spacing w:before="280" w:after="280"/>
            </w:pPr>
          </w:p>
          <w:p>
            <w:pPr>
              <w:spacing w:before="0" w:after="80"/>
            </w:pPr>
            <w:r>
              <w:rPr>
                <w:rFonts w:ascii="Arial" w:cs="Arial" w:eastAsia="Arial" w:hAnsi="Arial"/>
                <w:b w:val="false"/>
                <w:bCs w:val="false"/>
                <w:i w:val="false"/>
                <w:iCs w:val="false"/>
                <w:color w:val="FFFFFF"/>
                <w:sz w:val="22"/>
                <w:szCs w:val="22"/>
              </w:rPr>
              <w:t>empirialabs.com — Empiria Labs</w:t>
            </w:r>
          </w:p>
          <w:p>
            <w:pPr>
              <w:spacing w:before="0" w:after="0"/>
            </w:pP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r>
            <w:r>
              <w:rPr>
                <w:rFonts w:ascii="Arial" w:cs="Arial" w:eastAsia="Arial" w:hAnsi="Arial"/>
                <w:color w:val="E85D1A"/>
                <w:sz w:val="20"/>
                <w:szCs w:val="20"/>
              </w:rPr>
            </w:r>
            <w:r>
              <w:rPr>
                <w:rFonts w:ascii="Arial" w:cs="Arial" w:eastAsia="Arial" w:hAnsi="Arial"/>
                <w:b w:val="false"/>
                <w:bCs w:val="false"/>
                <w:i w:val="false"/>
                <w:iCs w:val="false"/>
                <w:color w:val="BBBBBB"/>
                <w:sz w:val="20"/>
                <w:szCs w:val="20"/>
              </w:rPr>
              <w:t>● Deep Research Audit ● March 2026 ● Prepared by Maker Web Studios</w:t>
            </w:r>
          </w:p>
          <w:p>
            <w:pPr>
              <w:pBdr>
                <w:top w:val="single" w:color="2A3A4A" w:sz="4"/>
              </w:pBdr>
              <w:spacing w:before="3200" w:after="0"/>
            </w:pPr>
            <w:r>
              <w:rPr>
                <w:rFonts w:ascii="Arial" w:cs="Arial" w:eastAsia="Arial" w:hAnsi="Arial"/>
                <w:b w:val="false"/>
                <w:bCs w:val="false"/>
                <w:i w:val="false"/>
                <w:iCs w:val="false"/>
                <w:color w:val="7E8691"/>
                <w:sz w:val="18"/>
                <w:szCs w:val="18"/>
              </w:rPr>
              <w:t>CONFIDENTIAL — PREPARED EXCLUSIVELY FOR Empiria Labs</w:t>
            </w:r>
          </w:p>
        </w:tc>
      </w:tr>
    </w:tbl>
    <w:p>
      <w:pPr>
        <w:spacing w:before="360" w:after="40"/>
        <w:keepNext/>
        <w:keepLines/>
        <w:ind w:left="1440" w:right="1440"/>
      </w:pPr>
      <w:r>
        <w:rPr>
          <w:rFonts w:ascii="Arial" w:cs="Arial" w:eastAsia="Arial" w:hAnsi="Arial"/>
          <w:b/>
          <w:bCs/>
          <w:i w:val="false"/>
          <w:iCs w:val="false"/>
          <w:color w:val="E85D1A"/>
          <w:sz w:val="17"/>
          <w:szCs w:val="17"/>
        </w:rPr>
        <w:t>SECTION 00</w:t>
      </w:r>
    </w:p>
    <w:p>
      <w:pPr>
        <w:spacing w:before="0" w:after="100"/>
        <w:ind w:left="1440" w:right="1440"/>
      </w:pPr>
      <w:r>
        <w:rPr>
          <w:rFonts w:ascii="Arial" w:cs="Arial" w:eastAsia="Arial" w:hAnsi="Arial"/>
          <w:b/>
          <w:bCs/>
          <w:i w:val="false"/>
          <w:iCs w:val="false"/>
          <w:color w:val="162336"/>
          <w:sz w:val="36"/>
          <w:szCs w:val="36"/>
        </w:rPr>
        <w:t>Table of Contents</w:t>
      </w:r>
    </w:p>
    <w:p>
      <w:pPr>
        <w:spacing w:before="0" w:after="60"/>
        <w:keepNext/>
        <w:keepLines/>
        <w:ind w:left="1440" w:right="1440"/>
      </w:pPr>
      <w:r>
        <w:rPr>
          <w:rFonts w:ascii="Arial" w:cs="Arial" w:eastAsia="Arial" w:hAnsi="Arial"/>
          <w:b w:val="false"/>
          <w:bCs w:val="false"/>
          <w:i w:val="false"/>
          <w:iCs w:val="false"/>
          <w:color w:val="7E8691"/>
          <w:sz w:val="20"/>
          <w:szCs w:val="20"/>
        </w:rPr>
        <w:t>01 Executive Summary</w:t>
      </w:r>
    </w:p>
    <w:p>
      <w:pPr>
        <w:spacing w:before="0" w:after="60"/>
        <w:keepNext/>
        <w:keepLines/>
        <w:ind w:left="1440" w:right="1440"/>
      </w:pPr>
      <w:r>
        <w:rPr>
          <w:rFonts w:ascii="Arial" w:cs="Arial" w:eastAsia="Arial" w:hAnsi="Arial"/>
          <w:b w:val="false"/>
          <w:bCs w:val="false"/>
          <w:i w:val="false"/>
          <w:iCs w:val="false"/>
          <w:color w:val="7E8691"/>
          <w:sz w:val="20"/>
          <w:szCs w:val="20"/>
        </w:rPr>
        <w:t>02 Audit Scorecard</w:t>
      </w:r>
    </w:p>
    <w:p>
      <w:pPr>
        <w:spacing w:before="0" w:after="60"/>
        <w:keepNext/>
        <w:keepLines/>
        <w:ind w:left="1440" w:right="1440"/>
      </w:pPr>
      <w:r>
        <w:rPr>
          <w:rFonts w:ascii="Arial" w:cs="Arial" w:eastAsia="Arial" w:hAnsi="Arial"/>
          <w:b w:val="false"/>
          <w:bCs w:val="false"/>
          <w:i w:val="false"/>
          <w:iCs w:val="false"/>
          <w:color w:val="7E8691"/>
          <w:sz w:val="20"/>
          <w:szCs w:val="20"/>
        </w:rPr>
        <w:t>03 Market &amp; Competitive Context</w:t>
      </w:r>
    </w:p>
    <w:p>
      <w:pPr>
        <w:spacing w:before="0" w:after="60"/>
        <w:keepNext/>
        <w:keepLines/>
        <w:ind w:left="1440" w:right="1440"/>
      </w:pPr>
      <w:r>
        <w:rPr>
          <w:rFonts w:ascii="Arial" w:cs="Arial" w:eastAsia="Arial" w:hAnsi="Arial"/>
          <w:b w:val="false"/>
          <w:bCs w:val="false"/>
          <w:i w:val="false"/>
          <w:iCs w:val="false"/>
          <w:color w:val="7E8691"/>
          <w:sz w:val="20"/>
          <w:szCs w:val="20"/>
        </w:rPr>
        <w:t>04 Design &amp; UX Audit</w:t>
      </w:r>
    </w:p>
    <w:p>
      <w:pPr>
        <w:spacing w:before="0" w:after="60"/>
        <w:keepNext/>
        <w:keepLines/>
        <w:ind w:left="1440" w:right="1440"/>
      </w:pPr>
      <w:r>
        <w:rPr>
          <w:rFonts w:ascii="Arial" w:cs="Arial" w:eastAsia="Arial" w:hAnsi="Arial"/>
          <w:b w:val="false"/>
          <w:bCs w:val="false"/>
          <w:i w:val="false"/>
          <w:iCs w:val="false"/>
          <w:color w:val="7E8691"/>
          <w:sz w:val="20"/>
          <w:szCs w:val="20"/>
        </w:rPr>
        <w:t>05 On-Page SEO Audit</w:t>
      </w:r>
    </w:p>
    <w:p>
      <w:pPr>
        <w:spacing w:before="0" w:after="60"/>
        <w:keepNext/>
        <w:keepLines/>
        <w:ind w:left="1440" w:right="1440"/>
      </w:pPr>
      <w:r>
        <w:rPr>
          <w:rFonts w:ascii="Arial" w:cs="Arial" w:eastAsia="Arial" w:hAnsi="Arial"/>
          <w:b w:val="false"/>
          <w:bCs w:val="false"/>
          <w:i w:val="false"/>
          <w:iCs w:val="false"/>
          <w:color w:val="7E8691"/>
          <w:sz w:val="20"/>
          <w:szCs w:val="20"/>
        </w:rPr>
        <w:t>06 Technical SEO Audit</w:t>
      </w:r>
    </w:p>
    <w:p>
      <w:pPr>
        <w:spacing w:before="0" w:after="60"/>
        <w:keepNext/>
        <w:keepLines/>
        <w:ind w:left="1440" w:right="1440"/>
      </w:pPr>
      <w:r>
        <w:rPr>
          <w:rFonts w:ascii="Arial" w:cs="Arial" w:eastAsia="Arial" w:hAnsi="Arial"/>
          <w:b w:val="false"/>
          <w:bCs w:val="false"/>
          <w:i w:val="false"/>
          <w:iCs w:val="false"/>
          <w:color w:val="7E8691"/>
          <w:sz w:val="20"/>
          <w:szCs w:val="20"/>
        </w:rPr>
        <w:t>07 Content Quality Audit</w:t>
      </w:r>
    </w:p>
    <w:p>
      <w:pPr>
        <w:spacing w:before="0" w:after="60"/>
        <w:keepNext/>
        <w:keepLines/>
        <w:ind w:left="1440" w:right="1440"/>
      </w:pPr>
      <w:r>
        <w:rPr>
          <w:rFonts w:ascii="Arial" w:cs="Arial" w:eastAsia="Arial" w:hAnsi="Arial"/>
          <w:b w:val="false"/>
          <w:bCs w:val="false"/>
          <w:i w:val="false"/>
          <w:iCs w:val="false"/>
          <w:color w:val="7E8691"/>
          <w:sz w:val="20"/>
          <w:szCs w:val="20"/>
        </w:rPr>
        <w:t>08 Conversion Audit</w:t>
      </w:r>
    </w:p>
    <w:p>
      <w:pPr>
        <w:spacing w:before="0" w:after="60"/>
        <w:keepNext/>
        <w:keepLines/>
        <w:ind w:left="1440" w:right="1440"/>
      </w:pPr>
      <w:r>
        <w:rPr>
          <w:rFonts w:ascii="Arial" w:cs="Arial" w:eastAsia="Arial" w:hAnsi="Arial"/>
          <w:b w:val="false"/>
          <w:bCs w:val="false"/>
          <w:i w:val="false"/>
          <w:iCs w:val="false"/>
          <w:color w:val="7E8691"/>
          <w:sz w:val="20"/>
          <w:szCs w:val="20"/>
        </w:rPr>
        <w:t>09 Trust &amp; Credibility Audit</w:t>
      </w:r>
    </w:p>
    <w:p>
      <w:pPr>
        <w:spacing w:before="0" w:after="60"/>
        <w:keepNext/>
        <w:keepLines/>
        <w:ind w:left="1440" w:right="1440"/>
      </w:pPr>
      <w:r>
        <w:rPr>
          <w:rFonts w:ascii="Arial" w:cs="Arial" w:eastAsia="Arial" w:hAnsi="Arial"/>
          <w:b w:val="false"/>
          <w:bCs w:val="false"/>
          <w:i w:val="false"/>
          <w:iCs w:val="false"/>
          <w:color w:val="7E8691"/>
          <w:sz w:val="20"/>
          <w:szCs w:val="20"/>
        </w:rPr>
        <w:t>10 Digital Presence Audit</w:t>
      </w:r>
    </w:p>
    <w:p>
      <w:pPr>
        <w:spacing w:before="0" w:after="60"/>
        <w:keepNext/>
        <w:keepLines/>
        <w:ind w:left="1440" w:right="1440"/>
      </w:pPr>
      <w:r>
        <w:rPr>
          <w:rFonts w:ascii="Arial" w:cs="Arial" w:eastAsia="Arial" w:hAnsi="Arial"/>
          <w:b w:val="false"/>
          <w:bCs w:val="false"/>
          <w:i w:val="false"/>
          <w:iCs w:val="false"/>
          <w:color w:val="7E8691"/>
          <w:sz w:val="20"/>
          <w:szCs w:val="20"/>
        </w:rPr>
        <w:t>11 What They Are Doing Right</w:t>
      </w:r>
    </w:p>
    <w:p>
      <w:pPr>
        <w:spacing w:before="0" w:after="60"/>
        <w:keepNext/>
        <w:keepLines/>
        <w:ind w:left="1440" w:right="1440"/>
      </w:pPr>
      <w:r>
        <w:rPr>
          <w:rFonts w:ascii="Arial" w:cs="Arial" w:eastAsia="Arial" w:hAnsi="Arial"/>
          <w:b w:val="false"/>
          <w:bCs w:val="false"/>
          <w:i w:val="false"/>
          <w:iCs w:val="false"/>
          <w:color w:val="7E8691"/>
          <w:sz w:val="20"/>
          <w:szCs w:val="20"/>
        </w:rPr>
        <w:t>12 Priority Fix Table</w:t>
      </w:r>
    </w:p>
    <w:p>
      <w:pPr>
        <w:spacing w:before="0" w:after="60"/>
        <w:keepNext/>
        <w:keepLines/>
        <w:ind w:left="1440" w:right="1440"/>
      </w:pPr>
      <w:r>
        <w:rPr>
          <w:rFonts w:ascii="Arial" w:cs="Arial" w:eastAsia="Arial" w:hAnsi="Arial"/>
          <w:b w:val="false"/>
          <w:bCs w:val="false"/>
          <w:i w:val="false"/>
          <w:iCs w:val="false"/>
          <w:color w:val="7E8691"/>
          <w:sz w:val="20"/>
          <w:szCs w:val="20"/>
        </w:rPr>
        <w:t>13 90-Day Fix Roadmap</w:t>
      </w:r>
    </w:p>
    <w:p>
      <w:pPr>
        <w:spacing w:before="0" w:after="60"/>
        <w:ind w:left="1440" w:right="1440"/>
      </w:pPr>
      <w:r>
        <w:rPr>
          <w:rFonts w:ascii="Arial" w:cs="Arial" w:eastAsia="Arial" w:hAnsi="Arial"/>
          <w:b w:val="false"/>
          <w:bCs w:val="false"/>
          <w:i w:val="false"/>
          <w:iCs w:val="false"/>
          <w:color w:val="7E8691"/>
          <w:sz w:val="20"/>
          <w:szCs w:val="20"/>
        </w:rPr>
        <w:t>14 Strategic Opportunity</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01</w:t>
      </w:r>
    </w:p>
    <w:p>
      <w:pPr>
        <w:spacing w:before="0" w:after="100"/>
        <w:ind w:left="1440" w:right="1440"/>
      </w:pPr>
      <w:r>
        <w:rPr>
          <w:rFonts w:ascii="Arial" w:cs="Arial" w:eastAsia="Arial" w:hAnsi="Arial"/>
          <w:b/>
          <w:bCs/>
          <w:i w:val="false"/>
          <w:iCs w:val="false"/>
          <w:color w:val="162336"/>
          <w:sz w:val="36"/>
          <w:szCs w:val="36"/>
        </w:rPr>
        <w:t>Executive Summary</w:t>
      </w:r>
    </w:p>
    <w:p>
      <w:pPr>
        <w:spacing w:before="0" w:after="200"/>
        <w:ind w:left="1440" w:right="1440"/>
      </w:pPr>
      <w:r>
        <w:rPr>
          <w:rFonts w:ascii="Arial" w:cs="Arial" w:eastAsia="Arial" w:hAnsi="Arial"/>
          <w:b w:val="false"/>
          <w:bCs w:val="false"/>
          <w:i w:val="false"/>
          <w:iCs w:val="false"/>
          <w:color w:val="7E8691"/>
          <w:sz w:val="22"/>
          <w:szCs w:val="22"/>
        </w:rPr>
        <w:t>A comprehensive analysis of Empiria Labs's digital presence, market positioning, and growth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4680"/>
        <w:gridCol w:w="4680"/>
      </w:tblGrid>
      <w:tr>
        <w:tc>
          <w:tcPr>
            <w:tcW w:type="dxa" w:w="4680"/>
            <w:tcBorders>
              <w:top w:val="none" w:color="FFFFFF" w:sz="0"/>
              <w:left w:val="none" w:color="FFFFFF" w:sz="0"/>
              <w:bottom w:val="none" w:color="FFFFFF" w:sz="0"/>
              <w:right w:val="none" w:color="FFFFFF" w:sz="0"/>
            </w:tcBorders>
            <w:shd w:fill="E7EDF4" w:val="clear"/>
            <w:tcMar>
              <w:top w:type="dxa" w:w="200"/>
              <w:left w:type="dxa" w:w="220"/>
              <w:bottom w:type="dxa" w:w="200"/>
              <w:right w:type="dxa" w:w="220"/>
            </w:tcMar>
          </w:tcPr>
          <w:p>
            <w:pPr>
              <w:spacing w:before="0" w:after="80"/>
            </w:pPr>
            <w:r>
              <w:rPr>
                <w:rFonts w:ascii="Arial" w:cs="Arial" w:eastAsia="Arial" w:hAnsi="Arial"/>
                <w:b/>
                <w:bCs/>
                <w:i w:val="false"/>
                <w:iCs w:val="false"/>
                <w:color w:val="1A2332"/>
                <w:sz w:val="20"/>
                <w:szCs w:val="20"/>
              </w:rPr>
              <w:t>THE COMPANY</w:t>
            </w:r>
          </w:p>
          <w:p>
            <w:pPr>
              <w:spacing w:before="0" w:after="0"/>
            </w:pPr>
            <w:r>
              <w:rPr>
                <w:rFonts w:ascii="Arial" w:cs="Arial" w:eastAsia="Arial" w:hAnsi="Arial"/>
                <w:b w:val="false"/>
                <w:bCs w:val="false"/>
                <w:i w:val="false"/>
                <w:iCs w:val="false"/>
                <w:color w:val="1A2332"/>
                <w:sz w:val="20"/>
                <w:szCs w:val="20"/>
              </w:rPr>
              <w:t>Empiria Labs, LLC is an analytical testing laboratory founded in 2019, located at 6200 E. Ramseyer Rd in Edinburg, TX. The lab specializes in pesticide residue analysis, microbiological testing, heavy metals, and mycotoxin analysis for the fruits and vegetables industry. They also perform petroleum geochemistry work including TOC, Pyrolysis, Rock Eval, and biomarker analysis. The company has 6 employees and is led by Jorge Cortes, PhD (Scientific Director) and Sarai Cortes (Operations/Business Development). They serve produce growers across the Rio Grande Valley and regulatory agencies in the USA and Latin America.</w:t>
            </w:r>
          </w:p>
        </w:tc>
        <w:tc>
          <w:tcPr>
            <w:tcW w:type="dxa" w:w="4680"/>
            <w:tcBorders>
              <w:top w:val="none" w:color="FFFFFF" w:sz="0"/>
              <w:left w:val="none" w:color="FFFFFF" w:sz="0"/>
              <w:bottom w:val="none" w:color="FFFFFF" w:sz="0"/>
              <w:right w:val="none" w:color="FFFFFF" w:sz="0"/>
            </w:tcBorders>
            <w:shd w:fill="E7EDF4" w:val="clear"/>
            <w:tcMar>
              <w:top w:type="dxa" w:w="200"/>
              <w:left w:type="dxa" w:w="220"/>
              <w:bottom w:type="dxa" w:w="200"/>
              <w:right w:type="dxa" w:w="220"/>
            </w:tcMar>
          </w:tcPr>
          <w:p>
            <w:pPr>
              <w:spacing w:before="0" w:after="80"/>
            </w:pPr>
            <w:r>
              <w:rPr>
                <w:rFonts w:ascii="Arial" w:cs="Arial" w:eastAsia="Arial" w:hAnsi="Arial"/>
                <w:b/>
                <w:bCs/>
                <w:i w:val="false"/>
                <w:iCs w:val="false"/>
                <w:color w:val="1A2332"/>
                <w:sz w:val="20"/>
                <w:szCs w:val="20"/>
              </w:rPr>
              <w:t>THE CREDENTIALS</w:t>
            </w:r>
          </w:p>
          <w:p>
            <w:pPr>
              <w:spacing w:before="0" w:after="0"/>
            </w:pPr>
            <w:r>
              <w:rPr>
                <w:rFonts w:ascii="Arial" w:cs="Arial" w:eastAsia="Arial" w:hAnsi="Arial"/>
                <w:b w:val="false"/>
                <w:bCs w:val="false"/>
                <w:i w:val="false"/>
                <w:iCs w:val="false"/>
                <w:color w:val="1A2332"/>
                <w:sz w:val="20"/>
                <w:szCs w:val="20"/>
              </w:rPr>
              <w:t>A2LA accredited under ISO/IEC 17025:2017 for Chemistry (Certificate 6041.01) and Biological Testing (Certificate 6041.02). This dual accreditation makes Empiria the only lab in South Texas offering both chemistry and microbiology services under ISO 17025. They utilize LC/MS-MS, GC/MS-MS, and ICP/OES instrumentation, with extraction capabilities including ASE-350, QuEChERS, and Solid Phase Extraction.</w:t>
            </w:r>
          </w:p>
        </w:tc>
      </w:tr>
    </w:tbl>
    <w:p>
      <w:pPr>
        <w:spacing w:before="6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4680"/>
        <w:gridCol w:w="4680"/>
      </w:tblGrid>
      <w:tr>
        <w:tc>
          <w:tcPr>
            <w:tcW w:type="dxa" w:w="4680"/>
            <w:tcBorders>
              <w:top w:val="none" w:color="FFFFFF" w:sz="0"/>
              <w:left w:val="none" w:color="FFFFFF" w:sz="0"/>
              <w:bottom w:val="none" w:color="FFFFFF" w:sz="0"/>
              <w:right w:val="none" w:color="FFFFFF" w:sz="0"/>
            </w:tcBorders>
            <w:shd w:fill="E7EDF4" w:val="clear"/>
            <w:tcMar>
              <w:top w:type="dxa" w:w="200"/>
              <w:left w:type="dxa" w:w="220"/>
              <w:bottom w:type="dxa" w:w="200"/>
              <w:right w:type="dxa" w:w="220"/>
            </w:tcMar>
          </w:tcPr>
          <w:p>
            <w:pPr>
              <w:spacing w:before="0" w:after="80"/>
            </w:pPr>
            <w:r>
              <w:rPr>
                <w:rFonts w:ascii="Arial" w:cs="Arial" w:eastAsia="Arial" w:hAnsi="Arial"/>
                <w:b/>
                <w:bCs/>
                <w:i w:val="false"/>
                <w:iCs w:val="false"/>
                <w:color w:val="1A2332"/>
                <w:sz w:val="20"/>
                <w:szCs w:val="20"/>
              </w:rPr>
              <w:t>THE PLATFORM</w:t>
            </w:r>
          </w:p>
          <w:p>
            <w:pPr>
              <w:spacing w:before="0" w:after="0"/>
            </w:pPr>
            <w:r>
              <w:rPr>
                <w:rFonts w:ascii="Arial" w:cs="Arial" w:eastAsia="Arial" w:hAnsi="Arial"/>
                <w:b w:val="false"/>
                <w:bCs w:val="false"/>
                <w:i w:val="false"/>
                <w:iCs w:val="false"/>
                <w:color w:val="1A2332"/>
                <w:sz w:val="20"/>
                <w:szCs w:val="20"/>
              </w:rPr>
              <w:t>WordPress CMS running Divi Theme v4.27.4 by Elegant Themes. No CDN detected. No analytics detected. Site was last modified April 11, 2025. The site uses Outfit and Roboto fonts via Google Fonts. Page structure is minimal -- effectively a blank template with no substantive content deployed.</w:t>
            </w:r>
          </w:p>
        </w:tc>
        <w:tc>
          <w:tcPr>
            <w:tcW w:type="dxa" w:w="4680"/>
            <w:tcBorders>
              <w:top w:val="none" w:color="FFFFFF" w:sz="0"/>
              <w:left w:val="none" w:color="FFFFFF" w:sz="0"/>
              <w:bottom w:val="none" w:color="FFFFFF" w:sz="0"/>
              <w:right w:val="none" w:color="FFFFFF" w:sz="0"/>
            </w:tcBorders>
            <w:shd w:fill="E7EDF4" w:val="clear"/>
            <w:tcMar>
              <w:top w:type="dxa" w:w="200"/>
              <w:left w:type="dxa" w:w="220"/>
              <w:bottom w:type="dxa" w:w="200"/>
              <w:right w:type="dxa" w:w="220"/>
            </w:tcMar>
          </w:tcPr>
          <w:p>
            <w:pPr>
              <w:spacing w:before="0" w:after="80"/>
            </w:pPr>
            <w:r>
              <w:rPr>
                <w:rFonts w:ascii="Arial" w:cs="Arial" w:eastAsia="Arial" w:hAnsi="Arial"/>
                <w:b/>
                <w:bCs/>
                <w:i w:val="false"/>
                <w:iCs w:val="false"/>
                <w:color w:val="1A2332"/>
                <w:sz w:val="20"/>
                <w:szCs w:val="20"/>
              </w:rPr>
              <w:t>THE MARKET REALITY</w:t>
            </w:r>
          </w:p>
          <w:p>
            <w:pPr>
              <w:spacing w:before="0" w:after="0"/>
            </w:pPr>
            <w:r>
              <w:rPr>
                <w:rFonts w:ascii="Arial" w:cs="Arial" w:eastAsia="Arial" w:hAnsi="Arial"/>
                <w:b w:val="false"/>
                <w:bCs w:val="false"/>
                <w:i w:val="false"/>
                <w:iCs w:val="false"/>
                <w:color w:val="1A2332"/>
                <w:sz w:val="20"/>
                <w:szCs w:val="20"/>
              </w:rPr>
            </w:r>
          </w:p>
        </w:tc>
      </w:tr>
    </w:tbl>
    <w:p>
      <w:pPr>
        <w:spacing w:before="24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"Empiria Labs holds dual A2LA accreditation that most labs in the region cannot match. The website presents as if the business does not exist."</w:t>
            </w:r>
          </w:p>
          <w:p>
            <w:pPr>
              <w:spacing w:before="0" w:after="0"/>
            </w:pPr>
            <w:r>
              <w:rPr>
                <w:rFonts w:ascii="Arial" w:cs="Arial" w:eastAsia="Arial" w:hAnsi="Arial"/>
                <w:b w:val="false"/>
                <w:bCs w:val="false"/>
                <w:i w:val="false"/>
                <w:iCs w:val="false"/>
                <w:color w:val="E85D1A"/>
                <w:sz w:val="18"/>
                <w:szCs w:val="18"/>
              </w:rPr>
              <w:t>— Maker Web Studios Audit Finding</w:t>
            </w:r>
          </w:p>
        </w:tc>
      </w:tr>
    </w:tbl>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02</w:t>
      </w:r>
    </w:p>
    <w:p>
      <w:pPr>
        <w:spacing w:before="0" w:after="100"/>
        <w:ind w:left="1440" w:right="1440"/>
      </w:pPr>
      <w:r>
        <w:rPr>
          <w:rFonts w:ascii="Arial" w:cs="Arial" w:eastAsia="Arial" w:hAnsi="Arial"/>
          <w:b/>
          <w:bCs/>
          <w:i w:val="false"/>
          <w:iCs w:val="false"/>
          <w:color w:val="162336"/>
          <w:sz w:val="36"/>
          <w:szCs w:val="36"/>
        </w:rPr>
        <w:t>Audit Scorecard</w:t>
      </w:r>
    </w:p>
    <w:p>
      <w:pPr>
        <w:spacing w:before="0" w:after="240"/>
        <w:ind w:left="1440" w:right="1440"/>
      </w:pPr>
      <w:r>
        <w:rPr>
          <w:rFonts w:ascii="Arial" w:cs="Arial" w:eastAsia="Arial" w:hAnsi="Arial"/>
          <w:b w:val="false"/>
          <w:bCs w:val="false"/>
          <w:i w:val="false"/>
          <w:iCs w:val="false"/>
          <w:color w:val="7E8691"/>
          <w:sz w:val="20"/>
          <w:szCs w:val="20"/>
        </w:rPr>
        <w:t>Overall performance across seven critical website and digital presence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2600"/>
        <w:gridCol w:w="1200"/>
        <w:gridCol w:w="5560"/>
      </w:tblGrid>
      <w:tr>
        <w:tc>
          <w:tcPr>
            <w:tcW w:type="dxa" w:w="2600"/>
            <w:tcBorders>
              <w:top w:val="single" w:color="DCE4EE" w:sz="4"/>
              <w:left w:val="single" w:color="DCE4EE" w:sz="4"/>
              <w:bottom w:val="single" w:color="DCE4EE" w:sz="4"/>
              <w:right w:val="single" w:color="DCE4EE" w:sz="4"/>
            </w:tcBorders>
            <w:shd w:fill="202937" w:val="clear"/>
            <w:tcMar>
              <w:top w:type="dxa" w:w="140"/>
              <w:left w:type="dxa" w:w="160"/>
              <w:bottom w:type="dxa" w:w="140"/>
              <w:right w:type="dxa" w:w="160"/>
            </w:tcMar>
            <w:vAlign w:val="center"/>
          </w:tcPr>
          <w:p>
            <w:pPr>
              <w:jc w:val="left"/>
            </w:pPr>
            <w:r>
              <w:rPr>
                <w:rFonts w:ascii="Arial" w:cs="Arial" w:eastAsia="Arial" w:hAnsi="Arial"/>
                <w:b/>
                <w:bCs/>
                <w:i w:val="false"/>
                <w:iCs w:val="false"/>
                <w:color w:val="FFFFFF"/>
                <w:sz w:val="20"/>
                <w:szCs w:val="20"/>
              </w:rPr>
              <w:t>CATEGORY</w:t>
            </w:r>
          </w:p>
        </w:tc>
        <w:tc>
          <w:tcPr>
            <w:tcW w:type="dxa" w:w="1200"/>
            <w:tcBorders>
              <w:top w:val="single" w:color="DCE4EE" w:sz="4"/>
              <w:left w:val="single" w:color="DCE4EE" w:sz="4"/>
              <w:bottom w:val="single" w:color="DCE4EE" w:sz="4"/>
              <w:right w:val="single" w:color="DCE4EE" w:sz="4"/>
            </w:tcBorders>
            <w:shd w:fill="202937"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20"/>
                <w:szCs w:val="20"/>
              </w:rPr>
              <w:t>SCORE</w:t>
            </w:r>
          </w:p>
        </w:tc>
        <w:tc>
          <w:tcPr>
            <w:tcW w:type="dxa" w:w="5560"/>
            <w:tcBorders>
              <w:top w:val="single" w:color="DCE4EE" w:sz="4"/>
              <w:left w:val="single" w:color="DCE4EE" w:sz="4"/>
              <w:bottom w:val="single" w:color="DCE4EE" w:sz="4"/>
              <w:right w:val="single" w:color="DCE4EE" w:sz="4"/>
            </w:tcBorders>
            <w:shd w:fill="202937" w:val="clear"/>
            <w:tcMar>
              <w:top w:type="dxa" w:w="140"/>
              <w:left w:type="dxa" w:w="160"/>
              <w:bottom w:type="dxa" w:w="140"/>
              <w:right w:type="dxa" w:w="160"/>
            </w:tcMar>
            <w:vAlign w:val="center"/>
          </w:tcPr>
          <w:p>
            <w:pPr>
              <w:jc w:val="left"/>
            </w:pPr>
            <w:r>
              <w:rPr>
                <w:rFonts w:ascii="Arial" w:cs="Arial" w:eastAsia="Arial" w:hAnsi="Arial"/>
                <w:b/>
                <w:bCs/>
                <w:i w:val="false"/>
                <w:iCs w:val="false"/>
                <w:color w:val="FFFFFF"/>
                <w:sz w:val="20"/>
                <w:szCs w:val="20"/>
              </w:rPr>
              <w:t>NOTES</w:t>
            </w:r>
          </w:p>
        </w:tc>
      </w:tr>
      <w:tr>
        <w:tc>
          <w:tcPr>
            <w:tcW w:type="dxa" w:w="26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Design &amp; UX</w:t>
            </w:r>
          </w:p>
        </w:tc>
        <w:tc>
          <w:tcPr>
            <w:tcW w:type="dxa" w:w="12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center"/>
            </w:pPr>
            <w:r>
              <w:rPr>
                <w:rFonts w:ascii="Arial" w:cs="Arial" w:eastAsia="Arial" w:hAnsi="Arial"/>
                <w:b w:val="false"/>
                <w:bCs w:val="false"/>
                <w:i w:val="false"/>
                <w:iCs w:val="false"/>
                <w:color w:val="1A2332"/>
                <w:sz w:val="20"/>
                <w:szCs w:val="20"/>
              </w:rPr>
              <w:t>1.8/10</w:t>
            </w:r>
          </w:p>
        </w:tc>
        <w:tc>
          <w:tcPr>
            <w:tcW w:type="dxa" w:w="556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2 passes, 1 warning, 3 fails. The typographic foundation and responsive framework are solid starting points, but the complete absence of content, imagery, and navigation means the site delivers no usable experience. The UX score reflects a site that technically renders but functionally communicates nothing.</w:t>
            </w:r>
          </w:p>
        </w:tc>
      </w:tr>
      <w:tr>
        <w:tc>
          <w:tcPr>
            <w:tcW w:type="dxa" w:w="26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On-Page SEO</w:t>
            </w:r>
          </w:p>
        </w:tc>
        <w:tc>
          <w:tcPr>
            <w:tcW w:type="dxa" w:w="12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center"/>
            </w:pPr>
            <w:r>
              <w:rPr>
                <w:rFonts w:ascii="Arial" w:cs="Arial" w:eastAsia="Arial" w:hAnsi="Arial"/>
                <w:b w:val="false"/>
                <w:bCs w:val="false"/>
                <w:i w:val="false"/>
                <w:iCs w:val="false"/>
                <w:color w:val="1A2332"/>
                <w:sz w:val="20"/>
                <w:szCs w:val="20"/>
              </w:rPr>
              <w:t>1.8/10</w:t>
            </w:r>
          </w:p>
        </w:tc>
        <w:tc>
          <w:tcPr>
            <w:tcW w:type="dxa" w:w="556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2 passes, 1 warning, 3 fails. Basic indexing infrastructure exists (title tag, schema), but zero keyword targeting, no heading structure, and no internal linking mean the site is effectively invisible to search engines for any service-related query.</w:t>
            </w:r>
          </w:p>
        </w:tc>
      </w:tr>
      <w:tr>
        <w:tc>
          <w:tcPr>
            <w:tcW w:type="dxa" w:w="26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Technical SEO</w:t>
            </w:r>
          </w:p>
        </w:tc>
        <w:tc>
          <w:tcPr>
            <w:tcW w:type="dxa" w:w="12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center"/>
            </w:pPr>
            <w:r>
              <w:rPr>
                <w:rFonts w:ascii="Arial" w:cs="Arial" w:eastAsia="Arial" w:hAnsi="Arial"/>
                <w:b w:val="false"/>
                <w:bCs w:val="false"/>
                <w:i w:val="false"/>
                <w:iCs w:val="false"/>
                <w:color w:val="1A2332"/>
                <w:sz w:val="20"/>
                <w:szCs w:val="20"/>
              </w:rPr>
              <w:t>1.8/10</w:t>
            </w:r>
          </w:p>
        </w:tc>
        <w:tc>
          <w:tcPr>
            <w:tcW w:type="dxa" w:w="556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2 passes, 1 warning, 3 fails. SSL and CMS updates are baseline positives, but the absence of analytics, Search Console, sitemap, and CDN means there is zero measurement capability and no optimization infrastructure in place.</w:t>
            </w:r>
          </w:p>
        </w:tc>
      </w:tr>
      <w:tr>
        <w:tc>
          <w:tcPr>
            <w:tcW w:type="dxa" w:w="26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Content Quality</w:t>
            </w:r>
          </w:p>
        </w:tc>
        <w:tc>
          <w:tcPr>
            <w:tcW w:type="dxa" w:w="12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center"/>
            </w:pPr>
            <w:r>
              <w:rPr>
                <w:rFonts w:ascii="Arial" w:cs="Arial" w:eastAsia="Arial" w:hAnsi="Arial"/>
                <w:b w:val="false"/>
                <w:bCs w:val="false"/>
                <w:i w:val="false"/>
                <w:iCs w:val="false"/>
                <w:color w:val="1A2332"/>
                <w:sz w:val="20"/>
                <w:szCs w:val="20"/>
              </w:rPr>
              <w:t>1.8/10</w:t>
            </w:r>
          </w:p>
        </w:tc>
        <w:tc>
          <w:tcPr>
            <w:tcW w:type="dxa" w:w="556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2 passes, 1 warning, 3 fails. The domain name and LinkedIn activity demonstrate brand awareness and content capability, but zero service descriptions, no capabilities page, no case studies, and no blog mean the website itself contributes nothing to buyer education or search visibility.</w:t>
            </w:r>
          </w:p>
        </w:tc>
      </w:tr>
      <w:tr>
        <w:tc>
          <w:tcPr>
            <w:tcW w:type="dxa" w:w="26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Conversion</w:t>
            </w:r>
          </w:p>
        </w:tc>
        <w:tc>
          <w:tcPr>
            <w:tcW w:type="dxa" w:w="12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center"/>
            </w:pPr>
            <w:r>
              <w:rPr>
                <w:rFonts w:ascii="Arial" w:cs="Arial" w:eastAsia="Arial" w:hAnsi="Arial"/>
                <w:b w:val="false"/>
                <w:bCs w:val="false"/>
                <w:i w:val="false"/>
                <w:iCs w:val="false"/>
                <w:color w:val="1A2332"/>
                <w:sz w:val="20"/>
                <w:szCs w:val="20"/>
              </w:rPr>
              <w:t>1.8/10</w:t>
            </w:r>
          </w:p>
        </w:tc>
        <w:tc>
          <w:tcPr>
            <w:tcW w:type="dxa" w:w="556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2 passes, 1 warning, 3 fails. The site is live and the email domain is professional, but with no phone number, no forms, no CTAs, and no sample submission pathway, the website converts zero visitors into leads. Complete conversion infrastructure failure.</w:t>
            </w:r>
          </w:p>
        </w:tc>
      </w:tr>
      <w:tr>
        <w:tc>
          <w:tcPr>
            <w:tcW w:type="dxa" w:w="26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Trust &amp; Credibility</w:t>
            </w:r>
          </w:p>
        </w:tc>
        <w:tc>
          <w:tcPr>
            <w:tcW w:type="dxa" w:w="12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center"/>
            </w:pPr>
            <w:r>
              <w:rPr>
                <w:rFonts w:ascii="Arial" w:cs="Arial" w:eastAsia="Arial" w:hAnsi="Arial"/>
                <w:b w:val="false"/>
                <w:bCs w:val="false"/>
                <w:i w:val="false"/>
                <w:iCs w:val="false"/>
                <w:color w:val="1A2332"/>
                <w:sz w:val="20"/>
                <w:szCs w:val="20"/>
              </w:rPr>
              <w:t>1.8/10</w:t>
            </w:r>
          </w:p>
        </w:tc>
        <w:tc>
          <w:tcPr>
            <w:tcW w:type="dxa" w:w="556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2 passes, 1 warning, 3 fails. The physical location and LinkedIn accreditation posts provide some trust foundation, but the website itself displays no badges, no team, no certifications page, and no social proof. For a laboratory where trust is the primary purchase driver, this is a critical gap.</w:t>
            </w:r>
          </w:p>
        </w:tc>
      </w:tr>
      <w:tr>
        <w:tc>
          <w:tcPr>
            <w:tcW w:type="dxa" w:w="26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Digital Presence</w:t>
            </w:r>
          </w:p>
        </w:tc>
        <w:tc>
          <w:tcPr>
            <w:tcW w:type="dxa" w:w="120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center"/>
            </w:pPr>
            <w:r>
              <w:rPr>
                <w:rFonts w:ascii="Arial" w:cs="Arial" w:eastAsia="Arial" w:hAnsi="Arial"/>
                <w:b w:val="false"/>
                <w:bCs w:val="false"/>
                <w:i w:val="false"/>
                <w:iCs w:val="false"/>
                <w:color w:val="1A2332"/>
                <w:sz w:val="20"/>
                <w:szCs w:val="20"/>
              </w:rPr>
              <w:t>1.8/10</w:t>
            </w:r>
          </w:p>
        </w:tc>
        <w:tc>
          <w:tcPr>
            <w:tcW w:type="dxa" w:w="5560"/>
            <w:tcBorders>
              <w:top w:val="single" w:color="DCE4EE" w:sz="4"/>
              <w:left w:val="single" w:color="DCE4EE" w:sz="4"/>
              <w:bottom w:val="single" w:color="DCE4EE" w:sz="4"/>
              <w:right w:val="single" w:color="DCE4EE" w:sz="4"/>
            </w:tcBorders>
            <w:shd w:fill="FFFFFF" w:val="clear"/>
            <w:tcMar>
              <w:top w:type="dxa" w:w="140"/>
              <w:left w:type="dxa" w:w="160"/>
              <w:bottom w:type="dxa" w:w="140"/>
              <w:right w:type="dxa" w:w="160"/>
            </w:tcMar>
            <w:vAlign w:val="center"/>
          </w:tcPr>
          <w:p>
            <w:pPr>
              <w:jc w:val="left"/>
            </w:pPr>
            <w:r>
              <w:rPr>
                <w:rFonts w:ascii="Arial" w:cs="Arial" w:eastAsia="Arial" w:hAnsi="Arial"/>
                <w:b w:val="false"/>
                <w:bCs w:val="false"/>
                <w:i w:val="false"/>
                <w:iCs w:val="false"/>
                <w:color w:val="1A2332"/>
                <w:sz w:val="20"/>
                <w:szCs w:val="20"/>
              </w:rPr>
              <w:t>2 passes, 1 warning, 3 fails. LinkedIn is the sole bright spot. Zero Google organic visibility, no directory listings, no reviews, and an unoptimized Google Business Profile mean the lab is effectively undiscoverable through any digital channel except direct LinkedIn search.</w:t>
            </w:r>
          </w:p>
        </w:tc>
      </w:tr>
      <w:tr>
        <w:tc>
          <w:tcPr>
            <w:tcW w:type="dxa" w:w="2600"/>
            <w:tcBorders>
              <w:top w:val="single" w:color="DCE4EE" w:sz="4"/>
              <w:left w:val="single" w:color="DCE4EE" w:sz="4"/>
              <w:bottom w:val="single" w:color="DCE4EE" w:sz="4"/>
              <w:right w:val="single" w:color="DCE4EE" w:sz="4"/>
            </w:tcBorders>
            <w:shd w:fill="E85D1A" w:val="clear"/>
            <w:tcMar>
              <w:top w:type="dxa" w:w="140"/>
              <w:left w:type="dxa" w:w="160"/>
              <w:bottom w:type="dxa" w:w="140"/>
              <w:right w:type="dxa" w:w="160"/>
            </w:tcMar>
            <w:vAlign w:val="center"/>
          </w:tcPr>
          <w:p>
            <w:pPr>
              <w:jc w:val="left"/>
            </w:pPr>
            <w:r>
              <w:rPr>
                <w:rFonts w:ascii="Arial" w:cs="Arial" w:eastAsia="Arial" w:hAnsi="Arial"/>
                <w:b/>
                <w:bCs/>
                <w:i w:val="false"/>
                <w:iCs w:val="false"/>
                <w:color w:val="FFFFFF"/>
                <w:sz w:val="20"/>
                <w:szCs w:val="20"/>
              </w:rPr>
              <w:t>OVERALL</w:t>
            </w:r>
          </w:p>
        </w:tc>
        <w:tc>
          <w:tcPr>
            <w:tcW w:type="dxa" w:w="1200"/>
            <w:tcBorders>
              <w:top w:val="single" w:color="DCE4EE" w:sz="4"/>
              <w:left w:val="single" w:color="DCE4EE" w:sz="4"/>
              <w:bottom w:val="single" w:color="DCE4EE" w:sz="4"/>
              <w:right w:val="single" w:color="DCE4EE" w:sz="4"/>
            </w:tcBorders>
            <w:shd w:fill="E85D1A" w:val="clear"/>
            <w:tcMar>
              <w:top w:type="dxa" w:w="140"/>
              <w:left w:type="dxa" w:w="160"/>
              <w:bottom w:type="dxa" w:w="140"/>
              <w:right w:type="dxa" w:w="160"/>
            </w:tcMar>
            <w:vAlign w:val="center"/>
          </w:tcPr>
          <w:p>
            <w:pPr>
              <w:jc w:val="center"/>
            </w:pPr>
            <w:r>
              <w:rPr>
                <w:rFonts w:ascii="Arial" w:cs="Arial" w:eastAsia="Arial" w:hAnsi="Arial"/>
                <w:b/>
                <w:bCs/>
                <w:i w:val="false"/>
                <w:iCs w:val="false"/>
                <w:color w:val="FFFFFF"/>
                <w:sz w:val="20"/>
                <w:szCs w:val="20"/>
              </w:rPr>
              <w:t>1.8/10</w:t>
            </w:r>
          </w:p>
        </w:tc>
        <w:tc>
          <w:tcPr>
            <w:tcW w:type="dxa" w:w="5560"/>
            <w:tcBorders>
              <w:top w:val="single" w:color="DCE4EE" w:sz="4"/>
              <w:left w:val="single" w:color="DCE4EE" w:sz="4"/>
              <w:bottom w:val="single" w:color="DCE4EE" w:sz="4"/>
              <w:right w:val="single" w:color="DCE4EE" w:sz="4"/>
            </w:tcBorders>
            <w:shd w:fill="E85D1A" w:val="clear"/>
            <w:tcMar>
              <w:top w:type="dxa" w:w="140"/>
              <w:left w:type="dxa" w:w="160"/>
              <w:bottom w:type="dxa" w:w="140"/>
              <w:right w:type="dxa" w:w="160"/>
            </w:tcMar>
            <w:vAlign w:val="center"/>
          </w:tcPr>
          <w:p>
            <w:pPr>
              <w:jc w:val="left"/>
            </w:pPr>
            <w:r>
              <w:rPr>
                <w:rFonts w:ascii="Arial" w:cs="Arial" w:eastAsia="Arial" w:hAnsi="Arial"/>
                <w:b/>
                <w:bCs/>
                <w:i w:val="false"/>
                <w:iCs w:val="false"/>
                <w:color w:val="FFFFFF"/>
                <w:sz w:val="20"/>
                <w:szCs w:val="20"/>
              </w:rPr>
              <w:t>Empiria Labs is the only dual A2LA-accredited analytical testing laboratory in South Texas, holding ISO/IEC 17025:2017 certification for both chemistry and biological testing. Despite this formidable credential -- one that most regional competitors cannot match -- their digital presence is functionally nonexistent. The website (empirialabs.com) is a WordPress shell running the Divi theme with a single "About Us" heading and no service descriptions, contact information, certifications, or conversion pathways. For a laboratory that serves produce growers who need fast, accredited testing to clear regulatory hurdles, every day without a functioning website means sample submissions going to Bureau Veritas in Houston or Eurofins in San Antonio instead.</w:t>
              <w:br/>
              <w:br/>
              <w:t>The gap between what Empiria Labs IS and what their website SHOWS is among the most severe we have audited. This is not a case of an outdated site -- it is a case of a site that communicates nothing. The opportunity is equally severe: with minimal competition in the RGV for accredited food safety testing, even a basic professional presence would immediately capture local search traffic that currently has nowhere to land.</w:t>
            </w:r>
          </w:p>
        </w:tc>
      </w:tr>
    </w:tbl>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03</w:t>
      </w:r>
    </w:p>
    <w:p>
      <w:pPr>
        <w:spacing w:before="0" w:after="100"/>
        <w:ind w:left="1440" w:right="1440"/>
      </w:pPr>
      <w:r>
        <w:rPr>
          <w:rFonts w:ascii="Arial" w:cs="Arial" w:eastAsia="Arial" w:hAnsi="Arial"/>
          <w:b/>
          <w:bCs/>
          <w:i w:val="false"/>
          <w:iCs w:val="false"/>
          <w:color w:val="162336"/>
          <w:sz w:val="36"/>
          <w:szCs w:val="36"/>
        </w:rPr>
        <w:t>Market &amp; Competitive Context</w:t>
      </w:r>
    </w:p>
    <w:p>
      <w:pPr>
        <w:spacing w:before="0" w:after="160"/>
        <w:ind w:left="1440" w:right="1440"/>
      </w:pPr>
      <w:r>
        <w:rPr>
          <w:rFonts w:ascii="Arial" w:cs="Arial" w:eastAsia="Arial" w:hAnsi="Arial"/>
          <w:b w:val="false"/>
          <w:bCs w:val="false"/>
          <w:i w:val="false"/>
          <w:iCs w:val="false"/>
          <w:color w:val="7E8691"/>
          <w:sz w:val="20"/>
          <w:szCs w:val="20"/>
        </w:rPr>
        <w:t>Understanding the market landscape and competitive dynamics.</w:t>
      </w:r>
    </w:p>
    <w:p>
      <w:pPr>
        <w:spacing w:before="0" w:after="80"/>
        <w:ind w:left="1440" w:right="1440"/>
      </w:pPr>
      <w:r>
        <w:rPr>
          <w:rFonts w:ascii="Arial" w:cs="Arial" w:eastAsia="Arial" w:hAnsi="Arial"/>
          <w:b/>
          <w:bCs/>
          <w:i w:val="false"/>
          <w:iCs w:val="false"/>
          <w:color w:val="1A2332"/>
          <w:sz w:val="22"/>
          <w:szCs w:val="22"/>
        </w:rPr>
        <w:t>Competitive Landscape</w:t>
      </w:r>
    </w:p>
    <w:p>
      <w:pPr>
        <w:spacing w:before="80" w:after="80"/>
        <w:ind w:left="1440" w:right="1440"/>
      </w:pPr>
      <w:r>
        <w:rPr>
          <w:rFonts w:ascii="Arial" w:cs="Arial" w:eastAsia="Arial" w:hAnsi="Arial"/>
          <w:b w:val="false"/>
          <w:bCs w:val="false"/>
          <w:i/>
          <w:iCs/>
          <w:color w:val="AAAAAA"/>
          <w:sz w:val="20"/>
          <w:szCs w:val="20"/>
        </w:rPr>
        <w:t>Bureau Veritas (Houston) —</w:t>
      </w:r>
    </w:p>
    <w:p>
      <w:pPr>
        <w:spacing w:before="80" w:after="80"/>
        <w:ind w:left="1440" w:right="1440"/>
      </w:pPr>
      <w:r>
        <w:rPr>
          <w:rFonts w:ascii="Arial" w:cs="Arial" w:eastAsia="Arial" w:hAnsi="Arial"/>
          <w:b w:val="false"/>
          <w:bCs w:val="false"/>
          <w:i/>
          <w:iCs/>
          <w:color w:val="AAAAAA"/>
          <w:sz w:val="20"/>
          <w:szCs w:val="20"/>
        </w:rPr>
        <w:t>Eurofins Scientific (multiple TX locations) — Major competitors have full-service websites with online sample submission, accreditation badges front and center, detailed service catalogs, and strong Google presence across multiple locations</w:t>
      </w:r>
    </w:p>
    <w:p>
      <w:pPr>
        <w:spacing w:before="80" w:after="80"/>
        <w:ind w:left="1440" w:right="1440"/>
      </w:pPr>
      <w:r>
        <w:rPr>
          <w:rFonts w:ascii="Arial" w:cs="Arial" w:eastAsia="Arial" w:hAnsi="Arial"/>
          <w:b w:val="false"/>
          <w:bCs w:val="false"/>
          <w:i/>
          <w:iCs/>
          <w:color w:val="AAAAAA"/>
          <w:sz w:val="20"/>
          <w:szCs w:val="20"/>
        </w:rPr>
        <w:t>SGS SA (regional offices) — Major competitors have full-service websites with online sample submission, accreditation badges front and center, detailed service catalogs, and strong Google presence across multiple locations</w:t>
      </w:r>
    </w:p>
    <w:p>
      <w:pPr>
        <w:spacing w:before="80" w:after="80"/>
        <w:ind w:left="1440" w:right="1440"/>
      </w:pPr>
      <w:r>
        <w:rPr>
          <w:rFonts w:ascii="Arial" w:cs="Arial" w:eastAsia="Arial" w:hAnsi="Arial"/>
          <w:b w:val="false"/>
          <w:bCs w:val="false"/>
          <w:i/>
          <w:iCs/>
          <w:color w:val="AAAAAA"/>
          <w:sz w:val="20"/>
          <w:szCs w:val="20"/>
        </w:rPr>
        <w:t>Empiria Labs —</w:t>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"The three largest competitors in the food safety testing market -- Bureau Veritas, Eurofins, and SGS -- all invest heavily in digital visibility, yet none have a physical presence in the RGV. Empiria holds the geographic advantage but is digitally invisible, allowing distant competitors to capture local clients by default."</w:t>
            </w:r>
          </w:p>
          <w:p>
            <w:pPr>
              <w:spacing w:before="0" w:after="0"/>
            </w:pPr>
            <w:r>
              <w:rPr>
                <w:rFonts w:ascii="Arial" w:cs="Arial" w:eastAsia="Arial" w:hAnsi="Arial"/>
                <w:b w:val="false"/>
                <w:bCs w:val="false"/>
                <w:i w:val="false"/>
                <w:iCs w:val="false"/>
                <w:color w:val="E85D1A"/>
                <w:sz w:val="18"/>
                <w:szCs w:val="18"/>
              </w:rPr>
              <w:t>— Maker Web Studios Audit Finding</w:t>
            </w:r>
          </w:p>
        </w:tc>
      </w:tr>
    </w:tbl>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04</w:t>
      </w:r>
    </w:p>
    <w:p>
      <w:pPr>
        <w:spacing w:before="0" w:after="100"/>
        <w:keepNext/>
        <w:keepLines/>
        <w:ind w:left="1440" w:right="1440"/>
      </w:pPr>
      <w:r>
        <w:rPr>
          <w:rFonts w:ascii="Arial" w:cs="Arial" w:eastAsia="Arial" w:hAnsi="Arial"/>
          <w:b/>
          <w:bCs/>
          <w:i w:val="false"/>
          <w:iCs w:val="false"/>
          <w:color w:val="162336"/>
          <w:sz w:val="36"/>
          <w:szCs w:val="36"/>
        </w:rPr>
        <w:t>Design &amp; UX Audit</w:t>
      </w:r>
    </w:p>
    <w:p>
      <w:pPr>
        <w:spacing w:before="0" w:after="200"/>
        <w:ind w:left="1440" w:right="1440"/>
      </w:pPr>
      <w:r>
        <w:rPr>
          <w:rFonts w:ascii="Arial" w:cs="Arial" w:eastAsia="Arial" w:hAnsi="Arial"/>
          <w:b w:val="false"/>
          <w:bCs w:val="false"/>
          <w:i w:val="false"/>
          <w:iCs w:val="false"/>
          <w:color w:val="7E8691"/>
          <w:sz w:val="20"/>
          <w:szCs w:val="20"/>
        </w:rPr>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Professional Font Selection — The site uses Outfit, a modern geometric sans-serif that reads well at all sizes. This is a strong typographic foundation that can carry a professional lab identity when content is added.</w:t>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Responsive Framework — The Divi theme provides a mobile-responsive grid system out of the box. The underlying structural CSS is properly configured for device scaling.</w:t>
      </w:r>
    </w:p>
    <w:p>
      <w:pPr>
        <w:spacing w:before="120" w:after="80"/>
        <w:ind w:left="1440" w:right="1440"/>
      </w:pPr>
      <w:r>
        <w:rPr>
          <w:rFonts w:ascii="Arial" w:cs="Arial" w:eastAsia="Arial" w:hAnsi="Arial"/>
          <w:b/>
          <w:bCs/>
          <w:color w:val="A0620A"/>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WARN No Visual Hierarchy — With only an "About Us" heading visible, there is no visual hierarchy guiding visitors through services, credentials, or next steps. A first-time visitor has zero orientation.</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Empty Homepage — The homepage contains effectively no content. No hero section, no service overview, no value proposition, no imagery. A visitor landing here would assume the business is closed or not yet operational.</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Laboratory Imagery — Testing laboratories sell trust through visual credibility -- clean rooms, instrumentation, sample handling. Empiria's site has zero imagery showing their facility, equipment, or team.</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Navigation Structure — There is no visible menu or navigation system allowing visitors to explore services, certifications, or contact information. The site is a single dead-end page.</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05</w:t>
      </w:r>
    </w:p>
    <w:p>
      <w:pPr>
        <w:spacing w:before="0" w:after="100"/>
        <w:keepNext/>
        <w:keepLines/>
        <w:ind w:left="1440" w:right="1440"/>
      </w:pPr>
      <w:r>
        <w:rPr>
          <w:rFonts w:ascii="Arial" w:cs="Arial" w:eastAsia="Arial" w:hAnsi="Arial"/>
          <w:b/>
          <w:bCs/>
          <w:i w:val="false"/>
          <w:iCs w:val="false"/>
          <w:color w:val="162336"/>
          <w:sz w:val="36"/>
          <w:szCs w:val="36"/>
        </w:rPr>
        <w:t>On-Page SEO Audit</w:t>
      </w:r>
    </w:p>
    <w:p>
      <w:pPr>
        <w:spacing w:before="0" w:after="200"/>
        <w:ind w:left="1440" w:right="1440"/>
      </w:pPr>
      <w:r>
        <w:rPr>
          <w:rFonts w:ascii="Arial" w:cs="Arial" w:eastAsia="Arial" w:hAnsi="Arial"/>
          <w:b w:val="false"/>
          <w:bCs w:val="false"/>
          <w:i w:val="false"/>
          <w:iCs w:val="false"/>
          <w:color w:val="7E8691"/>
          <w:sz w:val="20"/>
          <w:szCs w:val="20"/>
        </w:rPr>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Page Title Present — The homepage does have a title tag ("Home - Empiria labs") which allows basic indexing by search engines.</w:t>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Schema Markup Detected — Basic organization schema is present in the page source, providing search engines with the company name and logo reference.</w:t>
      </w:r>
    </w:p>
    <w:p>
      <w:pPr>
        <w:spacing w:before="120" w:after="80"/>
        <w:ind w:left="1440" w:right="1440"/>
      </w:pPr>
      <w:r>
        <w:rPr>
          <w:rFonts w:ascii="Arial" w:cs="Arial" w:eastAsia="Arial" w:hAnsi="Arial"/>
          <w:b/>
          <w:bCs/>
          <w:color w:val="A0620A"/>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WARN Poor Meta Description — The meta description appears to only contain "ABOUT US" -- far too short and non-descriptive. This is the text that appears in Google search results and currently communicates nothing about what Empiria does.</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Zero Keyword Targeting — No service-related keywords appear anywhere on the site. Terms like "pesticide testing Edinburg TX," "food safety lab RGV," or "ISO 17025 laboratory South Texas" are completely absent.</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H1/H2 Content Structure — Beyond the "About Us" heading, there is no heading hierarchy organizing content by service, capability, or industry. Search engines have nothing to index.</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Internal Linking — With only one page of content, there are no internal links creating topical authority or guiding search engine crawlers through a site architecture.</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06</w:t>
      </w:r>
    </w:p>
    <w:p>
      <w:pPr>
        <w:spacing w:before="0" w:after="100"/>
        <w:keepNext/>
        <w:keepLines/>
        <w:ind w:left="1440" w:right="1440"/>
      </w:pPr>
      <w:r>
        <w:rPr>
          <w:rFonts w:ascii="Arial" w:cs="Arial" w:eastAsia="Arial" w:hAnsi="Arial"/>
          <w:b/>
          <w:bCs/>
          <w:i w:val="false"/>
          <w:iCs w:val="false"/>
          <w:color w:val="162336"/>
          <w:sz w:val="36"/>
          <w:szCs w:val="36"/>
        </w:rPr>
        <w:t>Technical SEO Audit</w:t>
      </w:r>
    </w:p>
    <w:p>
      <w:pPr>
        <w:spacing w:before="0" w:after="200"/>
        <w:ind w:left="1440" w:right="1440"/>
      </w:pPr>
      <w:r>
        <w:rPr>
          <w:rFonts w:ascii="Arial" w:cs="Arial" w:eastAsia="Arial" w:hAnsi="Arial"/>
          <w:b w:val="false"/>
          <w:bCs w:val="false"/>
          <w:i w:val="false"/>
          <w:iCs w:val="false"/>
          <w:color w:val="7E8691"/>
          <w:sz w:val="20"/>
          <w:szCs w:val="20"/>
        </w:rPr>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SSL Certificate Active — The site is served over HTTPS, which is a baseline requirement for Google ranking and visitor trust.</w:t>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WordPress Core Updated — The CMS appears to be running a reasonably current version, reducing immediate security vulnerabilities.</w:t>
      </w:r>
    </w:p>
    <w:p>
      <w:pPr>
        <w:spacing w:before="120" w:after="80"/>
        <w:ind w:left="1440" w:right="1440"/>
      </w:pPr>
      <w:r>
        <w:rPr>
          <w:rFonts w:ascii="Arial" w:cs="Arial" w:eastAsia="Arial" w:hAnsi="Arial"/>
          <w:b/>
          <w:bCs/>
          <w:color w:val="A0620A"/>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WARN No Sitemap Detected — Without an XML sitemap, search engines must discover pages through crawling alone, which slows indexing -- especially critical when new content pages are added.</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Google Analytics — No analytics tracking was detected. Empiria has zero visibility into who visits their site, where they come from, or what they do. This means no data to inform business decisions.</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Google Search Console — Without Search Console connected, Empiria cannot see which search queries trigger impressions, identify crawl errors, or submit new pages for indexing.</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CDN or Caching — No content delivery network is configured. While the site is too empty to have performance issues now, this will become critical once imagery and content are added.</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07</w:t>
      </w:r>
    </w:p>
    <w:p>
      <w:pPr>
        <w:spacing w:before="0" w:after="100"/>
        <w:keepNext/>
        <w:keepLines/>
        <w:ind w:left="1440" w:right="1440"/>
      </w:pPr>
      <w:r>
        <w:rPr>
          <w:rFonts w:ascii="Arial" w:cs="Arial" w:eastAsia="Arial" w:hAnsi="Arial"/>
          <w:b/>
          <w:bCs/>
          <w:i w:val="false"/>
          <w:iCs w:val="false"/>
          <w:color w:val="162336"/>
          <w:sz w:val="36"/>
          <w:szCs w:val="36"/>
        </w:rPr>
        <w:t>Content Quality Audit</w:t>
      </w:r>
    </w:p>
    <w:p>
      <w:pPr>
        <w:spacing w:before="0" w:after="200"/>
        <w:ind w:left="1440" w:right="1440"/>
      </w:pPr>
      <w:r>
        <w:rPr>
          <w:rFonts w:ascii="Arial" w:cs="Arial" w:eastAsia="Arial" w:hAnsi="Arial"/>
          <w:b w:val="false"/>
          <w:bCs w:val="false"/>
          <w:i w:val="false"/>
          <w:iCs w:val="false"/>
          <w:color w:val="7E8691"/>
          <w:sz w:val="20"/>
          <w:szCs w:val="20"/>
        </w:rPr>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Domain Name — empirialabs.com is a clean, professional domain that accurately represents the brand. Easy to spell, easy to remember, and matches the company name exactly.</w:t>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LinkedIn Presence Active — Empiria Labs maintains an active LinkedIn profile with posts about their A2LA accreditation, conference appearances, and team recognition. This proves content creation capability exists -- it just has not been deployed to the website.</w:t>
      </w:r>
    </w:p>
    <w:p>
      <w:pPr>
        <w:spacing w:before="120" w:after="80"/>
        <w:ind w:left="1440" w:right="1440"/>
      </w:pPr>
      <w:r>
        <w:rPr>
          <w:rFonts w:ascii="Arial" w:cs="Arial" w:eastAsia="Arial" w:hAnsi="Arial"/>
          <w:b/>
          <w:bCs/>
          <w:color w:val="A0620A"/>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WARN Zero Service Descriptions — The core services -- pesticide residue analysis, microbiological testing, heavy metals, mycotoxins -- are not described anywhere on the website. A produce grower researching testing options will find nothing.</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Capabilities Page — For a laboratory, a capabilities page is the equivalent of a product catalog. Equipment lists (LC/MS-MS, GC/MS-MS, ICP/OES), testing methodologies (QuEChERS, ASE-350, SPE), and turnaround times are expected by buyers and completely absent.</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Case Studies or Industry Context — Empiria works with produce growers navigating FSMA compliance, yet the website provides no educational content about regulatory requirements, testing protocols, or why third-party accredited testing matters.</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Blog or Resource Section — Zero content marketing infrastructure exists. In a market where produce growers search for information about pesticide testing requirements, Empiria could capture significant organic traffic with even basic educational articles.</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08</w:t>
      </w:r>
    </w:p>
    <w:p>
      <w:pPr>
        <w:spacing w:before="0" w:after="100"/>
        <w:keepNext/>
        <w:keepLines/>
        <w:ind w:left="1440" w:right="1440"/>
      </w:pPr>
      <w:r>
        <w:rPr>
          <w:rFonts w:ascii="Arial" w:cs="Arial" w:eastAsia="Arial" w:hAnsi="Arial"/>
          <w:b/>
          <w:bCs/>
          <w:i w:val="false"/>
          <w:iCs w:val="false"/>
          <w:color w:val="162336"/>
          <w:sz w:val="36"/>
          <w:szCs w:val="36"/>
        </w:rPr>
        <w:t>Conversion Audit</w:t>
      </w:r>
    </w:p>
    <w:p>
      <w:pPr>
        <w:spacing w:before="0" w:after="200"/>
        <w:ind w:left="1440" w:right="1440"/>
      </w:pPr>
      <w:r>
        <w:rPr>
          <w:rFonts w:ascii="Arial" w:cs="Arial" w:eastAsia="Arial" w:hAnsi="Arial"/>
          <w:b w:val="false"/>
          <w:bCs w:val="false"/>
          <w:i w:val="false"/>
          <w:iCs w:val="false"/>
          <w:color w:val="7E8691"/>
          <w:sz w:val="20"/>
          <w:szCs w:val="20"/>
        </w:rPr>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Website is Live — The domain resolves and the site loads. This is the bare minimum, but it means the technical infrastructure exists to build on immediately.</w:t>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Professional Email Domain — Empiria uses their company domain for email, which supports brand credibility in all external communications.</w:t>
      </w:r>
    </w:p>
    <w:p>
      <w:pPr>
        <w:spacing w:before="120" w:after="80"/>
        <w:ind w:left="1440" w:right="1440"/>
      </w:pPr>
      <w:r>
        <w:rPr>
          <w:rFonts w:ascii="Arial" w:cs="Arial" w:eastAsia="Arial" w:hAnsi="Arial"/>
          <w:b/>
          <w:bCs/>
          <w:color w:val="A0620A"/>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WARN No Phone Number Visible — The most basic conversion element for a laboratory -- a phone number -- is not displayed anywhere on the website.</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Sample Submission Form — The primary conversion action for a testing laboratory is sample submission. There is no form, no portal, no instructions for how a prospective client initiates testing.</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Contact Form of Any Kind — There is no way for a website visitor to reach Empiria Labs through the website. No form, no email link, no chat widget, no phone number. Complete conversion failure.</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Call-to-Action Anywhere — Zero CTAs exist on the site. No "Request a Quote," no "Submit a Sample," no "Schedule a Consultation." A visitor who wants to become a client has no pathway to do so.</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09</w:t>
      </w:r>
    </w:p>
    <w:p>
      <w:pPr>
        <w:spacing w:before="0" w:after="100"/>
        <w:keepNext/>
        <w:keepLines/>
        <w:ind w:left="1440" w:right="1440"/>
      </w:pPr>
      <w:r>
        <w:rPr>
          <w:rFonts w:ascii="Arial" w:cs="Arial" w:eastAsia="Arial" w:hAnsi="Arial"/>
          <w:b/>
          <w:bCs/>
          <w:i w:val="false"/>
          <w:iCs w:val="false"/>
          <w:color w:val="162336"/>
          <w:sz w:val="36"/>
          <w:szCs w:val="36"/>
        </w:rPr>
        <w:t>Trust &amp; Credibility Audit</w:t>
      </w:r>
    </w:p>
    <w:p>
      <w:pPr>
        <w:spacing w:before="0" w:after="200"/>
        <w:ind w:left="1440" w:right="1440"/>
      </w:pPr>
      <w:r>
        <w:rPr>
          <w:rFonts w:ascii="Arial" w:cs="Arial" w:eastAsia="Arial" w:hAnsi="Arial"/>
          <w:b w:val="false"/>
          <w:bCs w:val="false"/>
          <w:i w:val="false"/>
          <w:iCs w:val="false"/>
          <w:color w:val="7E8691"/>
          <w:sz w:val="20"/>
          <w:szCs w:val="20"/>
        </w:rPr>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Real Physical Location — Empiria operates from a verifiable physical address at 6200 E. Ramseyer Rd, Edinburg, TX. This is important for laboratory credibility -- buyers need to know where their samples are going.</w:t>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Active LinkedIn with Accreditation Posts — The November 2024 LinkedIn post announcing dual A2LA accreditation demonstrates the company actively communicates its credentials -- just not on its website.</w:t>
      </w:r>
    </w:p>
    <w:p>
      <w:pPr>
        <w:spacing w:before="120" w:after="80"/>
        <w:ind w:left="1440" w:right="1440"/>
      </w:pPr>
      <w:r>
        <w:rPr>
          <w:rFonts w:ascii="Arial" w:cs="Arial" w:eastAsia="Arial" w:hAnsi="Arial"/>
          <w:b/>
          <w:bCs/>
          <w:color w:val="A0620A"/>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WARN No Accreditation Badges on Website — The A2LA accreditation badges -- the single most important trust signal for a testing laboratory -- are nowhere on the website. This credential should be the first thing every visitor sees.</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Team Page — For a laboratory handling regulated testing, buyers want to know who is running the operation. Jorge Cortes' PhD and extensive geochemistry background, and Sarai's industry involvement, are invisible on the site.</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Certifications Page — ISO/IEC 17025:2017 dual accreditation is a significant achievement. There is no dedicated page, no downloadable certificates, and no explanation of what this accreditation means for the client's confidence in test results.</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Client Logos or Testimonials — Social proof is completely absent. No industry affiliations, no client references, no regulatory body relationships are displayed.</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10</w:t>
      </w:r>
    </w:p>
    <w:p>
      <w:pPr>
        <w:spacing w:before="0" w:after="100"/>
        <w:keepNext/>
        <w:keepLines/>
        <w:ind w:left="1440" w:right="1440"/>
      </w:pPr>
      <w:r>
        <w:rPr>
          <w:rFonts w:ascii="Arial" w:cs="Arial" w:eastAsia="Arial" w:hAnsi="Arial"/>
          <w:b/>
          <w:bCs/>
          <w:i w:val="false"/>
          <w:iCs w:val="false"/>
          <w:color w:val="162336"/>
          <w:sz w:val="36"/>
          <w:szCs w:val="36"/>
        </w:rPr>
        <w:t>Digital Presence Audit</w:t>
      </w:r>
    </w:p>
    <w:p>
      <w:pPr>
        <w:spacing w:before="0" w:after="200"/>
        <w:ind w:left="1440" w:right="1440"/>
      </w:pPr>
      <w:r>
        <w:rPr>
          <w:rFonts w:ascii="Arial" w:cs="Arial" w:eastAsia="Arial" w:hAnsi="Arial"/>
          <w:b w:val="false"/>
          <w:bCs w:val="false"/>
          <w:i w:val="false"/>
          <w:iCs w:val="false"/>
          <w:color w:val="7E8691"/>
          <w:sz w:val="20"/>
          <w:szCs w:val="20"/>
        </w:rPr>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LinkedIn Profile Complete — The LinkedIn company page has a full description, location, employee count, and regular posting activity. This is the strongest element of Empiria's current digital presence.</w:t>
      </w:r>
    </w:p>
    <w:p>
      <w:pPr>
        <w:spacing w:before="120" w:after="80"/>
        <w:ind w:left="1440" w:right="1440"/>
      </w:pPr>
      <w:r>
        <w:rPr>
          <w:rFonts w:ascii="Arial" w:cs="Arial" w:eastAsia="Arial" w:hAnsi="Arial"/>
          <w:b/>
          <w:bCs/>
          <w:color w:val="1E7D43"/>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PASS Domain Authority Potential — The empirialabs.com domain has been registered and active, building baseline domain history that will support future SEO efforts.</w:t>
      </w:r>
    </w:p>
    <w:p>
      <w:pPr>
        <w:spacing w:before="120" w:after="80"/>
        <w:ind w:left="1440" w:right="1440"/>
      </w:pPr>
      <w:r>
        <w:rPr>
          <w:rFonts w:ascii="Arial" w:cs="Arial" w:eastAsia="Arial" w:hAnsi="Arial"/>
          <w:b/>
          <w:bCs/>
          <w:color w:val="A0620A"/>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WARN No Google Business Profile Optimization — If a Google Business Profile exists, it is not optimized with services, photos, hours, or posts. This is critical for local "lab near me" searches.</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Zero Google Organic Visibility — With no content on the website, Empiria Labs ranks for effectively zero keywords related to their services. Searches for "pesticide testing Edinburg TX" or "food safety lab RGV" do not surface Empiria.</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Directory Listings — Empiria does not appear in key laboratory directories, industry association listings, or local business directories that produce growers and QA managers use to find testing partners.</w:t>
      </w:r>
    </w:p>
    <w:p>
      <w:pPr>
        <w:spacing w:before="120" w:after="80"/>
        <w:ind w:left="1440" w:right="1440"/>
      </w:pPr>
      <w:r>
        <w:rPr>
          <w:rFonts w:ascii="Arial" w:cs="Arial" w:eastAsia="Arial" w:hAnsi="Arial"/>
          <w:b/>
          <w:bCs/>
          <w:color w:val="B91C1C"/>
          <w:sz w:val="20"/>
          <w:szCs w:val="20"/>
        </w:rPr>
      </w:r>
      <w:r>
        <w:rPr>
          <w:rFonts w:ascii="Arial" w:cs="Arial" w:eastAsia="Arial" w:hAnsi="Arial"/>
          <w:b/>
          <w:bCs/>
          <w:i w:val="false"/>
          <w:iCs w:val="false"/>
          <w:color w:val="1A2332"/>
          <w:sz w:val="20"/>
          <w:szCs w:val="20"/>
        </w:rPr>
      </w:r>
      <w:r>
        <w:rPr>
          <w:rFonts w:ascii="Arial" w:cs="Arial" w:eastAsia="Arial" w:hAnsi="Arial"/>
          <w:b w:val="false"/>
          <w:bCs w:val="false"/>
          <w:i w:val="false"/>
          <w:iCs w:val="false"/>
          <w:color w:val="7E8691"/>
          <w:sz w:val="20"/>
          <w:szCs w:val="20"/>
        </w:rPr>
        <w:t>✗ FAIL No Review Presence — No Google reviews, no Yelp presence, no industry platform reviews. For a service business where trust is paramount, the absence of third-party validation is a significant gap.</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11</w:t>
      </w:r>
    </w:p>
    <w:p>
      <w:pPr>
        <w:spacing w:before="0" w:after="100"/>
        <w:keepNext/>
        <w:keepLines/>
        <w:ind w:left="1440" w:right="1440"/>
      </w:pPr>
      <w:r>
        <w:rPr>
          <w:rFonts w:ascii="Arial" w:cs="Arial" w:eastAsia="Arial" w:hAnsi="Arial"/>
          <w:b/>
          <w:bCs/>
          <w:i w:val="false"/>
          <w:iCs w:val="false"/>
          <w:color w:val="162336"/>
          <w:sz w:val="36"/>
          <w:szCs w:val="36"/>
        </w:rPr>
        <w:t>What They Are Doing Right</w:t>
      </w:r>
    </w:p>
    <w:p>
      <w:pPr>
        <w:spacing w:before="0" w:after="200"/>
        <w:ind w:left="1440" w:right="1440"/>
      </w:pPr>
      <w:r>
        <w:rPr>
          <w:rFonts w:ascii="Arial" w:cs="Arial" w:eastAsia="Arial" w:hAnsi="Arial"/>
          <w:b w:val="false"/>
          <w:bCs w:val="false"/>
          <w:i w:val="false"/>
          <w:iCs w:val="false"/>
          <w:color w:val="7E8691"/>
          <w:sz w:val="20"/>
          <w:szCs w:val="20"/>
        </w:rPr>
        <w:t>Credit where it is due. Legitimate competitive advantages that form the foundation for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640"/>
        <w:gridCol w:w="8720"/>
      </w:tblGrid>
      <w:tr>
        <w:tc>
          <w:tcPr>
            <w:tcW w:type="dxa" w:w="640"/>
            <w:tcBorders>
              <w:top w:val="none" w:color="FFFFFF" w:sz="0"/>
              <w:left w:val="none" w:color="FFFFFF" w:sz="0"/>
              <w:bottom w:val="none" w:color="FFFFFF" w:sz="0"/>
              <w:right w:val="none" w:color="FFFFFF" w:sz="0"/>
            </w:tcBorders>
            <w:shd w:fill="E85D1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1</w:t>
            </w:r>
          </w:p>
        </w:tc>
        <w:tc>
          <w:tcPr>
            <w:tcW w:type="dxa" w:w="8720"/>
            <w:tcBorders>
              <w:top w:val="none" w:color="FFFFFF" w:sz="0"/>
              <w:left w:val="none" w:color="FFFFFF" w:sz="0"/>
              <w:bottom w:val="none" w:color="FFFFFF" w:sz="0"/>
              <w:right w:val="none" w:color="FFFFFF" w:sz="0"/>
            </w:tcBorders>
            <w:shd w:fill="E7EDF4" w:val="clear"/>
            <w:tcMar>
              <w:top w:type="dxa" w:w="120"/>
              <w:left w:type="dxa" w:w="200"/>
              <w:bottom w:type="dxa" w:w="120"/>
              <w:right w:type="dxa" w:w="160"/>
            </w:tcMar>
          </w:tcPr>
          <w:p>
            <w:pPr>
              <w:spacing w:before="0" w:after="40"/>
            </w:pPr>
            <w:r>
              <w:rPr>
                <w:rFonts w:ascii="Arial" w:cs="Arial" w:eastAsia="Arial" w:hAnsi="Arial"/>
                <w:b/>
                <w:bCs/>
                <w:i w:val="false"/>
                <w:iCs w:val="false"/>
                <w:color w:val="1A2332"/>
                <w:sz w:val="22"/>
                <w:szCs w:val="22"/>
              </w:rPr>
              <w:t>Dual A2LA Accreditation</w:t>
            </w:r>
          </w:p>
          <w:p>
            <w:pPr>
              <w:spacing w:before="0" w:after="0"/>
            </w:pPr>
            <w:r>
              <w:rPr>
                <w:rFonts w:ascii="Arial" w:cs="Arial" w:eastAsia="Arial" w:hAnsi="Arial"/>
                <w:b w:val="false"/>
                <w:bCs w:val="false"/>
                <w:i w:val="false"/>
                <w:iCs w:val="false"/>
                <w:color w:val="7E8691"/>
                <w:sz w:val="20"/>
                <w:szCs w:val="20"/>
              </w:rPr>
              <w:t>Holding both chemistry and biological testing accreditation under ISO/IEC 17025:2017 is a genuine competitive moat. Most regional labs hold one or the other. This credential immediately qualifies Empiria for contracts that competitors cannot bid on.</w:t>
            </w:r>
          </w:p>
        </w:tc>
      </w:tr>
    </w:tbl>
    <w:p>
      <w:pPr>
        <w:spacing w:before="6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640"/>
        <w:gridCol w:w="8720"/>
      </w:tblGrid>
      <w:tr>
        <w:tc>
          <w:tcPr>
            <w:tcW w:type="dxa" w:w="640"/>
            <w:tcBorders>
              <w:top w:val="none" w:color="FFFFFF" w:sz="0"/>
              <w:left w:val="none" w:color="FFFFFF" w:sz="0"/>
              <w:bottom w:val="none" w:color="FFFFFF" w:sz="0"/>
              <w:right w:val="none" w:color="FFFFFF" w:sz="0"/>
            </w:tcBorders>
            <w:shd w:fill="E85D1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2</w:t>
            </w:r>
          </w:p>
        </w:tc>
        <w:tc>
          <w:tcPr>
            <w:tcW w:type="dxa" w:w="8720"/>
            <w:tcBorders>
              <w:top w:val="none" w:color="FFFFFF" w:sz="0"/>
              <w:left w:val="none" w:color="FFFFFF" w:sz="0"/>
              <w:bottom w:val="none" w:color="FFFFFF" w:sz="0"/>
              <w:right w:val="none" w:color="FFFFFF" w:sz="0"/>
            </w:tcBorders>
            <w:shd w:fill="E7EDF4" w:val="clear"/>
            <w:tcMar>
              <w:top w:type="dxa" w:w="120"/>
              <w:left w:type="dxa" w:w="200"/>
              <w:bottom w:type="dxa" w:w="120"/>
              <w:right w:type="dxa" w:w="160"/>
            </w:tcMar>
          </w:tcPr>
          <w:p>
            <w:pPr>
              <w:spacing w:before="0" w:after="40"/>
            </w:pPr>
            <w:r>
              <w:rPr>
                <w:rFonts w:ascii="Arial" w:cs="Arial" w:eastAsia="Arial" w:hAnsi="Arial"/>
                <w:b/>
                <w:bCs/>
                <w:i w:val="false"/>
                <w:iCs w:val="false"/>
                <w:color w:val="1A2332"/>
                <w:sz w:val="22"/>
                <w:szCs w:val="22"/>
              </w:rPr>
              <w:t>Only Dual-Accredited Lab in South Texas</w:t>
            </w:r>
          </w:p>
          <w:p>
            <w:pPr>
              <w:spacing w:before="0" w:after="0"/>
            </w:pPr>
            <w:r>
              <w:rPr>
                <w:rFonts w:ascii="Arial" w:cs="Arial" w:eastAsia="Arial" w:hAnsi="Arial"/>
                <w:b w:val="false"/>
                <w:bCs w:val="false"/>
                <w:i w:val="false"/>
                <w:iCs w:val="false"/>
                <w:color w:val="7E8691"/>
                <w:sz w:val="20"/>
                <w:szCs w:val="20"/>
              </w:rPr>
              <w:t>Geographic monopoly on this specific credential means any produce company in the RGV requiring both chemical and microbiological testing under ISO 17025 has exactly one local option.</w:t>
            </w:r>
          </w:p>
        </w:tc>
      </w:tr>
    </w:tbl>
    <w:p>
      <w:pPr>
        <w:spacing w:before="6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640"/>
        <w:gridCol w:w="8720"/>
      </w:tblGrid>
      <w:tr>
        <w:tc>
          <w:tcPr>
            <w:tcW w:type="dxa" w:w="640"/>
            <w:tcBorders>
              <w:top w:val="none" w:color="FFFFFF" w:sz="0"/>
              <w:left w:val="none" w:color="FFFFFF" w:sz="0"/>
              <w:bottom w:val="none" w:color="FFFFFF" w:sz="0"/>
              <w:right w:val="none" w:color="FFFFFF" w:sz="0"/>
            </w:tcBorders>
            <w:shd w:fill="E85D1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3</w:t>
            </w:r>
          </w:p>
        </w:tc>
        <w:tc>
          <w:tcPr>
            <w:tcW w:type="dxa" w:w="8720"/>
            <w:tcBorders>
              <w:top w:val="none" w:color="FFFFFF" w:sz="0"/>
              <w:left w:val="none" w:color="FFFFFF" w:sz="0"/>
              <w:bottom w:val="none" w:color="FFFFFF" w:sz="0"/>
              <w:right w:val="none" w:color="FFFFFF" w:sz="0"/>
            </w:tcBorders>
            <w:shd w:fill="E7EDF4" w:val="clear"/>
            <w:tcMar>
              <w:top w:type="dxa" w:w="120"/>
              <w:left w:type="dxa" w:w="200"/>
              <w:bottom w:type="dxa" w:w="120"/>
              <w:right w:type="dxa" w:w="160"/>
            </w:tcMar>
          </w:tcPr>
          <w:p>
            <w:pPr>
              <w:spacing w:before="0" w:after="40"/>
            </w:pPr>
            <w:r>
              <w:rPr>
                <w:rFonts w:ascii="Arial" w:cs="Arial" w:eastAsia="Arial" w:hAnsi="Arial"/>
                <w:b/>
                <w:bCs/>
                <w:i w:val="false"/>
                <w:iCs w:val="false"/>
                <w:color w:val="1A2332"/>
                <w:sz w:val="22"/>
                <w:szCs w:val="22"/>
              </w:rPr>
              <w:t>Advanced Instrumentation</w:t>
            </w:r>
          </w:p>
          <w:p>
            <w:pPr>
              <w:spacing w:before="0" w:after="0"/>
            </w:pPr>
            <w:r>
              <w:rPr>
                <w:rFonts w:ascii="Arial" w:cs="Arial" w:eastAsia="Arial" w:hAnsi="Arial"/>
                <w:b w:val="false"/>
                <w:bCs w:val="false"/>
                <w:i w:val="false"/>
                <w:iCs w:val="false"/>
                <w:color w:val="7E8691"/>
                <w:sz w:val="20"/>
                <w:szCs w:val="20"/>
              </w:rPr>
              <w:t>LC/MS-MS, GC/MS-MS, and ICP/OES represent serious analytical capability. ASE-350 and QuEChERS extraction methods are industry-standard for pesticide residue work at the highest level.</w:t>
            </w:r>
          </w:p>
        </w:tc>
      </w:tr>
    </w:tbl>
    <w:p>
      <w:pPr>
        <w:spacing w:before="6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640"/>
        <w:gridCol w:w="8720"/>
      </w:tblGrid>
      <w:tr>
        <w:tc>
          <w:tcPr>
            <w:tcW w:type="dxa" w:w="640"/>
            <w:tcBorders>
              <w:top w:val="none" w:color="FFFFFF" w:sz="0"/>
              <w:left w:val="none" w:color="FFFFFF" w:sz="0"/>
              <w:bottom w:val="none" w:color="FFFFFF" w:sz="0"/>
              <w:right w:val="none" w:color="FFFFFF" w:sz="0"/>
            </w:tcBorders>
            <w:shd w:fill="E85D1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4</w:t>
            </w:r>
          </w:p>
        </w:tc>
        <w:tc>
          <w:tcPr>
            <w:tcW w:type="dxa" w:w="8720"/>
            <w:tcBorders>
              <w:top w:val="none" w:color="FFFFFF" w:sz="0"/>
              <w:left w:val="none" w:color="FFFFFF" w:sz="0"/>
              <w:bottom w:val="none" w:color="FFFFFF" w:sz="0"/>
              <w:right w:val="none" w:color="FFFFFF" w:sz="0"/>
            </w:tcBorders>
            <w:shd w:fill="E7EDF4" w:val="clear"/>
            <w:tcMar>
              <w:top w:type="dxa" w:w="120"/>
              <w:left w:type="dxa" w:w="200"/>
              <w:bottom w:type="dxa" w:w="120"/>
              <w:right w:type="dxa" w:w="160"/>
            </w:tcMar>
          </w:tcPr>
          <w:p>
            <w:pPr>
              <w:spacing w:before="0" w:after="40"/>
            </w:pPr>
            <w:r>
              <w:rPr>
                <w:rFonts w:ascii="Arial" w:cs="Arial" w:eastAsia="Arial" w:hAnsi="Arial"/>
                <w:b/>
                <w:bCs/>
                <w:i w:val="false"/>
                <w:iCs w:val="false"/>
                <w:color w:val="1A2332"/>
                <w:sz w:val="22"/>
                <w:szCs w:val="22"/>
              </w:rPr>
              <w:t>Proximity to Produce Corridor</w:t>
            </w:r>
          </w:p>
          <w:p>
            <w:pPr>
              <w:spacing w:before="0" w:after="0"/>
            </w:pPr>
            <w:r>
              <w:rPr>
                <w:rFonts w:ascii="Arial" w:cs="Arial" w:eastAsia="Arial" w:hAnsi="Arial"/>
                <w:b w:val="false"/>
                <w:bCs w:val="false"/>
                <w:i w:val="false"/>
                <w:iCs w:val="false"/>
                <w:color w:val="7E8691"/>
                <w:sz w:val="20"/>
                <w:szCs w:val="20"/>
              </w:rPr>
              <w:t>The RGV is one of the highest-volume produce import corridors in the United States. Empiria sits directly in the supply chain path where testing demand is concentrated.</w:t>
            </w:r>
          </w:p>
        </w:tc>
      </w:tr>
    </w:tbl>
    <w:p>
      <w:pPr>
        <w:spacing w:before="6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640"/>
        <w:gridCol w:w="8720"/>
      </w:tblGrid>
      <w:tr>
        <w:tc>
          <w:tcPr>
            <w:tcW w:type="dxa" w:w="640"/>
            <w:tcBorders>
              <w:top w:val="none" w:color="FFFFFF" w:sz="0"/>
              <w:left w:val="none" w:color="FFFFFF" w:sz="0"/>
              <w:bottom w:val="none" w:color="FFFFFF" w:sz="0"/>
              <w:right w:val="none" w:color="FFFFFF" w:sz="0"/>
            </w:tcBorders>
            <w:shd w:fill="E85D1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5</w:t>
            </w:r>
          </w:p>
        </w:tc>
        <w:tc>
          <w:tcPr>
            <w:tcW w:type="dxa" w:w="8720"/>
            <w:tcBorders>
              <w:top w:val="none" w:color="FFFFFF" w:sz="0"/>
              <w:left w:val="none" w:color="FFFFFF" w:sz="0"/>
              <w:bottom w:val="none" w:color="FFFFFF" w:sz="0"/>
              <w:right w:val="none" w:color="FFFFFF" w:sz="0"/>
            </w:tcBorders>
            <w:shd w:fill="E7EDF4" w:val="clear"/>
            <w:tcMar>
              <w:top w:type="dxa" w:w="120"/>
              <w:left w:type="dxa" w:w="200"/>
              <w:bottom w:type="dxa" w:w="120"/>
              <w:right w:type="dxa" w:w="160"/>
            </w:tcMar>
          </w:tcPr>
          <w:p>
            <w:pPr>
              <w:spacing w:before="0" w:after="40"/>
            </w:pPr>
            <w:r>
              <w:rPr>
                <w:rFonts w:ascii="Arial" w:cs="Arial" w:eastAsia="Arial" w:hAnsi="Arial"/>
                <w:b/>
                <w:bCs/>
                <w:i w:val="false"/>
                <w:iCs w:val="false"/>
                <w:color w:val="1A2332"/>
                <w:sz w:val="22"/>
                <w:szCs w:val="22"/>
              </w:rPr>
              <w:t>Bilingual Capability</w:t>
            </w:r>
          </w:p>
          <w:p>
            <w:pPr>
              <w:spacing w:before="0" w:after="0"/>
            </w:pPr>
            <w:r>
              <w:rPr>
                <w:rFonts w:ascii="Arial" w:cs="Arial" w:eastAsia="Arial" w:hAnsi="Arial"/>
                <w:b w:val="false"/>
                <w:bCs w:val="false"/>
                <w:i w:val="false"/>
                <w:iCs w:val="false"/>
                <w:color w:val="7E8691"/>
                <w:sz w:val="20"/>
                <w:szCs w:val="20"/>
              </w:rPr>
              <w:t>With Colombian roots and RGV location, Empiria can serve both US produce companies and Latin American exporters who need testing before crossing the border -- a bilingual advantage most national labs cannot match.</w:t>
            </w:r>
          </w:p>
        </w:tc>
      </w:tr>
    </w:tbl>
    <w:p>
      <w:pPr>
        <w:spacing w:before="6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640"/>
        <w:gridCol w:w="8720"/>
      </w:tblGrid>
      <w:tr>
        <w:tc>
          <w:tcPr>
            <w:tcW w:type="dxa" w:w="640"/>
            <w:tcBorders>
              <w:top w:val="none" w:color="FFFFFF" w:sz="0"/>
              <w:left w:val="none" w:color="FFFFFF" w:sz="0"/>
              <w:bottom w:val="none" w:color="FFFFFF" w:sz="0"/>
              <w:right w:val="none" w:color="FFFFFF" w:sz="0"/>
            </w:tcBorders>
            <w:shd w:fill="E85D1A"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6</w:t>
            </w:r>
          </w:p>
        </w:tc>
        <w:tc>
          <w:tcPr>
            <w:tcW w:type="dxa" w:w="8720"/>
            <w:tcBorders>
              <w:top w:val="none" w:color="FFFFFF" w:sz="0"/>
              <w:left w:val="none" w:color="FFFFFF" w:sz="0"/>
              <w:bottom w:val="none" w:color="FFFFFF" w:sz="0"/>
              <w:right w:val="none" w:color="FFFFFF" w:sz="0"/>
            </w:tcBorders>
            <w:shd w:fill="E7EDF4" w:val="clear"/>
            <w:tcMar>
              <w:top w:type="dxa" w:w="120"/>
              <w:left w:type="dxa" w:w="200"/>
              <w:bottom w:type="dxa" w:w="120"/>
              <w:right w:type="dxa" w:w="160"/>
            </w:tcMar>
          </w:tcPr>
          <w:p>
            <w:pPr>
              <w:spacing w:before="0" w:after="40"/>
            </w:pPr>
            <w:r>
              <w:rPr>
                <w:rFonts w:ascii="Arial" w:cs="Arial" w:eastAsia="Arial" w:hAnsi="Arial"/>
                <w:b/>
                <w:bCs/>
                <w:i w:val="false"/>
                <w:iCs w:val="false"/>
                <w:color w:val="1A2332"/>
                <w:sz w:val="22"/>
                <w:szCs w:val="22"/>
              </w:rPr>
              <w:t>Scientific Leadership</w:t>
            </w:r>
          </w:p>
          <w:p>
            <w:pPr>
              <w:spacing w:before="0" w:after="0"/>
            </w:pPr>
            <w:r>
              <w:rPr>
                <w:rFonts w:ascii="Arial" w:cs="Arial" w:eastAsia="Arial" w:hAnsi="Arial"/>
                <w:b w:val="false"/>
                <w:bCs w:val="false"/>
                <w:i w:val="false"/>
                <w:iCs w:val="false"/>
                <w:color w:val="7E8691"/>
                <w:sz w:val="20"/>
                <w:szCs w:val="20"/>
              </w:rPr>
              <w:t>Jorge Cortes' PhD in Geosciences and Organic Geochemistry, combined with petroleum industry experience, brings a depth of analytical rigor that elevates the lab's credibility beyond typical food safety testing operations.</w:t>
            </w:r>
          </w:p>
        </w:tc>
      </w:tr>
    </w:tbl>
    <w:p>
      <w:pPr>
        <w:spacing w:before="60" w:after="0"/>
        <w:ind w:left="1440" w:right="1440"/>
      </w:pP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12</w:t>
      </w:r>
    </w:p>
    <w:p>
      <w:pPr>
        <w:spacing w:before="0" w:after="100"/>
        <w:keepNext/>
        <w:keepLines/>
        <w:ind w:left="1440" w:right="1440"/>
      </w:pPr>
      <w:r>
        <w:rPr>
          <w:rFonts w:ascii="Arial" w:cs="Arial" w:eastAsia="Arial" w:hAnsi="Arial"/>
          <w:b/>
          <w:bCs/>
          <w:i w:val="false"/>
          <w:iCs w:val="false"/>
          <w:color w:val="162336"/>
          <w:sz w:val="36"/>
          <w:szCs w:val="36"/>
        </w:rPr>
        <w:t>Priority Fix Table</w:t>
      </w:r>
    </w:p>
    <w:p>
      <w:pPr>
        <w:spacing w:before="0" w:after="240"/>
        <w:ind w:left="1440" w:right="1440"/>
      </w:pPr>
      <w:r>
        <w:rPr>
          <w:rFonts w:ascii="Arial" w:cs="Arial" w:eastAsia="Arial" w:hAnsi="Arial"/>
          <w:b w:val="false"/>
          <w:bCs w:val="false"/>
          <w:i w:val="false"/>
          <w:iCs w:val="false"/>
          <w:color w:val="7E8691"/>
          <w:sz w:val="20"/>
          <w:szCs w:val="20"/>
        </w:rPr>
        <w:t>Ranked improvements by impact and urgency. Address CRITICAL items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600"/>
        <w:gridCol w:w="1440"/>
        <w:gridCol w:w="7320"/>
      </w:tblGrid>
      <w:tr>
        <w:tc>
          <w:tcPr>
            <w:tcW w:type="dxa" w:w="60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w:t>
            </w:r>
          </w:p>
        </w:tc>
        <w:tc>
          <w:tcPr>
            <w:tcW w:type="dxa" w:w="144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PRIORITY</w:t>
            </w:r>
          </w:p>
        </w:tc>
        <w:tc>
          <w:tcPr>
            <w:tcW w:type="dxa" w:w="7320"/>
            <w:tcBorders>
              <w:top w:val="single" w:color="DCE4EE" w:sz="4"/>
              <w:left w:val="single" w:color="DCE4EE" w:sz="4"/>
              <w:bottom w:val="single" w:color="DCE4EE" w:sz="4"/>
              <w:right w:val="single" w:color="DCE4EE" w:sz="4"/>
            </w:tcBorders>
            <w:shd w:fill="202937" w:val="clear"/>
            <w:tcMar>
              <w:top w:type="dxa" w:w="100"/>
              <w:left w:type="dxa" w:w="140"/>
              <w:bottom w:type="dxa" w:w="100"/>
              <w:right w:type="dxa" w:w="140"/>
            </w:tcMar>
          </w:tcPr>
          <w:p>
            <w:r>
              <w:rPr>
                <w:rFonts w:ascii="Arial" w:cs="Arial" w:eastAsia="Arial" w:hAnsi="Arial"/>
                <w:b/>
                <w:bCs/>
                <w:i w:val="false"/>
                <w:iCs w:val="false"/>
                <w:color w:val="FFFFFF"/>
                <w:sz w:val="20"/>
                <w:szCs w:val="20"/>
              </w:rPr>
              <w:t>DESCRIPTION</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1</w:t>
            </w:r>
          </w:p>
        </w:tc>
        <w:tc>
          <w:tcPr>
            <w:tcW w:type="dxa" w:w="144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vAlign w:val="center"/>
          </w:tcPr>
          <w:p>
            <w:pPr>
              <w:jc w:val="center"/>
            </w:pPr>
            <w:r>
              <w:rPr>
                <w:rFonts w:ascii="Arial" w:cs="Arial" w:eastAsia="Arial" w:hAnsi="Arial"/>
                <w:b/>
                <w:bCs/>
                <w:i w:val="false"/>
                <w:iCs w:val="false"/>
                <w:color w:val="B91C1C"/>
                <w:sz w:val="20"/>
                <w:szCs w:val="20"/>
              </w:rPr>
              <w:t>CRITICAL</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Build Complete Website Content: The site needs a homepage, services pages (pesticide testing, micro testing, heavy metals, mycotoxins), capabilities page, certifications page, about/team page, and contact page. This is not an update -- it is a ground-up content build. Without it, the business is invisible online.</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2</w:t>
            </w:r>
          </w:p>
        </w:tc>
        <w:tc>
          <w:tcPr>
            <w:tcW w:type="dxa" w:w="144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vAlign w:val="center"/>
          </w:tcPr>
          <w:p>
            <w:pPr>
              <w:jc w:val="center"/>
            </w:pPr>
            <w:r>
              <w:rPr>
                <w:rFonts w:ascii="Arial" w:cs="Arial" w:eastAsia="Arial" w:hAnsi="Arial"/>
                <w:b/>
                <w:bCs/>
                <w:i w:val="false"/>
                <w:iCs w:val="false"/>
                <w:color w:val="B91C1C"/>
                <w:sz w:val="20"/>
                <w:szCs w:val="20"/>
              </w:rPr>
              <w:t>CRITICAL</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Deploy A2LA Accreditation Front and Center: Add accreditation badges to the homepage hero, create a dedicated certifications page with downloadable A2LA certificates, and include the badge in the footer of every page. This is the #1 trust differentiator and it is completely missing.</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3</w:t>
            </w:r>
          </w:p>
        </w:tc>
        <w:tc>
          <w:tcPr>
            <w:tcW w:type="dxa" w:w="1440"/>
            <w:tcBorders>
              <w:top w:val="single" w:color="DCE4EE" w:sz="4"/>
              <w:left w:val="single" w:color="DCE4EE" w:sz="4"/>
              <w:bottom w:val="single" w:color="DCE4EE" w:sz="4"/>
              <w:right w:val="single" w:color="DCE4EE" w:sz="4"/>
            </w:tcBorders>
            <w:shd w:fill="FFF0F0" w:val="clear"/>
            <w:tcMar>
              <w:top w:type="dxa" w:w="100"/>
              <w:left w:type="dxa" w:w="140"/>
              <w:bottom w:type="dxa" w:w="100"/>
              <w:right w:type="dxa" w:w="140"/>
            </w:tcMar>
            <w:vAlign w:val="center"/>
          </w:tcPr>
          <w:p>
            <w:pPr>
              <w:jc w:val="center"/>
            </w:pPr>
            <w:r>
              <w:rPr>
                <w:rFonts w:ascii="Arial" w:cs="Arial" w:eastAsia="Arial" w:hAnsi="Arial"/>
                <w:b/>
                <w:bCs/>
                <w:i w:val="false"/>
                <w:iCs w:val="false"/>
                <w:color w:val="B91C1C"/>
                <w:sz w:val="20"/>
                <w:szCs w:val="20"/>
              </w:rPr>
              <w:t>CRITICAL</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Build a Sample Submission / Contact System: Implement an online sample submission request form as the primary conversion tool. Include a general contact form, phone number, and email on every page. Currently there is zero way to convert a website visitor into a client.</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4</w:t>
            </w:r>
          </w:p>
        </w:tc>
        <w:tc>
          <w:tcPr>
            <w:tcW w:type="dxa" w:w="1440"/>
            <w:tcBorders>
              <w:top w:val="single" w:color="DCE4EE" w:sz="4"/>
              <w:left w:val="single" w:color="DCE4EE" w:sz="4"/>
              <w:bottom w:val="single" w:color="DCE4EE" w:sz="4"/>
              <w:right w:val="single" w:color="DCE4EE" w:sz="4"/>
            </w:tcBorders>
            <w:shd w:fill="FFF8EE" w:val="clear"/>
            <w:tcMar>
              <w:top w:type="dxa" w:w="100"/>
              <w:left w:type="dxa" w:w="140"/>
              <w:bottom w:type="dxa" w:w="100"/>
              <w:right w:type="dxa" w:w="140"/>
            </w:tcMar>
            <w:vAlign w:val="center"/>
          </w:tcPr>
          <w:p>
            <w:pPr>
              <w:jc w:val="center"/>
            </w:pPr>
            <w:r>
              <w:rPr>
                <w:rFonts w:ascii="Arial" w:cs="Arial" w:eastAsia="Arial" w:hAnsi="Arial"/>
                <w:b/>
                <w:bCs/>
                <w:i w:val="false"/>
                <w:iCs w:val="false"/>
                <w:color w:val="C05D0A"/>
                <w:sz w:val="20"/>
                <w:szCs w:val="20"/>
              </w:rPr>
              <w:t>HIGH</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Set Up Google Analytics 4 and Search Console: Connect GA4 for traffic tracking and GSC for search performance monitoring. Without these, every marketing dollar spent is unmeasurable.</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5</w:t>
            </w:r>
          </w:p>
        </w:tc>
        <w:tc>
          <w:tcPr>
            <w:tcW w:type="dxa" w:w="1440"/>
            <w:tcBorders>
              <w:top w:val="single" w:color="DCE4EE" w:sz="4"/>
              <w:left w:val="single" w:color="DCE4EE" w:sz="4"/>
              <w:bottom w:val="single" w:color="DCE4EE" w:sz="4"/>
              <w:right w:val="single" w:color="DCE4EE" w:sz="4"/>
            </w:tcBorders>
            <w:shd w:fill="FFF8EE" w:val="clear"/>
            <w:tcMar>
              <w:top w:type="dxa" w:w="100"/>
              <w:left w:type="dxa" w:w="140"/>
              <w:bottom w:type="dxa" w:w="100"/>
              <w:right w:type="dxa" w:w="140"/>
            </w:tcMar>
            <w:vAlign w:val="center"/>
          </w:tcPr>
          <w:p>
            <w:pPr>
              <w:jc w:val="center"/>
            </w:pPr>
            <w:r>
              <w:rPr>
                <w:rFonts w:ascii="Arial" w:cs="Arial" w:eastAsia="Arial" w:hAnsi="Arial"/>
                <w:b/>
                <w:bCs/>
                <w:i w:val="false"/>
                <w:iCs w:val="false"/>
                <w:color w:val="C05D0A"/>
                <w:sz w:val="20"/>
                <w:szCs w:val="20"/>
              </w:rPr>
              <w:t>HIGH</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Optimize Google Business Profile: Claim, verify, and fully optimize the GBP with services, photos of the lab and equipment, hours, and regular posts. This drives local search visibility immediately.</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6</w:t>
            </w:r>
          </w:p>
        </w:tc>
        <w:tc>
          <w:tcPr>
            <w:tcW w:type="dxa" w:w="1440"/>
            <w:tcBorders>
              <w:top w:val="single" w:color="DCE4EE" w:sz="4"/>
              <w:left w:val="single" w:color="DCE4EE" w:sz="4"/>
              <w:bottom w:val="single" w:color="DCE4EE" w:sz="4"/>
              <w:right w:val="single" w:color="DCE4EE" w:sz="4"/>
            </w:tcBorders>
            <w:shd w:fill="FFF8EE" w:val="clear"/>
            <w:tcMar>
              <w:top w:type="dxa" w:w="100"/>
              <w:left w:type="dxa" w:w="140"/>
              <w:bottom w:type="dxa" w:w="100"/>
              <w:right w:type="dxa" w:w="140"/>
            </w:tcMar>
            <w:vAlign w:val="center"/>
          </w:tcPr>
          <w:p>
            <w:pPr>
              <w:jc w:val="center"/>
            </w:pPr>
            <w:r>
              <w:rPr>
                <w:rFonts w:ascii="Arial" w:cs="Arial" w:eastAsia="Arial" w:hAnsi="Arial"/>
                <w:b/>
                <w:bCs/>
                <w:i w:val="false"/>
                <w:iCs w:val="false"/>
                <w:color w:val="C05D0A"/>
                <w:sz w:val="20"/>
                <w:szCs w:val="20"/>
              </w:rPr>
              <w:t>HIGH</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Create Service-Specific Landing Pages: Build individual pages for pesticide residue analysis, microbiological testing, heavy metals, and mycotoxins. Each page should target specific search queries that produce growers use.</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7</w:t>
            </w:r>
          </w:p>
        </w:tc>
        <w:tc>
          <w:tcPr>
            <w:tcW w:type="dxa" w:w="1440"/>
            <w:tcBorders>
              <w:top w:val="single" w:color="DCE4EE" w:sz="4"/>
              <w:left w:val="single" w:color="DCE4EE" w:sz="4"/>
              <w:bottom w:val="single" w:color="DCE4EE" w:sz="4"/>
              <w:right w:val="single" w:color="DCE4EE" w:sz="4"/>
            </w:tcBorders>
            <w:shd w:fill="FFF8EE" w:val="clear"/>
            <w:tcMar>
              <w:top w:type="dxa" w:w="100"/>
              <w:left w:type="dxa" w:w="140"/>
              <w:bottom w:type="dxa" w:w="100"/>
              <w:right w:type="dxa" w:w="140"/>
            </w:tcMar>
            <w:vAlign w:val="center"/>
          </w:tcPr>
          <w:p>
            <w:pPr>
              <w:jc w:val="center"/>
            </w:pPr>
            <w:r>
              <w:rPr>
                <w:rFonts w:ascii="Arial" w:cs="Arial" w:eastAsia="Arial" w:hAnsi="Arial"/>
                <w:b/>
                <w:bCs/>
                <w:i w:val="false"/>
                <w:iCs w:val="false"/>
                <w:color w:val="C05D0A"/>
                <w:sz w:val="20"/>
                <w:szCs w:val="20"/>
              </w:rPr>
              <w:t>HIGH</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Add Laboratory Photography: Commission professional photos of the facility, instrumentation, sample handling, and team. Visual credibility is non-negotiable for a laboratory selling trust.</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8</w:t>
            </w:r>
          </w:p>
        </w:tc>
        <w:tc>
          <w:tcPr>
            <w:tcW w:type="dxa" w:w="144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3"/>
                <w:sz w:val="20"/>
                <w:szCs w:val="20"/>
              </w:rPr>
              <w:t>MEDIUM</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Implement XML Sitemap and Robots.txt: Ensure proper crawl directives are in place so search engines can efficiently index all new content as it is published.</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9</w:t>
            </w:r>
          </w:p>
        </w:tc>
        <w:tc>
          <w:tcPr>
            <w:tcW w:type="dxa" w:w="144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3"/>
                <w:sz w:val="20"/>
                <w:szCs w:val="20"/>
              </w:rPr>
              <w:t>MEDIUM</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Build Directory Listings: Register Empiria in laboratory directories, A2LA's public directory, local business directories, and produce industry association listings.</w:t>
            </w:r>
          </w:p>
        </w:tc>
      </w:tr>
      <w:tr>
        <w:tc>
          <w:tcPr>
            <w:tcW w:type="dxa" w:w="60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E85D1A"/>
                <w:sz w:val="20"/>
                <w:szCs w:val="20"/>
              </w:rPr>
              <w:t>10</w:t>
            </w:r>
          </w:p>
        </w:tc>
        <w:tc>
          <w:tcPr>
            <w:tcW w:type="dxa" w:w="1440"/>
            <w:tcBorders>
              <w:top w:val="single" w:color="DCE4EE" w:sz="4"/>
              <w:left w:val="single" w:color="DCE4EE" w:sz="4"/>
              <w:bottom w:val="single" w:color="DCE4EE" w:sz="4"/>
              <w:right w:val="single" w:color="DCE4EE" w:sz="4"/>
            </w:tcBorders>
            <w:shd w:fill="F0FBF4" w:val="clear"/>
            <w:tcMar>
              <w:top w:type="dxa" w:w="100"/>
              <w:left w:type="dxa" w:w="140"/>
              <w:bottom w:type="dxa" w:w="100"/>
              <w:right w:type="dxa" w:w="140"/>
            </w:tcMar>
            <w:vAlign w:val="center"/>
          </w:tcPr>
          <w:p>
            <w:pPr>
              <w:jc w:val="center"/>
            </w:pPr>
            <w:r>
              <w:rPr>
                <w:rFonts w:ascii="Arial" w:cs="Arial" w:eastAsia="Arial" w:hAnsi="Arial"/>
                <w:b/>
                <w:bCs/>
                <w:i w:val="false"/>
                <w:iCs w:val="false"/>
                <w:color w:val="1E7D43"/>
                <w:sz w:val="20"/>
                <w:szCs w:val="20"/>
              </w:rPr>
              <w:t>MEDIUM</w:t>
            </w:r>
          </w:p>
        </w:tc>
        <w:tc>
          <w:tcPr>
            <w:tcW w:type="dxa" w:w="7320"/>
            <w:tcBorders>
              <w:top w:val="single" w:color="DCE4EE" w:sz="4"/>
              <w:left w:val="single" w:color="DCE4EE" w:sz="4"/>
              <w:bottom w:val="single" w:color="DCE4EE" w:sz="4"/>
              <w:right w:val="single" w:color="DCE4EE" w:sz="4"/>
            </w:tcBorders>
            <w:shd w:fill="FFFFFF" w:val="clear"/>
            <w:tcMar>
              <w:top w:type="dxa" w:w="100"/>
              <w:left w:type="dxa" w:w="140"/>
              <w:bottom w:type="dxa" w:w="100"/>
              <w:right w:type="dxa" w:w="140"/>
            </w:tcMar>
          </w:tcPr>
          <w:p>
            <w:r>
              <w:rPr>
                <w:rFonts w:ascii="Arial" w:cs="Arial" w:eastAsia="Arial" w:hAnsi="Arial"/>
                <w:b w:val="false"/>
                <w:bCs w:val="false"/>
                <w:i w:val="false"/>
                <w:iCs w:val="false"/>
                <w:color w:val="1A2332"/>
                <w:sz w:val="20"/>
                <w:szCs w:val="20"/>
              </w:rPr>
              <w:t>Start Content Marketing: Publish monthly articles about FSMA compliance, pesticide testing requirements, and food safety best practices. This builds topical authority and captures informational search traffic.</w:t>
            </w:r>
          </w:p>
        </w:tc>
      </w:tr>
    </w:tbl>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13</w:t>
      </w:r>
    </w:p>
    <w:p>
      <w:pPr>
        <w:spacing w:before="0" w:after="100"/>
        <w:keepNext/>
        <w:keepLines/>
        <w:ind w:left="1440" w:right="1440"/>
      </w:pPr>
      <w:r>
        <w:rPr>
          <w:rFonts w:ascii="Arial" w:cs="Arial" w:eastAsia="Arial" w:hAnsi="Arial"/>
          <w:b/>
          <w:bCs/>
          <w:i w:val="false"/>
          <w:iCs w:val="false"/>
          <w:color w:val="162336"/>
          <w:sz w:val="36"/>
          <w:szCs w:val="36"/>
        </w:rPr>
        <w:t>90-Day Fix Roadmap</w:t>
      </w:r>
    </w:p>
    <w:p>
      <w:pPr>
        <w:spacing w:before="0" w:after="240"/>
        <w:ind w:left="1440" w:right="1440"/>
      </w:pPr>
      <w:r>
        <w:rPr>
          <w:rFonts w:ascii="Arial" w:cs="Arial" w:eastAsia="Arial" w:hAnsi="Arial"/>
          <w:b w:val="false"/>
          <w:bCs w:val="false"/>
          <w:i w:val="false"/>
          <w:iCs w:val="false"/>
          <w:color w:val="7E8691"/>
          <w:sz w:val="20"/>
          <w:szCs w:val="20"/>
        </w:rPr>
        <w:t>A phased execution plan to transform the website from a digital liability into the company's strongest lead generation asset.</w:t>
      </w:r>
    </w:p>
    <w:p>
      <w:pPr>
        <w:spacing w:before="200" w:after="120"/>
        <w:ind w:left="1440" w:right="1440"/>
      </w:pPr>
      <w:r>
        <w:rPr>
          <w:rFonts w:ascii="Arial" w:cs="Arial" w:eastAsia="Arial" w:hAnsi="Arial"/>
          <w:b/>
          <w:bCs/>
          <w:i w:val="false"/>
          <w:iCs w:val="false"/>
          <w:color w:val="E85D1A"/>
          <w:sz w:val="22"/>
          <w:szCs w:val="22"/>
        </w:rPr>
        <w:t>PHASE 1 — Days 1–30: Foundation</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Deploy complete website with all core pages (home, services x4, capabilities, certifications, team, contact). Target: live within 30 days.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Connect Google Analytics 4, Search Console, and implement conversion tracking on all forms.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Claim and fully optimize Google Business Profile with services, photos, hours, and first 4 posts.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Add A2LA badges, downloadable certificates, and trust signals across the entire site.</w:t>
      </w:r>
    </w:p>
    <w:p>
      <w:pPr>
        <w:spacing w:before="200" w:after="120"/>
        <w:ind w:left="1440" w:right="1440"/>
      </w:pPr>
      <w:r>
        <w:rPr>
          <w:rFonts w:ascii="Arial" w:cs="Arial" w:eastAsia="Arial" w:hAnsi="Arial"/>
          <w:b/>
          <w:bCs/>
          <w:i w:val="false"/>
          <w:iCs w:val="false"/>
          <w:color w:val="E85D1A"/>
          <w:sz w:val="22"/>
          <w:szCs w:val="22"/>
        </w:rPr>
        <w:t>PHASE 2 — Days 31–60: Content &amp; Trust</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Publish 4 service-specific landing pages optimized for local search queries (pesticide testing, micro testing, heavy metals, mycotoxins + "Edinburg TX" / "RGV" / "South Texas").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Write and publish 2 educational blog posts: "What Produce Growers Need to Know About FSMA Testing Requirements" and "Why ISO 17025 Accreditation Matters for Your Test Results."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Build out capabilities page with full equipment list, methodologies, and turnaround time commitments.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Register in 5+ laboratory directories and industry listings with consistent NAP (Name, Address, Phone) information.</w:t>
      </w:r>
    </w:p>
    <w:p>
      <w:pPr>
        <w:spacing w:before="200" w:after="120"/>
        <w:ind w:left="1440" w:right="1440"/>
      </w:pPr>
      <w:r>
        <w:rPr>
          <w:rFonts w:ascii="Arial" w:cs="Arial" w:eastAsia="Arial" w:hAnsi="Arial"/>
          <w:b/>
          <w:bCs/>
          <w:i w:val="false"/>
          <w:iCs w:val="false"/>
          <w:color w:val="E85D1A"/>
          <w:sz w:val="22"/>
          <w:szCs w:val="22"/>
        </w:rPr>
        <w:t>PHASE 3 — Days 61–90: Lead Generation &amp; SEO Flywheel</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Publish 2 additional blog posts targeting long-tail keywords in the produce testing space.</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Launch Google Business Profile posting schedule (2x/month) with lab updates, team highlights, and industry insights.</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Implement structured data markup (LocalBusiness, Laboratory) for enhanced search result appearance.</w:t>
      </w:r>
    </w:p>
    <w:p>
      <w:pPr>
        <w:pStyle w:val="ListParagraph"/>
        <w:numPr>
          <w:ilvl w:val="0"/>
          <w:numId w:val="2"/>
        </w:numPr>
        <w:spacing w:before="80" w:after="0"/>
        <w:ind w:left="1440" w:right="1440"/>
      </w:pPr>
      <w:r>
        <w:rPr>
          <w:rFonts w:ascii="Arial" w:cs="Arial" w:eastAsia="Arial" w:hAnsi="Arial"/>
          <w:b w:val="false"/>
          <w:bCs w:val="false"/>
          <w:i w:val="false"/>
          <w:iCs w:val="false"/>
          <w:color w:val="7E8691"/>
          <w:sz w:val="20"/>
          <w:szCs w:val="20"/>
        </w:rPr>
        <w:t>Begin backlink outreach to produce industry associations, RGV business organizations, and A2LA's directory for referral traffic.</w:t>
      </w:r>
    </w:p>
    <w:p>
      <w:r>
        <w:br w:type="page"/>
      </w:r>
      <w:pPr>
        <w:ind w:left="1440" w:right="1440"/>
      </w:pPr>
    </w:p>
    <w:p>
      <w:pPr>
        <w:spacing w:before="360" w:after="40"/>
        <w:keepNext/>
        <w:keepLines/>
        <w:ind w:left="1440" w:right="1440"/>
      </w:pPr>
      <w:r>
        <w:rPr>
          <w:rFonts w:ascii="Arial" w:cs="Arial" w:eastAsia="Arial" w:hAnsi="Arial"/>
          <w:b/>
          <w:bCs/>
          <w:i w:val="false"/>
          <w:iCs w:val="false"/>
          <w:color w:val="E85D1A"/>
          <w:sz w:val="17"/>
          <w:szCs w:val="17"/>
        </w:rPr>
        <w:t>SECTION 14</w:t>
      </w:r>
    </w:p>
    <w:p>
      <w:pPr>
        <w:spacing w:before="0" w:after="100"/>
        <w:ind w:left="1440" w:right="1440"/>
      </w:pPr>
      <w:r>
        <w:rPr>
          <w:rFonts w:ascii="Arial" w:cs="Arial" w:eastAsia="Arial" w:hAnsi="Arial"/>
          <w:b/>
          <w:bCs/>
          <w:i w:val="false"/>
          <w:iCs w:val="false"/>
          <w:color w:val="162336"/>
          <w:sz w:val="36"/>
          <w:szCs w:val="36"/>
        </w:rPr>
        <w:t>Strategic Opportunity</w:t>
      </w:r>
    </w:p>
    <w:p>
      <w:pPr>
        <w:spacing w:before="80" w:after="80"/>
        <w:ind w:left="1440" w:right="1440"/>
      </w:pPr>
      <w:r>
        <w:rPr>
          <w:rFonts w:ascii="Arial" w:cs="Arial" w:eastAsia="Arial" w:hAnsi="Arial"/>
          <w:b w:val="false"/>
          <w:bCs w:val="false"/>
          <w:i/>
          <w:iCs/>
          <w:color w:val="AAAAAA"/>
          <w:sz w:val="20"/>
          <w:szCs w:val="20"/>
        </w:rPr>
      </w:r>
    </w:p>
    <w:p>
      <w:pPr>
        <w:spacing w:before="200" w:after="0"/>
        <w:ind w:left="1440" w:right="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Ind w:w="1440" w:type="dxa"/>
      </w:tblPr>
      <w:tblGrid>
        <w:gridCol w:w="9360"/>
      </w:tblGrid>
      <w:tr>
        <w:tc>
          <w:tcPr>
            <w:tcW w:type="dxa" w:w="9360"/>
            <w:tcBorders>
              <w:top w:val="none" w:color="FFFFFF" w:sz="0"/>
              <w:left w:val="single" w:color="E85D1A" w:sz="28"/>
              <w:bottom w:val="none" w:color="FFFFFF" w:sz="0"/>
              <w:right w:val="none" w:color="FFFFFF" w:sz="0"/>
            </w:tcBorders>
            <w:shd w:fill="202937" w:val="clear"/>
            <w:tcMar>
              <w:top w:type="dxa" w:w="240"/>
              <w:left w:type="dxa" w:w="280"/>
              <w:bottom w:type="dxa" w:w="240"/>
              <w:right w:type="dxa" w:w="280"/>
            </w:tcMar>
          </w:tcPr>
          <w:p>
            <w:pPr>
              <w:spacing w:before="0" w:after="120"/>
            </w:pPr>
            <w:r>
              <w:rPr>
                <w:rFonts w:ascii="Arial" w:cs="Arial" w:eastAsia="Arial" w:hAnsi="Arial"/>
                <w:b w:val="false"/>
                <w:bCs w:val="false"/>
                <w:i/>
                <w:iCs/>
                <w:color w:val="FFFFFF"/>
                <w:sz w:val="20"/>
                <w:szCs w:val="20"/>
              </w:rPr>
              <w:t>"Empiria Labs has earned the credentials that competitors spend years pursuing. The only thing standing between this lab and a full testing pipeline is a website that tells the truth about what it actually is. The competitive window is open -- but national labs are actively expanding their Texas footprints to close it."</w:t>
            </w:r>
          </w:p>
          <w:p>
            <w:pPr>
              <w:spacing w:before="0" w:after="0"/>
            </w:pPr>
            <w:r>
              <w:rPr>
                <w:rFonts w:ascii="Arial" w:cs="Arial" w:eastAsia="Arial" w:hAnsi="Arial"/>
                <w:b w:val="false"/>
                <w:bCs w:val="false"/>
                <w:i w:val="false"/>
                <w:iCs w:val="false"/>
                <w:color w:val="E85D1A"/>
                <w:sz w:val="18"/>
                <w:szCs w:val="18"/>
              </w:rPr>
              <w:t>— Maker Web Studios Audit Finding</w:t>
            </w:r>
          </w:p>
        </w:tc>
      </w:tr>
    </w:tbl>
    <w:sectPr>
      <w:headerReference w:type="default" r:id="rId6"/>
      <w:footerReference w:type="default" r:id="rId7"/>
      <w:headerReference w:type="first" r:id="rId15"/>
      <w:footerReference w:type="first" r:id="rId16"/>
      <w:pgSz w:w="12240" w:h="15840" w:orient="portrait"/>
      <w:pgMar w:top="0" w:right="0" w:bottom="0" w:left="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Empiria Labs</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xmlns:a="http://schemas.openxmlformats.org/drawingml/2006/main" xmlns:pic="http://schemas.openxmlformats.org/drawingml/2006/picture">
    <w:tblPr>
      <w:tblW w:w="936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tr>
      <w:tc>
        <w:tcPr>
          <w:tcW w:w="1080" w:type="dxa"/>
          <w:vAlign w:val="center"/>
        </w:tcPr>
        <w:p>
          <w:pPr>
            <w:jc w:val="left"/>
          </w:pPr>
          <w:r>
            <w:drawing>
              <wp:inline distT="0" distB="0" distL="0" distR="0">
                <wp:extent cx="274320" cy="274320"/>
                <wp:docPr id="200" name="Footer Logo"/>
                <a:graphic>
                  <a:graphicData uri="http://schemas.openxmlformats.org/drawingml/2006/picture">
                    <pic:pic>
                      <pic:nvPicPr>
                        <pic:cNvPr id="200" name="logo.png"/>
                        <pic:cNvPicPr/>
                      </pic:nvPicPr>
                      <pic:blipFill>
                        <a:blip r:embed="rId1"/>
                        <a:stretch>
                          <a:fillRect/>
                        </a:stretch>
                      </pic:blipFill>
                      <pic:spPr>
                        <a:xfrm>
                          <a:off x="0" y="0"/>
                          <a:ext cx="274320" cy="274320"/>
                        </a:xfrm>
                        <a:prstGeom prst="rect">
                          <a:avLst/>
                        </a:prstGeom>
                        <a:ln>
                          <a:noFill/>
                        </a:ln>
                      </pic:spPr>
                    </pic:pic>
                  </a:graphicData>
                </a:graphic>
              </wp:inline>
            </w:drawing>
          </w:r>
        </w:p>
      </w:tc>
      <w:tc>
        <w:tcPr>
          <w:tcW w:w="7200" w:type="dxa"/>
          <w:vAlign w:val="center"/>
        </w:tcPr>
        <w:p>
          <w:pPr>
            <w:jc w:val="center"/>
            <w:spacing w:after="0" w:line="240" w:lineRule="auto"/>
          </w:pPr>
          <w:r>
            <w:rPr>
              <w:rFonts w:ascii="Calibri" w:hAnsi="Calibri"/>
              <w:sz w:val="14"/>
              <w:szCs w:val="14"/>
              <w:color w:val="7E8691"/>
            </w:rPr>
            <w:t>CONFIDENTIAL — PREPARED EXCLUSIVELY FOR [CLIENT NAME]</w:t>
          </w:r>
        </w:p>
        <w:p>
          <w:pPr>
            <w:jc w:val="center"/>
            <w:spacing w:before="0" w:after="0" w:line="240" w:lineRule="auto"/>
          </w:pPr>
          <w:r>
            <w:rPr>
              <w:rFonts w:ascii="Calibri" w:hAnsi="Calibri"/>
              <w:sz w:val="14"/>
              <w:szCs w:val="14"/>
              <w:color w:val="7E8691"/>
            </w:rPr>
            <w:t>www.makerwebstudios.com</w:t>
          </w:r>
        </w:p>
      </w:tc>
      <w:tc>
        <w:tcPr>
          <w:tcW w:w="1080" w:type="dxa"/>
          <w:vAlign w:val="center"/>
        </w:tcPr>
        <w:p>
          <w:pPr>
            <w:jc w:val="right"/>
          </w:pPr>
          <w:r>
            <w:drawing>
              <wp:inline distT="0" distB="0" distL="0" distR="0">
                <wp:extent cx="274320" cy="274320"/>
                <wp:docPr id="201" name="QR Code"/>
                <a:graphic>
                  <a:graphicData uri="http://schemas.openxmlformats.org/drawingml/2006/picture">
                    <pic:pic>
                      <pic:nvPicPr>
                        <pic:cNvPr id="201" name="qr.png"/>
                        <pic:cNvPicPr/>
                      </pic:nvPicPr>
                      <pic:blipFill>
                        <a:blip r:embed="rId2"/>
                        <a:stretch>
                          <a:fillRect/>
                        </a:stretch>
                      </pic:blipFill>
                      <pic:spPr>
                        <a:xfrm>
                          <a:off x="0" y="0"/>
                          <a:ext cx="274320" cy="274320"/>
                        </a:xfrm>
                        <a:prstGeom prst="rect">
                          <a:avLst/>
                        </a:prstGeom>
                        <a:ln>
                          <a:noFill/>
                        </a:ln>
                      </pic:spPr>
                    </pic:pic>
                  </a:graphicData>
                </a:graphic>
              </wp:inline>
            </w:drawing>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1A" w:sz="6" w:space="1"/>
      </w:pBdr>
      <w:tabs>
        <w:tab w:val="right" w:pos="9360"/>
      </w:tabs>
      <w:spacing w:before="0" w:after="200"/>
    </w:pPr>
    <w:r/>
    <w:r>
      <w:rPr>
        <w:rFonts w:ascii="Arial" w:cs="Arial" w:eastAsia="Arial" w:hAnsi="Arial"/>
        <w:b/>
        <w:bCs/>
        <w:caps/>
        <w:color w:val="E85D1A"/>
        <w:sz w:val="18"/>
        <w:szCs w:val="18"/>
      </w:rPr>
    </w:r>
    <w:r>
      <w:rPr>
        <w:rFonts w:ascii="Arial" w:cs="Arial" w:eastAsia="Arial" w:hAnsi="Arial"/>
        <w:sz w:val="18"/>
        <w:szCs w:val="18"/>
      </w:rPr>
    </w:r>
    <w:r>
      <w:rPr>
        <w:rFonts w:ascii="Arial" w:cs="Arial" w:eastAsia="Arial" w:hAnsi="Arial"/>
        <w:color w:val="7E8691"/>
        <w:sz w:val="18"/>
        <w:szCs w:val="18"/>
      </w:rPr>
      <w:t>MAKER WEB STUDIOS</w:t>
      <w:tab/>
      <w:t>Empiria Labs | DIGITAL PRESENCE AUDIT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b38e8080f2c68cd11e9f3e82cddd5de9969f5b.jpg"/><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0" Type="http://schemas.openxmlformats.org/officeDocument/2006/relationships/image" Target="media/03b38e8080f2c68cd11e9f3e82cddd5de9969f5b.jpg"/><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2026-03-24T16:15:07.176Z</dcterms:created>
  <dcterms:modified xsi:type="dcterms:W3CDTF">2026-03-24T16:15:07.177Z</dcterms:modified>
</cp:coreProperties>
</file>

<file path=docProps/custom.xml><?xml version="1.0" encoding="utf-8"?>
<Properties xmlns="http://schemas.openxmlformats.org/officeDocument/2006/custom-properties" xmlns:vt="http://schemas.openxmlformats.org/officeDocument/2006/docPropsVTypes"/>
</file>