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0E1B2B" w:val="clear"/>
            <w:tcMar>
              <w:top w:type="dxa" w:w="1440"/>
              <w:left w:type="dxa" w:w="1440"/>
              <w:bottom w:type="dxa" w:w="1440"/>
              <w:right w:type="dxa" w:w="1440"/>
            </w:tcMa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color="FFFFFF" w:sz="0"/>
                    <w:left w:val="none" w:color="FFFFFF" w:sz="0"/>
                    <w:bottom w:val="none" w:color="FFFFFF" w:sz="0"/>
                    <w:right w:val="none" w:color="FFFFFF" w:sz="0"/>
                  </w:tcBorders>
                  <w:tcMar>
                    <w:top w:type="dxa" w:w="100"/>
                    <w:left w:type="dxa" w:w="120"/>
                    <w:bottom w:type="dxa" w:w="100"/>
                    <w:right w:type="dxa" w:w="120"/>
                  </w:tcMar>
                </w:tcPr>
                <w:p>
                  <w:pPr>
                    <w:spacing w:before="0" w:after="40"/>
                  </w:pPr>
                  <w:r>
                    <w:drawing>
                      <wp:inline distT="0" distB="0" distL="0" distR="0">
                        <wp:extent cx="571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542925"/>
                                </a:xfrm>
                                <a:prstGeom prst="rect">
                                  <a:avLst/>
                                </a:prstGeom>
                              </pic:spPr>
                            </pic:pic>
                          </a:graphicData>
                        </a:graphic>
                      </wp:inline>
                    </w:drawing>
                  </w:r>
                </w:p>
                <w:p>
                  <w:pPr>
                    <w:spacing w:before="0" w:after="0"/>
                  </w:pPr>
                  <w:r>
                    <w:rPr>
                      <w:rFonts w:ascii="Arial" w:cs="Arial" w:eastAsia="Arial" w:hAnsi="Arial"/>
                      <w:b/>
                      <w:bCs/>
                      <w:i w:val="false"/>
                      <w:iCs w:val="false"/>
                      <w:color w:val="FFFFFF"/>
                      <w:sz w:val="18"/>
                      <w:szCs w:val="18"/>
                    </w:rPr>
                    <w:t xml:space="preserve"/>
                  </w:r>
                </w:p>
              </w:tc>
            </w:tr>
          </w:tbl>
          <w:p>
            <w:pPr>
              <w:spacing w:before="400" w:after="120"/>
            </w:pPr>
            <w:r>
              <w:rPr>
                <w:rFonts w:ascii="Arial" w:cs="Arial" w:eastAsia="Arial" w:hAnsi="Arial"/>
                <w:b/>
                <w:bCs/>
                <w:i w:val="false"/>
                <w:iCs w:val="false"/>
                <w:color w:val="E85D1A"/>
                <w:sz w:val="18"/>
                <w:szCs w:val="18"/>
              </w:rPr>
              <w:t>MARKET ANALYSIS &amp; 5-YEAR FORECAST</w:t>
            </w:r>
          </w:p>
          <w:p>
            <w:pPr>
              <w:spacing w:before="0" w:after="40"/>
            </w:pPr>
            <w:r>
              <w:rPr>
                <w:rFonts w:ascii="Arial" w:cs="Arial" w:eastAsia="Arial" w:hAnsi="Arial"/>
                <w:b/>
                <w:bCs/>
                <w:i w:val="false"/>
                <w:iCs w:val="false"/>
                <w:color w:val="FFFFFF"/>
                <w:sz w:val="68"/>
                <w:szCs w:val="68"/>
              </w:rPr>
              <w:t>MARKET ANALYSIS</w:t>
            </w:r>
          </w:p>
          <w:p>
            <w:pPr>
              <w:spacing w:before="0" w:after="0"/>
            </w:pPr>
            <w:r>
              <w:rPr>
                <w:rFonts w:ascii="Arial" w:cs="Arial" w:eastAsia="Arial" w:hAnsi="Arial"/>
                <w:b/>
                <w:bCs/>
                <w:i w:val="false"/>
                <w:iCs w:val="false"/>
                <w:color w:val="FFFFFF"/>
                <w:sz w:val="68"/>
                <w:szCs w:val="68"/>
              </w:rPr>
              <w:t>&amp; 5-YEAR FORECAST</w:t>
            </w:r>
          </w:p>
          <w:p>
            <w:pPr>
              <w:pBdr>
                <w:bottom w:val="single" w:color="E85D1A" w:sz="8"/>
              </w:pBdr>
              <w:spacing w:before="280" w:after="280"/>
            </w:pPr>
          </w:p>
          <w:p>
            <w:pPr>
              <w:spacing w:before="0" w:after="80"/>
            </w:pPr>
            <w:r>
              <w:rPr>
                <w:rFonts w:ascii="Arial" w:cs="Arial" w:eastAsia="Arial" w:hAnsi="Arial"/>
                <w:b w:val="false"/>
                <w:bCs w:val="false"/>
                <w:i w:val="false"/>
                <w:iCs w:val="false"/>
                <w:color w:val="FFFFFF"/>
                <w:sz w:val="22"/>
                <w:szCs w:val="22"/>
              </w:rPr>
              <w:t>Food Safety Testing &amp; Analytical Laboratory Services Market Intelligence for Empiria Labs</w:t>
            </w:r>
          </w:p>
          <w:p>
            <w:pPr>
              <w:spacing w:before="0" w:after="0"/>
            </w:pP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t>● Edinburg, TX ● March 2026 ● Prepared by Maker Web Studios</w:t>
            </w:r>
          </w:p>
          <w:p>
            <w:pPr>
              <w:pBdr>
                <w:top w:val="single" w:color="2A3A4A" w:sz="4"/>
              </w:pBdr>
              <w:spacing w:before="3200" w:after="0"/>
            </w:pPr>
            <w:r>
              <w:rPr>
                <w:rFonts w:ascii="Arial" w:cs="Arial" w:eastAsia="Arial" w:hAnsi="Arial"/>
                <w:b w:val="false"/>
                <w:bCs w:val="false"/>
                <w:i w:val="false"/>
                <w:iCs w:val="false"/>
                <w:color w:val="7E8691"/>
                <w:sz w:val="18"/>
                <w:szCs w:val="18"/>
              </w:rPr>
              <w:t>CONFIDENTIAL — PREPARED EXCLUSIVELY FOR Empiria Labs</w:t>
            </w:r>
          </w:p>
        </w:tc>
      </w:tr>
    </w:tbl>
    <w:p>
      <w:pPr>
        <w:spacing w:before="360" w:after="40"/>
        <w:keepNext/>
        <w:keepLines/>
        <w:ind w:left="1440" w:right="1440"/>
      </w:pPr>
      <w:r>
        <w:rPr>
          <w:rFonts w:ascii="Arial" w:cs="Arial" w:eastAsia="Arial" w:hAnsi="Arial"/>
          <w:b/>
          <w:bCs/>
          <w:i w:val="false"/>
          <w:iCs w:val="false"/>
          <w:color w:val="E85D1A"/>
          <w:sz w:val="17"/>
          <w:szCs w:val="17"/>
        </w:rPr>
        <w:t>SECTION 00</w:t>
      </w:r>
    </w:p>
    <w:p>
      <w:pPr>
        <w:spacing w:before="0" w:after="100"/>
        <w:ind w:left="1440" w:right="1440"/>
      </w:pPr>
      <w:r>
        <w:rPr>
          <w:rFonts w:ascii="Arial" w:cs="Arial" w:eastAsia="Arial" w:hAnsi="Arial"/>
          <w:b/>
          <w:bCs/>
          <w:i w:val="false"/>
          <w:iCs w:val="false"/>
          <w:color w:val="162336"/>
          <w:sz w:val="36"/>
          <w:szCs w:val="36"/>
        </w:rPr>
        <w:t>Table of Contents</w:t>
      </w:r>
    </w:p>
    <w:p>
      <w:pPr>
        <w:spacing w:before="0" w:after="60"/>
        <w:keepNext/>
        <w:keepLines/>
        <w:ind w:left="1440" w:right="1440"/>
      </w:pPr>
      <w:r>
        <w:rPr>
          <w:rFonts w:ascii="Arial" w:cs="Arial" w:eastAsia="Arial" w:hAnsi="Arial"/>
          <w:b w:val="false"/>
          <w:bCs w:val="false"/>
          <w:i w:val="false"/>
          <w:iCs w:val="false"/>
          <w:color w:val="7E8691"/>
          <w:sz w:val="20"/>
          <w:szCs w:val="20"/>
        </w:rPr>
        <w:t>01 Executive Market Summary</w:t>
      </w:r>
    </w:p>
    <w:p>
      <w:pPr>
        <w:spacing w:before="0" w:after="60"/>
        <w:keepNext/>
        <w:keepLines/>
        <w:ind w:left="1440" w:right="1440"/>
      </w:pPr>
      <w:r>
        <w:rPr>
          <w:rFonts w:ascii="Arial" w:cs="Arial" w:eastAsia="Arial" w:hAnsi="Arial"/>
          <w:b w:val="false"/>
          <w:bCs w:val="false"/>
          <w:i w:val="false"/>
          <w:iCs w:val="false"/>
          <w:color w:val="7E8691"/>
          <w:sz w:val="20"/>
          <w:szCs w:val="20"/>
        </w:rPr>
        <w:t>02 Global &amp; North American Market Landscape</w:t>
      </w:r>
    </w:p>
    <w:p>
      <w:pPr>
        <w:spacing w:before="0" w:after="60"/>
        <w:keepNext/>
        <w:keepLines/>
        <w:ind w:left="1440" w:right="1440"/>
      </w:pPr>
      <w:r>
        <w:rPr>
          <w:rFonts w:ascii="Arial" w:cs="Arial" w:eastAsia="Arial" w:hAnsi="Arial"/>
          <w:b w:val="false"/>
          <w:bCs w:val="false"/>
          <w:i w:val="false"/>
          <w:iCs w:val="false"/>
          <w:color w:val="7E8691"/>
          <w:sz w:val="20"/>
          <w:szCs w:val="20"/>
        </w:rPr>
        <w:t>03 Regional / Local Market Analysis</w:t>
      </w:r>
    </w:p>
    <w:p>
      <w:pPr>
        <w:spacing w:before="0" w:after="60"/>
        <w:keepNext/>
        <w:keepLines/>
        <w:ind w:left="1440" w:right="1440"/>
      </w:pPr>
      <w:r>
        <w:rPr>
          <w:rFonts w:ascii="Arial" w:cs="Arial" w:eastAsia="Arial" w:hAnsi="Arial"/>
          <w:b w:val="false"/>
          <w:bCs w:val="false"/>
          <w:i w:val="false"/>
          <w:iCs w:val="false"/>
          <w:color w:val="7E8691"/>
          <w:sz w:val="20"/>
          <w:szCs w:val="20"/>
        </w:rPr>
        <w:t>04 5-Year Revenue Forecast</w:t>
      </w:r>
    </w:p>
    <w:p>
      <w:pPr>
        <w:spacing w:before="0" w:after="60"/>
        <w:keepNext/>
        <w:keepLines/>
        <w:ind w:left="1440" w:right="1440"/>
      </w:pPr>
      <w:r>
        <w:rPr>
          <w:rFonts w:ascii="Arial" w:cs="Arial" w:eastAsia="Arial" w:hAnsi="Arial"/>
          <w:b w:val="false"/>
          <w:bCs w:val="false"/>
          <w:i w:val="false"/>
          <w:iCs w:val="false"/>
          <w:color w:val="7E8691"/>
          <w:sz w:val="20"/>
          <w:szCs w:val="20"/>
        </w:rPr>
        <w:t>05 Market Risks &amp; Mitigation</w:t>
      </w:r>
    </w:p>
    <w:p>
      <w:pPr>
        <w:spacing w:before="0" w:after="60"/>
        <w:keepNext/>
        <w:keepLines/>
        <w:ind w:left="1440" w:right="1440"/>
      </w:pPr>
      <w:r>
        <w:rPr>
          <w:rFonts w:ascii="Arial" w:cs="Arial" w:eastAsia="Arial" w:hAnsi="Arial"/>
          <w:b w:val="false"/>
          <w:bCs w:val="false"/>
          <w:i w:val="false"/>
          <w:iCs w:val="false"/>
          <w:color w:val="7E8691"/>
          <w:sz w:val="20"/>
          <w:szCs w:val="20"/>
        </w:rPr>
        <w:t>06 5-Year Strategic Horizon</w:t>
      </w:r>
    </w:p>
    <w:p>
      <w:pPr>
        <w:spacing w:before="360" w:after="40"/>
        <w:keepNext/>
        <w:keepLines/>
        <w:ind w:left="1440" w:right="1440"/>
      </w:pPr>
      <w:r>
        <w:rPr>
          <w:rFonts w:ascii="Arial" w:cs="Arial" w:eastAsia="Arial" w:hAnsi="Arial"/>
          <w:b/>
          <w:bCs/>
          <w:i w:val="false"/>
          <w:iCs w:val="false"/>
          <w:color w:val="E85D1A"/>
          <w:sz w:val="17"/>
          <w:szCs w:val="17"/>
        </w:rPr>
        <w:t>SECTION 01</w:t>
      </w:r>
    </w:p>
    <w:p>
      <w:pPr>
        <w:spacing w:before="0" w:after="100"/>
        <w:keepNext/>
        <w:keepLines/>
        <w:ind w:left="1440" w:right="1440"/>
      </w:pPr>
      <w:r>
        <w:rPr>
          <w:rFonts w:ascii="Arial" w:cs="Arial" w:eastAsia="Arial" w:hAnsi="Arial"/>
          <w:b/>
          <w:bCs/>
          <w:i w:val="false"/>
          <w:iCs w:val="false"/>
          <w:color w:val="162336"/>
          <w:sz w:val="36"/>
          <w:szCs w:val="36"/>
        </w:rPr>
        <w:t>Executive Market Summary</w:t>
      </w:r>
    </w:p>
    <w:p>
      <w:pPr>
        <w:spacing w:before="0" w:after="200"/>
        <w:ind w:left="1440" w:right="1440"/>
      </w:pPr>
      <w:r>
        <w:rPr>
          <w:rFonts w:ascii="Arial" w:cs="Arial" w:eastAsia="Arial" w:hAnsi="Arial"/>
          <w:b w:val="false"/>
          <w:bCs w:val="false"/>
          <w:i w:val="false"/>
          <w:iCs w:val="false"/>
          <w:color w:val="7E8691"/>
          <w:sz w:val="22"/>
          <w:szCs w:val="22"/>
        </w:rPr>
        <w:t>The global and regional market opportunity for Empiria Labs through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7EDF4" w:val="clear"/>
            <w:tcMar>
              <w:top w:type="dxa" w:w="180"/>
              <w:left w:type="dxa" w:w="200"/>
              <w:bottom w:type="dxa" w:w="180"/>
              <w:right w:type="dxa" w:w="200"/>
            </w:tcMar>
            <w:vAlign w:val="center"/>
          </w:tcPr>
          <w:p>
            <w:pPr>
              <w:spacing w:before="0" w:after="40"/>
              <w:jc w:val="center"/>
            </w:pPr>
            <w:r>
              <w:rPr>
                <w:rFonts w:ascii="Arial" w:cs="Arial" w:eastAsia="Arial" w:hAnsi="Arial"/>
                <w:b/>
                <w:bCs/>
                <w:i w:val="false"/>
                <w:iCs w:val="false"/>
                <w:color w:val="E85D1A"/>
                <w:sz w:val="32"/>
                <w:szCs w:val="32"/>
              </w:rPr>
              <w:t>$[X]B+</w:t>
            </w:r>
          </w:p>
          <w:p>
            <w:pPr>
              <w:spacing w:before="0" w:after="0"/>
              <w:jc w:val="center"/>
            </w:pPr>
            <w:r>
              <w:rPr>
                <w:rFonts w:ascii="Arial" w:cs="Arial" w:eastAsia="Arial" w:hAnsi="Arial"/>
                <w:b w:val="false"/>
                <w:bCs w:val="false"/>
                <w:i w:val="false"/>
                <w:iCs w:val="false"/>
                <w:color w:val="7E8691"/>
                <w:sz w:val="18"/>
                <w:szCs w:val="18"/>
              </w:rPr>
              <w:t>Global Market 2026</w:t>
            </w:r>
          </w:p>
        </w:tc>
        <w:tc>
          <w:tcPr>
            <w:tcW w:type="dxa" w:w="2340"/>
            <w:tcBorders>
              <w:top w:val="none" w:color="FFFFFF" w:sz="0"/>
              <w:left w:val="single" w:color="DCE4EE" w:sz="4"/>
              <w:bottom w:val="none" w:color="FFFFFF" w:sz="0"/>
              <w:right w:val="none" w:color="FFFFFF" w:sz="0"/>
            </w:tcBorders>
            <w:shd w:fill="E7EDF4" w:val="clear"/>
            <w:tcMar>
              <w:top w:type="dxa" w:w="180"/>
              <w:left w:type="dxa" w:w="200"/>
              <w:bottom w:type="dxa" w:w="180"/>
              <w:right w:type="dxa" w:w="200"/>
            </w:tcMar>
            <w:vAlign w:val="center"/>
          </w:tcPr>
          <w:p>
            <w:pPr>
              <w:spacing w:before="0" w:after="40"/>
              <w:jc w:val="center"/>
            </w:pPr>
            <w:r>
              <w:rPr>
                <w:rFonts w:ascii="Arial" w:cs="Arial" w:eastAsia="Arial" w:hAnsi="Arial"/>
                <w:b/>
                <w:bCs/>
                <w:i w:val="false"/>
                <w:iCs w:val="false"/>
                <w:color w:val="E85D1A"/>
                <w:sz w:val="32"/>
                <w:szCs w:val="32"/>
              </w:rPr>
              <w:t>$[X]B</w:t>
            </w:r>
          </w:p>
          <w:p>
            <w:pPr>
              <w:spacing w:before="0" w:after="0"/>
              <w:jc w:val="center"/>
            </w:pPr>
            <w:r>
              <w:rPr>
                <w:rFonts w:ascii="Arial" w:cs="Arial" w:eastAsia="Arial" w:hAnsi="Arial"/>
                <w:b w:val="false"/>
                <w:bCs w:val="false"/>
                <w:i w:val="false"/>
                <w:iCs w:val="false"/>
                <w:color w:val="7E8691"/>
                <w:sz w:val="18"/>
                <w:szCs w:val="18"/>
              </w:rPr>
              <w:t>Market 2026</w:t>
            </w:r>
          </w:p>
        </w:tc>
        <w:tc>
          <w:tcPr>
            <w:tcW w:type="dxa" w:w="2340"/>
            <w:tcBorders>
              <w:top w:val="none" w:color="FFFFFF" w:sz="0"/>
              <w:left w:val="single" w:color="DCE4EE" w:sz="4"/>
              <w:bottom w:val="none" w:color="FFFFFF" w:sz="0"/>
              <w:right w:val="none" w:color="FFFFFF" w:sz="0"/>
            </w:tcBorders>
            <w:shd w:fill="E7EDF4" w:val="clear"/>
            <w:tcMar>
              <w:top w:type="dxa" w:w="180"/>
              <w:left w:type="dxa" w:w="200"/>
              <w:bottom w:type="dxa" w:w="180"/>
              <w:right w:type="dxa" w:w="200"/>
            </w:tcMar>
            <w:vAlign w:val="center"/>
          </w:tcPr>
          <w:p>
            <w:pPr>
              <w:spacing w:before="0" w:after="40"/>
              <w:jc w:val="center"/>
            </w:pPr>
            <w:r>
              <w:rPr>
                <w:rFonts w:ascii="Arial" w:cs="Arial" w:eastAsia="Arial" w:hAnsi="Arial"/>
                <w:b/>
                <w:bCs/>
                <w:i w:val="false"/>
                <w:iCs w:val="false"/>
                <w:color w:val="E85D1A"/>
                <w:sz w:val="32"/>
                <w:szCs w:val="32"/>
              </w:rPr>
              <w:t>%</w:t>
            </w:r>
          </w:p>
          <w:p>
            <w:pPr>
              <w:spacing w:before="0" w:after="0"/>
              <w:jc w:val="center"/>
            </w:pPr>
            <w:r>
              <w:rPr>
                <w:rFonts w:ascii="Arial" w:cs="Arial" w:eastAsia="Arial" w:hAnsi="Arial"/>
                <w:b w:val="false"/>
                <w:bCs w:val="false"/>
                <w:i w:val="false"/>
                <w:iCs w:val="false"/>
                <w:color w:val="7E8691"/>
                <w:sz w:val="18"/>
                <w:szCs w:val="18"/>
              </w:rPr>
              <w:t>CAGR</w:t>
            </w:r>
          </w:p>
        </w:tc>
        <w:tc>
          <w:tcPr>
            <w:tcW w:type="dxa" w:w="2340"/>
            <w:tcBorders>
              <w:top w:val="none" w:color="FFFFFF" w:sz="0"/>
              <w:left w:val="single" w:color="DCE4EE" w:sz="4"/>
              <w:bottom w:val="none" w:color="FFFFFF" w:sz="0"/>
              <w:right w:val="none" w:color="FFFFFF" w:sz="0"/>
            </w:tcBorders>
            <w:shd w:fill="E7EDF4" w:val="clear"/>
            <w:tcMar>
              <w:top w:type="dxa" w:w="180"/>
              <w:left w:type="dxa" w:w="200"/>
              <w:bottom w:type="dxa" w:w="180"/>
              <w:right w:type="dxa" w:w="200"/>
            </w:tcMar>
            <w:vAlign w:val="center"/>
          </w:tcPr>
          <w:p>
            <w:pPr>
              <w:spacing w:before="0" w:after="40"/>
              <w:jc w:val="center"/>
            </w:pPr>
            <w:r>
              <w:rPr>
                <w:rFonts w:ascii="Arial" w:cs="Arial" w:eastAsia="Arial" w:hAnsi="Arial"/>
                <w:b/>
                <w:bCs/>
                <w:i w:val="false"/>
                <w:iCs w:val="false"/>
                <w:color w:val="E85D1A"/>
                <w:sz w:val="32"/>
                <w:szCs w:val="32"/>
              </w:rPr>
              <w:t>%</w:t>
            </w:r>
          </w:p>
          <w:p>
            <w:pPr>
              <w:spacing w:before="0" w:after="0"/>
              <w:jc w:val="center"/>
            </w:pPr>
            <w:r>
              <w:rPr>
                <w:rFonts w:ascii="Arial" w:cs="Arial" w:eastAsia="Arial" w:hAnsi="Arial"/>
                <w:b w:val="false"/>
                <w:bCs w:val="false"/>
                <w:i w:val="false"/>
                <w:iCs w:val="false"/>
                <w:color w:val="7E8691"/>
                <w:sz w:val="18"/>
                <w:szCs w:val="18"/>
              </w:rPr>
              <w:t>Share</w:t>
            </w:r>
          </w:p>
        </w:tc>
      </w:tr>
    </w:tbl>
    <w:p>
      <w:pPr>
        <w:spacing w:before="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7EDF4" w:val="clear"/>
            <w:tcMar>
              <w:top w:type="dxa" w:w="180"/>
              <w:left w:type="dxa" w:w="200"/>
              <w:bottom w:type="dxa" w:w="180"/>
              <w:right w:type="dxa" w:w="200"/>
            </w:tcMar>
            <w:vAlign w:val="center"/>
          </w:tcPr>
          <w:p>
            <w:pPr>
              <w:spacing w:before="0" w:after="40"/>
              <w:jc w:val="center"/>
            </w:pPr>
            <w:r>
              <w:rPr>
                <w:rFonts w:ascii="Arial" w:cs="Arial" w:eastAsia="Arial" w:hAnsi="Arial"/>
                <w:b/>
                <w:bCs/>
                <w:i w:val="false"/>
                <w:iCs w:val="false"/>
                <w:color w:val="E85D1A"/>
                <w:sz w:val="32"/>
                <w:szCs w:val="32"/>
              </w:rPr>
              <w:t>%</w:t>
            </w:r>
          </w:p>
          <w:p>
            <w:pPr>
              <w:spacing w:before="0" w:after="0"/>
              <w:jc w:val="center"/>
            </w:pPr>
            <w:r>
              <w:rPr>
                <w:rFonts w:ascii="Arial" w:cs="Arial" w:eastAsia="Arial" w:hAnsi="Arial"/>
                <w:b w:val="false"/>
                <w:bCs w:val="false"/>
                <w:i w:val="false"/>
                <w:iCs w:val="false"/>
                <w:color w:val="7E8691"/>
                <w:sz w:val="18"/>
                <w:szCs w:val="18"/>
              </w:rPr>
              <w:t>E-Commerce / Digital CAGR</w:t>
            </w:r>
          </w:p>
        </w:tc>
        <w:tc>
          <w:tcPr>
            <w:tcW w:type="dxa" w:w="2340"/>
            <w:tcBorders>
              <w:top w:val="none" w:color="FFFFFF" w:sz="0"/>
              <w:left w:val="single" w:color="DCE4EE" w:sz="4"/>
              <w:bottom w:val="none" w:color="FFFFFF" w:sz="0"/>
              <w:right w:val="none" w:color="FFFFFF" w:sz="0"/>
            </w:tcBorders>
            <w:shd w:fill="E7EDF4" w:val="clear"/>
            <w:tcMar>
              <w:top w:type="dxa" w:w="180"/>
              <w:left w:type="dxa" w:w="200"/>
              <w:bottom w:type="dxa" w:w="180"/>
              <w:right w:type="dxa" w:w="200"/>
            </w:tcMar>
            <w:vAlign w:val="center"/>
          </w:tcPr>
          <w:p>
            <w:pPr>
              <w:spacing w:before="0" w:after="40"/>
              <w:jc w:val="center"/>
            </w:pPr>
            <w:r>
              <w:rPr>
                <w:rFonts w:ascii="Arial" w:cs="Arial" w:eastAsia="Arial" w:hAnsi="Arial"/>
                <w:b/>
                <w:bCs/>
                <w:i w:val="false"/>
                <w:iCs w:val="false"/>
                <w:color w:val="E85D1A"/>
                <w:sz w:val="32"/>
                <w:szCs w:val="32"/>
              </w:rPr>
              <w:t>[X]B</w:t>
            </w:r>
          </w:p>
          <w:p>
            <w:pPr>
              <w:spacing w:before="0" w:after="0"/>
              <w:jc w:val="center"/>
            </w:pPr>
            <w:r>
              <w:rPr>
                <w:rFonts w:ascii="Arial" w:cs="Arial" w:eastAsia="Arial" w:hAnsi="Arial"/>
                <w:b w:val="false"/>
                <w:bCs w:val="false"/>
                <w:i w:val="false"/>
                <w:iCs w:val="false"/>
                <w:color w:val="7E8691"/>
                <w:sz w:val="18"/>
                <w:szCs w:val="18"/>
              </w:rPr>
            </w:r>
          </w:p>
        </w:tc>
        <w:tc>
          <w:tcPr>
            <w:tcW w:type="dxa" w:w="2340"/>
            <w:tcBorders>
              <w:top w:val="none" w:color="FFFFFF" w:sz="0"/>
              <w:left w:val="single" w:color="DCE4EE" w:sz="4"/>
              <w:bottom w:val="none" w:color="FFFFFF" w:sz="0"/>
              <w:right w:val="none" w:color="FFFFFF" w:sz="0"/>
            </w:tcBorders>
            <w:shd w:fill="E7EDF4" w:val="clear"/>
            <w:tcMar>
              <w:top w:type="dxa" w:w="180"/>
              <w:left w:type="dxa" w:w="200"/>
              <w:bottom w:type="dxa" w:w="180"/>
              <w:right w:type="dxa" w:w="200"/>
            </w:tcMar>
            <w:vAlign w:val="center"/>
          </w:tcPr>
          <w:p>
            <w:pPr>
              <w:spacing w:before="0" w:after="40"/>
              <w:jc w:val="center"/>
            </w:pPr>
            <w:r>
              <w:rPr>
                <w:rFonts w:ascii="Arial" w:cs="Arial" w:eastAsia="Arial" w:hAnsi="Arial"/>
                <w:b/>
                <w:bCs/>
                <w:i w:val="false"/>
                <w:iCs w:val="false"/>
                <w:color w:val="E85D1A"/>
                <w:sz w:val="32"/>
                <w:szCs w:val="32"/>
              </w:rPr>
              <w:t>[X]+</w:t>
            </w:r>
          </w:p>
          <w:p>
            <w:pPr>
              <w:spacing w:before="0" w:after="0"/>
              <w:jc w:val="center"/>
            </w:pPr>
            <w:r>
              <w:rPr>
                <w:rFonts w:ascii="Arial" w:cs="Arial" w:eastAsia="Arial" w:hAnsi="Arial"/>
                <w:b w:val="false"/>
                <w:bCs w:val="false"/>
                <w:i w:val="false"/>
                <w:iCs w:val="false"/>
                <w:color w:val="7E8691"/>
                <w:sz w:val="18"/>
                <w:szCs w:val="18"/>
              </w:rPr>
            </w:r>
          </w:p>
        </w:tc>
        <w:tc>
          <w:tcPr>
            <w:tcW w:type="dxa" w:w="2340"/>
            <w:tcBorders>
              <w:top w:val="none" w:color="FFFFFF" w:sz="0"/>
              <w:left w:val="single" w:color="DCE4EE" w:sz="4"/>
              <w:bottom w:val="none" w:color="FFFFFF" w:sz="0"/>
              <w:right w:val="none" w:color="FFFFFF" w:sz="0"/>
            </w:tcBorders>
            <w:shd w:fill="E7EDF4" w:val="clear"/>
            <w:tcMar>
              <w:top w:type="dxa" w:w="180"/>
              <w:left w:type="dxa" w:w="200"/>
              <w:bottom w:type="dxa" w:w="180"/>
              <w:right w:type="dxa" w:w="200"/>
            </w:tcMar>
            <w:vAlign w:val="center"/>
          </w:tcPr>
          <w:p>
            <w:pPr>
              <w:spacing w:before="0" w:after="40"/>
              <w:jc w:val="center"/>
            </w:pPr>
            <w:r>
              <w:rPr>
                <w:rFonts w:ascii="Arial" w:cs="Arial" w:eastAsia="Arial" w:hAnsi="Arial"/>
                <w:b/>
                <w:bCs/>
                <w:i w:val="false"/>
                <w:iCs w:val="false"/>
                <w:color w:val="E85D1A"/>
                <w:sz w:val="32"/>
                <w:szCs w:val="32"/>
              </w:rPr>
              <w:t>[X]%</w:t>
            </w:r>
          </w:p>
          <w:p>
            <w:pPr>
              <w:spacing w:before="0" w:after="0"/>
              <w:jc w:val="center"/>
            </w:pPr>
            <w:r>
              <w:rPr>
                <w:rFonts w:ascii="Arial" w:cs="Arial" w:eastAsia="Arial" w:hAnsi="Arial"/>
                <w:b w:val="false"/>
                <w:bCs w:val="false"/>
                <w:i w:val="false"/>
                <w:iCs w:val="false"/>
                <w:color w:val="7E8691"/>
                <w:sz w:val="18"/>
                <w:szCs w:val="18"/>
              </w:rPr>
            </w:r>
          </w:p>
        </w:tc>
      </w:tr>
    </w:tbl>
    <w:p>
      <w:pPr>
        <w:spacing w:before="200" w:after="80"/>
        <w:ind w:left="1440" w:right="1440"/>
      </w:pPr>
      <w:r>
        <w:rPr>
          <w:rFonts w:ascii="Arial" w:cs="Arial" w:eastAsia="Arial" w:hAnsi="Arial"/>
          <w:b w:val="false"/>
          <w:bCs w:val="false"/>
          <w:i/>
          <w:iCs/>
          <w:color w:val="AAAAAA"/>
          <w:sz w:val="18"/>
          <w:szCs w:val="18"/>
        </w:rPr>
        <w:t>Sources: MarketsandMarkets Food Safety Testing Report (Jan 2026), Grand View Research Analytical Laboratory Services (Feb 2026), USDA Produce Safety Alliance Annual Report 2025. All figures represent published third-party market research.</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02</w:t>
      </w:r>
    </w:p>
    <w:p>
      <w:pPr>
        <w:spacing w:before="0" w:after="100"/>
        <w:keepNext/>
        <w:keepLines/>
        <w:ind w:left="1440" w:right="1440"/>
      </w:pPr>
      <w:r>
        <w:rPr>
          <w:rFonts w:ascii="Arial" w:cs="Arial" w:eastAsia="Arial" w:hAnsi="Arial"/>
          <w:b/>
          <w:bCs/>
          <w:i w:val="false"/>
          <w:iCs w:val="false"/>
          <w:color w:val="162336"/>
          <w:sz w:val="36"/>
          <w:szCs w:val="36"/>
        </w:rPr>
        <w:t>Global &amp; North American Market Landscape</w:t>
      </w:r>
    </w:p>
    <w:p>
      <w:pPr>
        <w:spacing w:before="0" w:after="200"/>
        <w:ind w:left="1440" w:right="1440"/>
      </w:pPr>
      <w:r>
        <w:rPr>
          <w:rFonts w:ascii="Arial" w:cs="Arial" w:eastAsia="Arial" w:hAnsi="Arial"/>
          <w:b w:val="false"/>
          <w:bCs w:val="false"/>
          <w:i w:val="false"/>
          <w:iCs w:val="false"/>
          <w:color w:val="7E8691"/>
          <w:sz w:val="20"/>
          <w:szCs w:val="20"/>
        </w:rPr>
        <w:t>Structural trends driving demand in through .</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520"/>
        <w:gridCol w:w="8840"/>
      </w:tblGrid>
      <w:tr>
        <w:tc>
          <w:tcPr>
            <w:tcW w:type="dxa" w:w="520"/>
            <w:tcBorders>
              <w:top w:val="none" w:color="FFFFFF" w:sz="0"/>
              <w:left w:val="none" w:color="FFFFFF" w:sz="0"/>
              <w:bottom w:val="none" w:color="FFFFFF" w:sz="0"/>
              <w:right w:val="none" w:color="FFFFFF" w:sz="0"/>
            </w:tcBorders>
            <w:shd w:fill="E85D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01</w:t>
            </w:r>
          </w:p>
        </w:tc>
        <w:tc>
          <w:tcPr>
            <w:tcW w:type="dxa" w:w="8840"/>
            <w:tcBorders>
              <w:top w:val="none" w:color="FFFFFF" w:sz="0"/>
              <w:left w:val="single" w:color="DCE4EE" w:sz="4"/>
              <w:bottom w:val="none" w:color="FFFFFF" w:sz="0"/>
              <w:right w:val="none" w:color="FFFFFF" w:sz="0"/>
            </w:tcBorders>
            <w:shd w:fill="E7EDF4" w:val="clear"/>
            <w:tcMar>
              <w:top w:type="dxa" w:w="120"/>
              <w:left w:type="dxa" w:w="200"/>
              <w:bottom w:type="dxa" w:w="120"/>
              <w:right w:type="dxa" w:w="160"/>
            </w:tcMar>
          </w:tcPr>
          <w:p>
            <w:pPr>
              <w:spacing w:before="0" w:after="60"/>
            </w:pPr>
            <w:r>
              <w:rPr>
                <w:rFonts w:ascii="Arial" w:cs="Arial" w:eastAsia="Arial" w:hAnsi="Arial"/>
                <w:b/>
                <w:bCs/>
                <w:i w:val="false"/>
                <w:iCs w:val="false"/>
                <w:color w:val="162336"/>
                <w:sz w:val="22"/>
                <w:szCs w:val="22"/>
              </w:rPr>
              <w:t>FSMA Produce Safety Rule Enforcement</w:t>
            </w:r>
          </w:p>
          <w:p>
            <w:pPr>
              <w:spacing w:before="80" w:after="80"/>
            </w:pPr>
            <w:r>
              <w:rPr>
                <w:rFonts w:ascii="Arial" w:cs="Arial" w:eastAsia="Arial" w:hAnsi="Arial"/>
                <w:b w:val="false"/>
                <w:bCs w:val="false"/>
                <w:i/>
                <w:iCs/>
                <w:color w:val="AAAAAA"/>
                <w:sz w:val="20"/>
                <w:szCs w:val="20"/>
              </w:rPr>
            </w:r>
          </w:p>
        </w:tc>
      </w:tr>
    </w:tbl>
    <w:p>
      <w:pPr>
        <w:spacing w:before="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520"/>
        <w:gridCol w:w="8840"/>
      </w:tblGrid>
      <w:tr>
        <w:tc>
          <w:tcPr>
            <w:tcW w:type="dxa" w:w="520"/>
            <w:tcBorders>
              <w:top w:val="none" w:color="FFFFFF" w:sz="0"/>
              <w:left w:val="none" w:color="FFFFFF" w:sz="0"/>
              <w:bottom w:val="none" w:color="FFFFFF" w:sz="0"/>
              <w:right w:val="none" w:color="FFFFFF" w:sz="0"/>
            </w:tcBorders>
            <w:shd w:fill="E85D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02</w:t>
            </w:r>
          </w:p>
        </w:tc>
        <w:tc>
          <w:tcPr>
            <w:tcW w:type="dxa" w:w="8840"/>
            <w:tcBorders>
              <w:top w:val="none" w:color="FFFFFF" w:sz="0"/>
              <w:left w:val="single" w:color="DCE4EE" w:sz="4"/>
              <w:bottom w:val="none" w:color="FFFFFF" w:sz="0"/>
              <w:right w:val="none" w:color="FFFFFF" w:sz="0"/>
            </w:tcBorders>
            <w:shd w:fill="E7EDF4" w:val="clear"/>
            <w:tcMar>
              <w:top w:type="dxa" w:w="120"/>
              <w:left w:type="dxa" w:w="200"/>
              <w:bottom w:type="dxa" w:w="120"/>
              <w:right w:type="dxa" w:w="160"/>
            </w:tcMar>
          </w:tcPr>
          <w:p>
            <w:pPr>
              <w:spacing w:before="0" w:after="60"/>
            </w:pPr>
            <w:r>
              <w:rPr>
                <w:rFonts w:ascii="Arial" w:cs="Arial" w:eastAsia="Arial" w:hAnsi="Arial"/>
                <w:b/>
                <w:bCs/>
                <w:i w:val="false"/>
                <w:iCs w:val="false"/>
                <w:color w:val="162336"/>
                <w:sz w:val="22"/>
                <w:szCs w:val="22"/>
              </w:rPr>
              <w:t>Nearshoring and Cross-Border Produce Trade Growth</w:t>
            </w:r>
          </w:p>
          <w:p>
            <w:pPr>
              <w:spacing w:before="80" w:after="80"/>
            </w:pPr>
            <w:r>
              <w:rPr>
                <w:rFonts w:ascii="Arial" w:cs="Arial" w:eastAsia="Arial" w:hAnsi="Arial"/>
                <w:b w:val="false"/>
                <w:bCs w:val="false"/>
                <w:i/>
                <w:iCs/>
                <w:color w:val="AAAAAA"/>
                <w:sz w:val="20"/>
                <w:szCs w:val="20"/>
              </w:rPr>
            </w:r>
          </w:p>
        </w:tc>
      </w:tr>
    </w:tbl>
    <w:p>
      <w:pPr>
        <w:spacing w:before="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520"/>
        <w:gridCol w:w="8840"/>
      </w:tblGrid>
      <w:tr>
        <w:tc>
          <w:tcPr>
            <w:tcW w:type="dxa" w:w="520"/>
            <w:tcBorders>
              <w:top w:val="none" w:color="FFFFFF" w:sz="0"/>
              <w:left w:val="none" w:color="FFFFFF" w:sz="0"/>
              <w:bottom w:val="none" w:color="FFFFFF" w:sz="0"/>
              <w:right w:val="none" w:color="FFFFFF" w:sz="0"/>
            </w:tcBorders>
            <w:shd w:fill="E85D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03</w:t>
            </w:r>
          </w:p>
        </w:tc>
        <w:tc>
          <w:tcPr>
            <w:tcW w:type="dxa" w:w="8840"/>
            <w:tcBorders>
              <w:top w:val="none" w:color="FFFFFF" w:sz="0"/>
              <w:left w:val="single" w:color="DCE4EE" w:sz="4"/>
              <w:bottom w:val="none" w:color="FFFFFF" w:sz="0"/>
              <w:right w:val="none" w:color="FFFFFF" w:sz="0"/>
            </w:tcBorders>
            <w:shd w:fill="E7EDF4" w:val="clear"/>
            <w:tcMar>
              <w:top w:type="dxa" w:w="120"/>
              <w:left w:type="dxa" w:w="200"/>
              <w:bottom w:type="dxa" w:w="120"/>
              <w:right w:type="dxa" w:w="160"/>
            </w:tcMar>
          </w:tcPr>
          <w:p>
            <w:pPr>
              <w:spacing w:before="0" w:after="60"/>
            </w:pPr>
            <w:r>
              <w:rPr>
                <w:rFonts w:ascii="Arial" w:cs="Arial" w:eastAsia="Arial" w:hAnsi="Arial"/>
                <w:b/>
                <w:bCs/>
                <w:i w:val="false"/>
                <w:iCs w:val="false"/>
                <w:color w:val="162336"/>
                <w:sz w:val="22"/>
                <w:szCs w:val="22"/>
              </w:rPr>
              <w:t>Consumer Demand for Transparency and Pesticide-Free Certification</w:t>
            </w:r>
          </w:p>
          <w:p>
            <w:pPr>
              <w:spacing w:before="80" w:after="80"/>
            </w:pPr>
            <w:r>
              <w:rPr>
                <w:rFonts w:ascii="Arial" w:cs="Arial" w:eastAsia="Arial" w:hAnsi="Arial"/>
                <w:b w:val="false"/>
                <w:bCs w:val="false"/>
                <w:i/>
                <w:iCs/>
                <w:color w:val="AAAAAA"/>
                <w:sz w:val="20"/>
                <w:szCs w:val="20"/>
              </w:rPr>
            </w:r>
          </w:p>
        </w:tc>
      </w:tr>
    </w:tbl>
    <w:p>
      <w:pPr>
        <w:spacing w:before="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520"/>
        <w:gridCol w:w="8840"/>
      </w:tblGrid>
      <w:tr>
        <w:tc>
          <w:tcPr>
            <w:tcW w:type="dxa" w:w="520"/>
            <w:tcBorders>
              <w:top w:val="none" w:color="FFFFFF" w:sz="0"/>
              <w:left w:val="none" w:color="FFFFFF" w:sz="0"/>
              <w:bottom w:val="none" w:color="FFFFFF" w:sz="0"/>
              <w:right w:val="none" w:color="FFFFFF" w:sz="0"/>
            </w:tcBorders>
            <w:shd w:fill="E85D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04</w:t>
            </w:r>
          </w:p>
        </w:tc>
        <w:tc>
          <w:tcPr>
            <w:tcW w:type="dxa" w:w="8840"/>
            <w:tcBorders>
              <w:top w:val="none" w:color="FFFFFF" w:sz="0"/>
              <w:left w:val="single" w:color="DCE4EE" w:sz="4"/>
              <w:bottom w:val="none" w:color="FFFFFF" w:sz="0"/>
              <w:right w:val="none" w:color="FFFFFF" w:sz="0"/>
            </w:tcBorders>
            <w:shd w:fill="E7EDF4" w:val="clear"/>
            <w:tcMar>
              <w:top w:type="dxa" w:w="120"/>
              <w:left w:type="dxa" w:w="200"/>
              <w:bottom w:type="dxa" w:w="120"/>
              <w:right w:type="dxa" w:w="160"/>
            </w:tcMar>
          </w:tcPr>
          <w:p>
            <w:pPr>
              <w:spacing w:before="0" w:after="60"/>
            </w:pPr>
            <w:r>
              <w:rPr>
                <w:rFonts w:ascii="Arial" w:cs="Arial" w:eastAsia="Arial" w:hAnsi="Arial"/>
                <w:b/>
                <w:bCs/>
                <w:i w:val="false"/>
                <w:iCs w:val="false"/>
                <w:color w:val="162336"/>
                <w:sz w:val="22"/>
                <w:szCs w:val="22"/>
              </w:rPr>
              <w:t>Retail and Foodservice Supply Chain Audit Requirements</w:t>
            </w:r>
          </w:p>
          <w:p>
            <w:pPr>
              <w:spacing w:before="80" w:after="80"/>
            </w:pPr>
            <w:r>
              <w:rPr>
                <w:rFonts w:ascii="Arial" w:cs="Arial" w:eastAsia="Arial" w:hAnsi="Arial"/>
                <w:b w:val="false"/>
                <w:bCs w:val="false"/>
                <w:i/>
                <w:iCs/>
                <w:color w:val="AAAAAA"/>
                <w:sz w:val="20"/>
                <w:szCs w:val="20"/>
              </w:rPr>
            </w:r>
          </w:p>
        </w:tc>
      </w:tr>
    </w:tbl>
    <w:p>
      <w:pPr>
        <w:spacing w:before="8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520"/>
        <w:gridCol w:w="8840"/>
      </w:tblGrid>
      <w:tr>
        <w:tc>
          <w:tcPr>
            <w:tcW w:type="dxa" w:w="520"/>
            <w:tcBorders>
              <w:top w:val="none" w:color="FFFFFF" w:sz="0"/>
              <w:left w:val="none" w:color="FFFFFF" w:sz="0"/>
              <w:bottom w:val="none" w:color="FFFFFF" w:sz="0"/>
              <w:right w:val="none" w:color="FFFFFF" w:sz="0"/>
            </w:tcBorders>
            <w:shd w:fill="E85D1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8"/>
                <w:szCs w:val="18"/>
              </w:rPr>
              <w:t>05</w:t>
            </w:r>
          </w:p>
        </w:tc>
        <w:tc>
          <w:tcPr>
            <w:tcW w:type="dxa" w:w="8840"/>
            <w:tcBorders>
              <w:top w:val="none" w:color="FFFFFF" w:sz="0"/>
              <w:left w:val="single" w:color="DCE4EE" w:sz="4"/>
              <w:bottom w:val="none" w:color="FFFFFF" w:sz="0"/>
              <w:right w:val="none" w:color="FFFFFF" w:sz="0"/>
            </w:tcBorders>
            <w:shd w:fill="E7EDF4" w:val="clear"/>
            <w:tcMar>
              <w:top w:type="dxa" w:w="120"/>
              <w:left w:type="dxa" w:w="200"/>
              <w:bottom w:type="dxa" w:w="120"/>
              <w:right w:type="dxa" w:w="160"/>
            </w:tcMar>
          </w:tcPr>
          <w:p>
            <w:pPr>
              <w:spacing w:before="0" w:after="60"/>
            </w:pPr>
            <w:r>
              <w:rPr>
                <w:rFonts w:ascii="Arial" w:cs="Arial" w:eastAsia="Arial" w:hAnsi="Arial"/>
                <w:b/>
                <w:bCs/>
                <w:i w:val="false"/>
                <w:iCs w:val="false"/>
                <w:color w:val="162336"/>
                <w:sz w:val="22"/>
                <w:szCs w:val="22"/>
              </w:rPr>
              <w:t>Mycotoxin and Heavy Metal Regulatory Tightening</w:t>
            </w:r>
          </w:p>
          <w:p>
            <w:pPr>
              <w:spacing w:before="80" w:after="80"/>
            </w:pPr>
            <w:r>
              <w:rPr>
                <w:rFonts w:ascii="Arial" w:cs="Arial" w:eastAsia="Arial" w:hAnsi="Arial"/>
                <w:b w:val="false"/>
                <w:bCs w:val="false"/>
                <w:i/>
                <w:iCs/>
                <w:color w:val="AAAAAA"/>
                <w:sz w:val="20"/>
                <w:szCs w:val="20"/>
              </w:rPr>
            </w:r>
          </w:p>
        </w:tc>
      </w:tr>
    </w:tbl>
    <w:p>
      <w:pPr>
        <w:spacing w:before="80" w:after="0"/>
        <w:ind w:left="1440" w:right="1440"/>
      </w:pP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03</w:t>
      </w:r>
    </w:p>
    <w:p>
      <w:pPr>
        <w:spacing w:before="0" w:after="100"/>
        <w:keepNext/>
        <w:keepLines/>
        <w:ind w:left="1440" w:right="1440"/>
      </w:pPr>
      <w:r>
        <w:rPr>
          <w:rFonts w:ascii="Arial" w:cs="Arial" w:eastAsia="Arial" w:hAnsi="Arial"/>
          <w:b/>
          <w:bCs/>
          <w:i w:val="false"/>
          <w:iCs w:val="false"/>
          <w:color w:val="162336"/>
          <w:sz w:val="36"/>
          <w:szCs w:val="36"/>
        </w:rPr>
        <w:t>Regional / Local Market Analysis</w:t>
      </w:r>
    </w:p>
    <w:p>
      <w:pPr>
        <w:spacing w:before="0" w:after="200"/>
        <w:ind w:left="1440" w:right="1440"/>
      </w:pPr>
      <w:r>
        <w:rPr>
          <w:rFonts w:ascii="Arial" w:cs="Arial" w:eastAsia="Arial" w:hAnsi="Arial"/>
          <w:b w:val="false"/>
          <w:bCs w:val="false"/>
          <w:i w:val="false"/>
          <w:iCs w:val="false"/>
          <w:color w:val="7E8691"/>
          <w:sz w:val="20"/>
          <w:szCs w:val="20"/>
        </w:rPr>
        <w:t>The local and regional opportunity in and the surrounding corridor.</w:t>
      </w:r>
    </w:p>
    <w:p>
      <w:pPr>
        <w:spacing w:before="200" w:after="80"/>
        <w:ind w:left="1440" w:right="1440"/>
      </w:pPr>
      <w:r>
        <w:rPr>
          <w:rFonts w:ascii="Arial" w:cs="Arial" w:eastAsia="Arial" w:hAnsi="Arial"/>
          <w:b/>
          <w:bCs/>
          <w:i w:val="false"/>
          <w:iCs w:val="false"/>
          <w:color w:val="162336"/>
          <w:sz w:val="22"/>
          <w:szCs w:val="22"/>
        </w:rPr>
        <w:t>■ RGV Produce Corridor Concentration</w:t>
      </w:r>
    </w:p>
    <w:p>
      <w:pPr>
        <w:spacing w:before="80" w:after="80"/>
        <w:ind w:left="1440" w:right="1440"/>
      </w:pPr>
      <w:r>
        <w:rPr>
          <w:rFonts w:ascii="Arial" w:cs="Arial" w:eastAsia="Arial" w:hAnsi="Arial"/>
          <w:b w:val="false"/>
          <w:bCs w:val="false"/>
          <w:i/>
          <w:iCs/>
          <w:color w:val="AAAAAA"/>
          <w:sz w:val="20"/>
          <w:szCs w:val="20"/>
        </w:rPr>
        <w:t>The Rio Grande Valley is one of the top 5 produce import corridors in the United States. Hidalgo County alone processes billions of pounds of fresh produce annually through its international bridges. This geographic concentration of produce volume within 50 miles of Empiria's lab creates a natural catchment area that no national lab can serve with comparable convenience or turnaround time.</w:t>
      </w:r>
    </w:p>
    <w:p>
      <w:pPr>
        <w:spacing w:before="200" w:after="80"/>
        <w:ind w:left="1440" w:right="1440"/>
      </w:pPr>
      <w:r>
        <w:rPr>
          <w:rFonts w:ascii="Arial" w:cs="Arial" w:eastAsia="Arial" w:hAnsi="Arial"/>
          <w:b/>
          <w:bCs/>
          <w:i w:val="false"/>
          <w:iCs w:val="false"/>
          <w:color w:val="162336"/>
          <w:sz w:val="22"/>
          <w:szCs w:val="22"/>
        </w:rPr>
        <w:t>■ Laboratory Desert in South Texas</w:t>
      </w:r>
    </w:p>
    <w:p>
      <w:pPr>
        <w:spacing w:before="80" w:after="80"/>
        <w:ind w:left="1440" w:right="1440"/>
      </w:pPr>
      <w:r>
        <w:rPr>
          <w:rFonts w:ascii="Arial" w:cs="Arial" w:eastAsia="Arial" w:hAnsi="Arial"/>
          <w:b w:val="false"/>
          <w:bCs w:val="false"/>
          <w:i/>
          <w:iCs/>
          <w:color w:val="AAAAAA"/>
          <w:sz w:val="20"/>
          <w:szCs w:val="20"/>
        </w:rPr>
        <w:t>Between San Antonio and the Mexican border, there is no other dual A2LA-accredited food safety testing laboratory. This 300-mile gap means every produce company in the region has historically had to ship samples out, absorbing shipping costs and turnaround delays. Empiria's physical location fills a geographic gap in the national laboratory infrastructure.</w:t>
      </w:r>
    </w:p>
    <w:p>
      <w:pPr>
        <w:spacing w:before="200" w:after="80"/>
        <w:ind w:left="1440" w:right="1440"/>
      </w:pPr>
      <w:r>
        <w:rPr>
          <w:rFonts w:ascii="Arial" w:cs="Arial" w:eastAsia="Arial" w:hAnsi="Arial"/>
          <w:b/>
          <w:bCs/>
          <w:i w:val="false"/>
          <w:iCs w:val="false"/>
          <w:color w:val="162336"/>
          <w:sz w:val="22"/>
          <w:szCs w:val="22"/>
        </w:rPr>
        <w:t>■ Bilingual Market Advantage</w:t>
      </w:r>
    </w:p>
    <w:p>
      <w:pPr>
        <w:spacing w:before="80" w:after="80"/>
        <w:ind w:left="1440" w:right="1440"/>
      </w:pPr>
      <w:r>
        <w:rPr>
          <w:rFonts w:ascii="Arial" w:cs="Arial" w:eastAsia="Arial" w:hAnsi="Arial"/>
          <w:b w:val="false"/>
          <w:bCs w:val="false"/>
          <w:i/>
          <w:iCs/>
          <w:color w:val="AAAAAA"/>
          <w:sz w:val="20"/>
          <w:szCs w:val="20"/>
        </w:rPr>
        <w:t>Approximately 90% of the RGV population is Hispanic, and cross-border business is conducted in both English and Spanish. Empiria's Colombian-American leadership and bilingual capability allow them to serve both US growers and Mexican exporters with equal fluency -- a practical advantage that English-only national labs cannot replicate.</w:t>
      </w:r>
    </w:p>
    <w:p>
      <w:pPr>
        <w:spacing w:before="20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"Empiria Labs sits at 6200 E. Ramseyer Rd in Edinburg, TX -- directly in the heart of the Rio Grande Valley produce corridor. Within a 50-mile radius are the McAllen-Hidalgo International Bridge, Pharr International Bridge, and dozens of produce companies, packing houses, and cold storage facilities. No other dual A2LA-accredited lab exists within 300 miles, giving Empiria an unmatched same-day sample acceptance advantage over every national competitor."</w:t>
            </w:r>
          </w:p>
          <w:p>
            <w:pPr>
              <w:spacing w:before="0" w:after="0"/>
            </w:pPr>
            <w:r>
              <w:rPr>
                <w:rFonts w:ascii="Arial" w:cs="Arial" w:eastAsia="Arial" w:hAnsi="Arial"/>
                <w:b w:val="false"/>
                <w:bCs w:val="false"/>
                <w:i w:val="false"/>
                <w:iCs w:val="false"/>
                <w:color w:val="E85D1A"/>
                <w:sz w:val="18"/>
                <w:szCs w:val="18"/>
              </w:rPr>
              <w:t>— Maker Web Studios Market Analysis</w:t>
            </w:r>
          </w:p>
        </w:tc>
      </w:tr>
    </w:tbl>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04</w:t>
      </w:r>
    </w:p>
    <w:p>
      <w:pPr>
        <w:spacing w:before="0" w:after="100"/>
        <w:keepNext/>
        <w:keepLines/>
        <w:ind w:left="1440" w:right="1440"/>
      </w:pPr>
      <w:r>
        <w:rPr>
          <w:rFonts w:ascii="Arial" w:cs="Arial" w:eastAsia="Arial" w:hAnsi="Arial"/>
          <w:b/>
          <w:bCs/>
          <w:i w:val="false"/>
          <w:iCs w:val="false"/>
          <w:color w:val="162336"/>
          <w:sz w:val="36"/>
          <w:szCs w:val="36"/>
        </w:rPr>
        <w:t>5-Year Revenue Forecast</w:t>
      </w:r>
    </w:p>
    <w:p>
      <w:pPr>
        <w:spacing w:before="0" w:after="160"/>
        <w:ind w:left="1440" w:right="1440"/>
      </w:pPr>
      <w:r>
        <w:rPr>
          <w:rFonts w:ascii="Arial" w:cs="Arial" w:eastAsia="Arial" w:hAnsi="Arial"/>
          <w:b w:val="false"/>
          <w:bCs w:val="false"/>
          <w:i w:val="false"/>
          <w:iCs w:val="false"/>
          <w:color w:val="7E8691"/>
          <w:sz w:val="20"/>
          <w:szCs w:val="20"/>
        </w:rPr>
        <w:t>Projected revenue scenarios based on market growth, client acquisition, and operational execution. Conservative (slow ramp), Base Case (playbook execution), Optimistic (capacity expansion + enterprise accounts by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1440"/>
        <w:gridCol w:w="1440"/>
        <w:gridCol w:w="1680"/>
        <w:gridCol w:w="1440"/>
        <w:gridCol w:w="3360"/>
      </w:tblGrid>
      <w:tr>
        <w:tc>
          <w:tcPr>
            <w:tcW w:type="dxa" w:w="144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pPr>
              <w:jc w:val="center"/>
            </w:pPr>
            <w:r>
              <w:rPr>
                <w:rFonts w:ascii="Arial" w:cs="Arial" w:eastAsia="Arial" w:hAnsi="Arial"/>
                <w:b/>
                <w:bCs/>
                <w:i w:val="false"/>
                <w:iCs w:val="false"/>
                <w:color w:val="FFFFFF"/>
                <w:sz w:val="18"/>
                <w:szCs w:val="18"/>
              </w:rPr>
              <w:t>YEAR</w:t>
            </w:r>
          </w:p>
        </w:tc>
        <w:tc>
          <w:tcPr>
            <w:tcW w:type="dxa" w:w="144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pPr>
              <w:jc w:val="center"/>
            </w:pPr>
            <w:r>
              <w:rPr>
                <w:rFonts w:ascii="Arial" w:cs="Arial" w:eastAsia="Arial" w:hAnsi="Arial"/>
                <w:b/>
                <w:bCs/>
                <w:i w:val="false"/>
                <w:iCs w:val="false"/>
                <w:color w:val="FFFFFF"/>
                <w:sz w:val="18"/>
                <w:szCs w:val="18"/>
              </w:rPr>
              <w:t>CONSERVATIVE</w:t>
            </w:r>
          </w:p>
        </w:tc>
        <w:tc>
          <w:tcPr>
            <w:tcW w:type="dxa" w:w="168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pPr>
              <w:jc w:val="center"/>
            </w:pPr>
            <w:r>
              <w:rPr>
                <w:rFonts w:ascii="Arial" w:cs="Arial" w:eastAsia="Arial" w:hAnsi="Arial"/>
                <w:b/>
                <w:bCs/>
                <w:i w:val="false"/>
                <w:iCs w:val="false"/>
                <w:color w:val="FFFFFF"/>
                <w:sz w:val="18"/>
                <w:szCs w:val="18"/>
              </w:rPr>
              <w:t>BASE CASE ★</w:t>
            </w:r>
          </w:p>
        </w:tc>
        <w:tc>
          <w:tcPr>
            <w:tcW w:type="dxa" w:w="144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pPr>
              <w:jc w:val="center"/>
            </w:pPr>
            <w:r>
              <w:rPr>
                <w:rFonts w:ascii="Arial" w:cs="Arial" w:eastAsia="Arial" w:hAnsi="Arial"/>
                <w:b/>
                <w:bCs/>
                <w:i w:val="false"/>
                <w:iCs w:val="false"/>
                <w:color w:val="FFFFFF"/>
                <w:sz w:val="18"/>
                <w:szCs w:val="18"/>
              </w:rPr>
              <w:t>OPTIMISTIC</w:t>
            </w:r>
          </w:p>
        </w:tc>
        <w:tc>
          <w:tcPr>
            <w:tcW w:type="dxa" w:w="336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18"/>
                <w:szCs w:val="18"/>
              </w:rPr>
              <w:t>KEY ASSUMPTIONS</w:t>
            </w:r>
          </w:p>
        </w:tc>
      </w:tr>
      <w:tr>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jc w:val="center"/>
            </w:pPr>
            <w:r>
              <w:rPr>
                <w:rFonts w:ascii="Arial" w:cs="Arial" w:eastAsia="Arial" w:hAnsi="Arial"/>
                <w:b/>
                <w:bCs/>
                <w:i w:val="false"/>
                <w:iCs w:val="false"/>
                <w:color w:val="1A2332"/>
                <w:sz w:val="18"/>
                <w:szCs w:val="18"/>
              </w:rPr>
              <w:t>2026 (Yr 1)</w:t>
            </w:r>
          </w:p>
        </w:tc>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1680"/>
            <w:tcBorders>
              <w:top w:val="single" w:color="DCE4EE" w:sz="4"/>
              <w:left w:val="single" w:color="DCE4EE" w:sz="4"/>
              <w:bottom w:val="single" w:color="DCE4EE" w:sz="4"/>
              <w:right w:val="single" w:color="DCE4EE" w:sz="4"/>
            </w:tcBorders>
            <w:shd w:fill="E7EDF4" w:val="clear"/>
            <w:tcMar>
              <w:top w:type="dxa" w:w="100"/>
              <w:left w:type="dxa" w:w="140"/>
              <w:bottom w:type="dxa" w:w="100"/>
              <w:right w:type="dxa" w:w="140"/>
            </w:tcMar>
          </w:tcPr>
          <w:p>
            <w:pPr>
              <w:jc w:val="center"/>
            </w:pPr>
            <w:r>
              <w:rPr>
                <w:rFonts w:ascii="Arial" w:cs="Arial" w:eastAsia="Arial" w:hAnsi="Arial"/>
                <w:b/>
                <w:bCs/>
                <w:i w:val="false"/>
                <w:iCs w:val="false"/>
                <w:color w:val="E85D1A"/>
                <w:sz w:val="20"/>
                <w:szCs w:val="20"/>
              </w:rPr>
              <w:t>$[X]K ARR</w:t>
            </w:r>
          </w:p>
        </w:tc>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336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Website launch within 30 days generates immediate credibility uplift; organic growth begins from improved digital visibility; existing client base provides baseline revenue.</w:t>
            </w:r>
          </w:p>
        </w:tc>
      </w:tr>
      <w:tr>
        <w:tc>
          <w:tcPr>
            <w:tcW w:type="dxa" w:w="144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A2332"/>
                <w:sz w:val="18"/>
                <w:szCs w:val="18"/>
              </w:rPr>
              <w:t>2027 (Yr 2)</w:t>
            </w:r>
          </w:p>
        </w:tc>
        <w:tc>
          <w:tcPr>
            <w:tcW w:type="dxa" w:w="144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1680"/>
            <w:tcBorders>
              <w:top w:val="single" w:color="DCE4EE" w:sz="4"/>
              <w:left w:val="single" w:color="DCE4EE" w:sz="4"/>
              <w:bottom w:val="single" w:color="DCE4EE" w:sz="4"/>
              <w:right w:val="single" w:color="DCE4EE" w:sz="4"/>
            </w:tcBorders>
            <w:shd w:fill="E7EDF4" w:val="clear"/>
            <w:tcMar>
              <w:top w:type="dxa" w:w="100"/>
              <w:left w:type="dxa" w:w="140"/>
              <w:bottom w:type="dxa" w:w="100"/>
              <w:right w:type="dxa" w:w="140"/>
            </w:tcMar>
          </w:tcPr>
          <w:p>
            <w:pPr>
              <w:jc w:val="center"/>
            </w:pPr>
            <w:r>
              <w:rPr>
                <w:rFonts w:ascii="Arial" w:cs="Arial" w:eastAsia="Arial" w:hAnsi="Arial"/>
                <w:b/>
                <w:bCs/>
                <w:i w:val="false"/>
                <w:iCs w:val="false"/>
                <w:color w:val="E85D1A"/>
                <w:sz w:val="20"/>
                <w:szCs w:val="20"/>
              </w:rPr>
              <w:t>$[X]K ARR</w:t>
            </w:r>
          </w:p>
        </w:tc>
        <w:tc>
          <w:tcPr>
            <w:tcW w:type="dxa" w:w="144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336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SEO and Google Business Profile drive steady inbound leads; 3-8 new produce company clients added depending on outreach effort; cross-border testing relationships begin developing.</w:t>
            </w:r>
          </w:p>
        </w:tc>
      </w:tr>
      <w:tr>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jc w:val="center"/>
            </w:pPr>
            <w:r>
              <w:rPr>
                <w:rFonts w:ascii="Arial" w:cs="Arial" w:eastAsia="Arial" w:hAnsi="Arial"/>
                <w:b/>
                <w:bCs/>
                <w:i w:val="false"/>
                <w:iCs w:val="false"/>
                <w:color w:val="1A2332"/>
                <w:sz w:val="18"/>
                <w:szCs w:val="18"/>
              </w:rPr>
              <w:t>2028 (Yr 3)</w:t>
            </w:r>
          </w:p>
        </w:tc>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1680"/>
            <w:tcBorders>
              <w:top w:val="single" w:color="DCE4EE" w:sz="4"/>
              <w:left w:val="single" w:color="DCE4EE" w:sz="4"/>
              <w:bottom w:val="single" w:color="DCE4EE" w:sz="4"/>
              <w:right w:val="single" w:color="DCE4EE" w:sz="4"/>
            </w:tcBorders>
            <w:shd w:fill="E7EDF4" w:val="clear"/>
            <w:tcMar>
              <w:top w:type="dxa" w:w="100"/>
              <w:left w:type="dxa" w:w="140"/>
              <w:bottom w:type="dxa" w:w="100"/>
              <w:right w:type="dxa" w:w="140"/>
            </w:tcMar>
          </w:tcPr>
          <w:p>
            <w:pPr>
              <w:jc w:val="center"/>
            </w:pPr>
            <w:r>
              <w:rPr>
                <w:rFonts w:ascii="Arial" w:cs="Arial" w:eastAsia="Arial" w:hAnsi="Arial"/>
                <w:b/>
                <w:bCs/>
                <w:i w:val="false"/>
                <w:iCs w:val="false"/>
                <w:color w:val="E85D1A"/>
                <w:sz w:val="20"/>
                <w:szCs w:val="20"/>
              </w:rPr>
              <w:t>$[X]K ARR</w:t>
            </w:r>
          </w:p>
        </w:tc>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336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Local reputation firmly established through word of mouth and digital presence; referral pipeline active; potential second instrument suite evaluation based on demand.</w:t>
            </w:r>
          </w:p>
        </w:tc>
      </w:tr>
      <w:tr>
        <w:tc>
          <w:tcPr>
            <w:tcW w:type="dxa" w:w="144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1A2332"/>
                <w:sz w:val="18"/>
                <w:szCs w:val="18"/>
              </w:rPr>
              <w:t>2029 (Yr 4)</w:t>
            </w:r>
          </w:p>
        </w:tc>
        <w:tc>
          <w:tcPr>
            <w:tcW w:type="dxa" w:w="144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1680"/>
            <w:tcBorders>
              <w:top w:val="single" w:color="DCE4EE" w:sz="4"/>
              <w:left w:val="single" w:color="DCE4EE" w:sz="4"/>
              <w:bottom w:val="single" w:color="DCE4EE" w:sz="4"/>
              <w:right w:val="single" w:color="DCE4EE" w:sz="4"/>
            </w:tcBorders>
            <w:shd w:fill="E7EDF4" w:val="clear"/>
            <w:tcMar>
              <w:top w:type="dxa" w:w="100"/>
              <w:left w:type="dxa" w:w="140"/>
              <w:bottom w:type="dxa" w:w="100"/>
              <w:right w:type="dxa" w:w="140"/>
            </w:tcMar>
          </w:tcPr>
          <w:p>
            <w:pPr>
              <w:jc w:val="center"/>
            </w:pPr>
            <w:r>
              <w:rPr>
                <w:rFonts w:ascii="Arial" w:cs="Arial" w:eastAsia="Arial" w:hAnsi="Arial"/>
                <w:b/>
                <w:bCs/>
                <w:i w:val="false"/>
                <w:iCs w:val="false"/>
                <w:color w:val="E85D1A"/>
                <w:sz w:val="20"/>
                <w:szCs w:val="20"/>
              </w:rPr>
              <w:t>$[X]K ARR</w:t>
            </w:r>
          </w:p>
        </w:tc>
        <w:tc>
          <w:tcPr>
            <w:tcW w:type="dxa" w:w="144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336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Content marketing and directory presence generating consistent monthly leads; regional dominance in food safety testing established; environmental testing scope expansion considered.</w:t>
            </w:r>
          </w:p>
        </w:tc>
      </w:tr>
      <w:tr>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jc w:val="center"/>
            </w:pPr>
            <w:r>
              <w:rPr>
                <w:rFonts w:ascii="Arial" w:cs="Arial" w:eastAsia="Arial" w:hAnsi="Arial"/>
                <w:b/>
                <w:bCs/>
                <w:i w:val="false"/>
                <w:iCs w:val="false"/>
                <w:color w:val="1A2332"/>
                <w:sz w:val="18"/>
                <w:szCs w:val="18"/>
              </w:rPr>
              <w:t>2030 (Yr 5)</w:t>
            </w:r>
          </w:p>
        </w:tc>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1680"/>
            <w:tcBorders>
              <w:top w:val="single" w:color="DCE4EE" w:sz="4"/>
              <w:left w:val="single" w:color="DCE4EE" w:sz="4"/>
              <w:bottom w:val="single" w:color="DCE4EE" w:sz="4"/>
              <w:right w:val="single" w:color="DCE4EE" w:sz="4"/>
            </w:tcBorders>
            <w:shd w:fill="E7EDF4" w:val="clear"/>
            <w:tcMar>
              <w:top w:type="dxa" w:w="100"/>
              <w:left w:type="dxa" w:w="140"/>
              <w:bottom w:type="dxa" w:w="100"/>
              <w:right w:type="dxa" w:w="140"/>
            </w:tcMar>
          </w:tcPr>
          <w:p>
            <w:pPr>
              <w:jc w:val="center"/>
            </w:pPr>
            <w:r>
              <w:rPr>
                <w:rFonts w:ascii="Arial" w:cs="Arial" w:eastAsia="Arial" w:hAnsi="Arial"/>
                <w:b/>
                <w:bCs/>
                <w:i w:val="false"/>
                <w:iCs w:val="false"/>
                <w:color w:val="E85D1A"/>
                <w:sz w:val="20"/>
                <w:szCs w:val="20"/>
              </w:rPr>
              <w:t>$[X]K ARR</w:t>
            </w:r>
          </w:p>
        </w:tc>
        <w:tc>
          <w:tcPr>
            <w:tcW w:type="dxa" w:w="144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$[X]K ARR</w:t>
            </w:r>
          </w:p>
        </w:tc>
        <w:tc>
          <w:tcPr>
            <w:tcW w:type="dxa" w:w="3360"/>
            <w:tcBorders>
              <w:top w:val="single" w:color="DCE4EE" w:sz="4"/>
              <w:left w:val="single" w:color="DCE4EE" w:sz="4"/>
              <w:bottom w:val="single" w:color="DCE4EE" w:sz="4"/>
              <w:right w:val="single" w:color="DCE4EE" w:sz="4"/>
            </w:tcBorders>
            <w:shd w:fill="F4F6F9" w:val="clear"/>
            <w:tcMar>
              <w:top w:type="dxa" w:w="100"/>
              <w:left w:type="dxa" w:w="140"/>
              <w:bottom w:type="dxa" w:w="100"/>
              <w:right w:type="dxa" w:w="140"/>
            </w:tcMar>
          </w:tcPr>
          <w:p>
            <w:pPr>
              <w:spacing w:before="80" w:after="80"/>
            </w:pPr>
            <w:r>
              <w:rPr>
                <w:rFonts w:ascii="Arial" w:cs="Arial" w:eastAsia="Arial" w:hAnsi="Arial"/>
                <w:b w:val="false"/>
                <w:bCs w:val="false"/>
                <w:i/>
                <w:iCs/>
                <w:color w:val="AAAAAA"/>
                <w:sz w:val="20"/>
                <w:szCs w:val="20"/>
              </w:rPr>
              <w:t>Full utilization of current facility approaching; established as default testing partner for RGV produce corridor; evaluation of second location or expanded capacity underway.</w:t>
            </w:r>
          </w:p>
        </w:tc>
      </w:tr>
    </w:tbl>
    <w:p>
      <w:pPr>
        <w:spacing w:before="120" w:after="80"/>
        <w:ind w:left="1440" w:right="1440"/>
      </w:pPr>
      <w:r>
        <w:rPr>
          <w:rFonts w:ascii="Arial" w:cs="Arial" w:eastAsia="Arial" w:hAnsi="Arial"/>
          <w:b w:val="false"/>
          <w:bCs w:val="false"/>
          <w:i/>
          <w:iCs/>
          <w:color w:val="AAAAAA"/>
          <w:sz w:val="18"/>
          <w:szCs w:val="18"/>
        </w:rPr>
        <w:t>★ Base Case assumes successful execution of the 90-Day Launch Roadmap and Growth Strategy Playbook. Conservative assumes minimal digital investment. Optimistic assumes capacity expansion and enterprise accounts by Year 3.</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05</w:t>
      </w:r>
    </w:p>
    <w:p>
      <w:pPr>
        <w:spacing w:before="0" w:after="100"/>
        <w:keepNext/>
        <w:keepLines/>
        <w:ind w:left="1440" w:right="1440"/>
      </w:pPr>
      <w:r>
        <w:rPr>
          <w:rFonts w:ascii="Arial" w:cs="Arial" w:eastAsia="Arial" w:hAnsi="Arial"/>
          <w:b/>
          <w:bCs/>
          <w:i w:val="false"/>
          <w:iCs w:val="false"/>
          <w:color w:val="162336"/>
          <w:sz w:val="36"/>
          <w:szCs w:val="36"/>
        </w:rPr>
        <w:t>Market Risks &amp; Mitigation</w:t>
      </w:r>
    </w:p>
    <w:p>
      <w:pPr>
        <w:spacing w:before="0" w:after="200"/>
        <w:ind w:left="1440" w:right="1440"/>
      </w:pPr>
      <w:r>
        <w:rPr>
          <w:rFonts w:ascii="Arial" w:cs="Arial" w:eastAsia="Arial" w:hAnsi="Arial"/>
          <w:b w:val="false"/>
          <w:bCs w:val="false"/>
          <w:i w:val="false"/>
          <w:iCs w:val="false"/>
          <w:color w:val="7E8691"/>
          <w:sz w:val="20"/>
          <w:szCs w:val="20"/>
        </w:rPr>
        <w:t>Key threats to the growth trajectory and recommended countermeasures.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4680"/>
        <w:gridCol w:w="4680"/>
      </w:tblGrid>
      <w:tr>
        <w:tc>
          <w:tcPr>
            <w:tcW w:type="dxa" w:w="468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18"/>
                <w:szCs w:val="18"/>
              </w:rPr>
              <w:t>RISK FACTOR</w:t>
            </w:r>
          </w:p>
        </w:tc>
        <w:tc>
          <w:tcPr>
            <w:tcW w:type="dxa" w:w="468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18"/>
                <w:szCs w:val="18"/>
              </w:rPr>
              <w:t>MITIGATION STRATEGY</w:t>
            </w:r>
          </w:p>
        </w:tc>
      </w:tr>
      <w:tr>
        <w:tc>
          <w:tcPr>
            <w:tcW w:type="dxa" w:w="4680"/>
            <w:tcBorders>
              <w:top w:val="single" w:color="DCE4EE" w:sz="4"/>
              <w:left w:val="single" w:color="DCE4EE" w:sz="4"/>
              <w:bottom w:val="single" w:color="DCE4EE" w:sz="4"/>
              <w:right w:val="single" w:color="DCE4EE" w:sz="4"/>
            </w:tcBorders>
            <w:shd w:fill="FFF0F0" w:val="clear"/>
            <w:tcMar>
              <w:top w:type="dxa" w:w="140"/>
              <w:left w:type="dxa" w:w="140"/>
              <w:bottom w:type="dxa" w:w="140"/>
              <w:right w:type="dxa" w:w="140"/>
            </w:tcMar>
          </w:tcPr>
          <w:p>
            <w:pPr>
              <w:spacing w:before="0" w:after="40"/>
            </w:pPr>
            <w:r>
              <w:rPr>
                <w:rFonts w:ascii="Arial" w:cs="Arial" w:eastAsia="Arial" w:hAnsi="Arial"/>
                <w:b/>
                <w:bCs/>
                <w:i w:val="false"/>
                <w:iCs w:val="false"/>
                <w:color w:val="B91C1C"/>
                <w:sz w:val="18"/>
                <w:szCs w:val="18"/>
              </w:rPr>
              <w:t>RISK</w:t>
            </w:r>
          </w:p>
          <w:p>
            <w:pPr>
              <w:spacing w:before="80" w:after="80"/>
            </w:pPr>
            <w:r>
              <w:rPr>
                <w:rFonts w:ascii="Arial" w:cs="Arial" w:eastAsia="Arial" w:hAnsi="Arial"/>
                <w:b w:val="false"/>
                <w:bCs w:val="false"/>
                <w:i/>
                <w:iCs/>
                <w:color w:val="AAAAAA"/>
                <w:sz w:val="20"/>
                <w:szCs w:val="20"/>
              </w:rPr>
              <w:t>National Lab Expansion: Bureau Veritas, Eurofins, or SGS could open a satellite office in the RGV, bringing accredited testing closer to local growers.</w:t>
            </w:r>
          </w:p>
        </w:tc>
        <w:tc>
          <w:tcPr>
            <w:tcW w:type="dxa" w:w="4680"/>
            <w:tcBorders>
              <w:top w:val="single" w:color="DCE4EE" w:sz="4"/>
              <w:left w:val="single" w:color="DCE4EE" w:sz="4"/>
              <w:bottom w:val="single" w:color="DCE4EE" w:sz="4"/>
              <w:right w:val="single" w:color="DCE4EE" w:sz="4"/>
            </w:tcBorders>
            <w:shd w:fill="F0FBF4" w:val="clear"/>
            <w:tcMar>
              <w:top w:type="dxa" w:w="140"/>
              <w:left w:type="dxa" w:w="140"/>
              <w:bottom w:type="dxa" w:w="140"/>
              <w:right w:type="dxa" w:w="140"/>
            </w:tcMar>
          </w:tcPr>
          <w:p>
            <w:pPr>
              <w:spacing w:before="0" w:after="40"/>
            </w:pPr>
            <w:r>
              <w:rPr>
                <w:rFonts w:ascii="Arial" w:cs="Arial" w:eastAsia="Arial" w:hAnsi="Arial"/>
                <w:b/>
                <w:bCs/>
                <w:i w:val="false"/>
                <w:iCs w:val="false"/>
                <w:color w:val="1E7D43"/>
                <w:sz w:val="18"/>
                <w:szCs w:val="18"/>
              </w:rPr>
              <w:t>MITIGATION</w:t>
            </w:r>
          </w:p>
          <w:p>
            <w:pPr>
              <w:spacing w:before="80" w:after="80"/>
            </w:pPr>
            <w:r>
              <w:rPr>
                <w:rFonts w:ascii="Arial" w:cs="Arial" w:eastAsia="Arial" w:hAnsi="Arial"/>
                <w:b w:val="false"/>
                <w:bCs w:val="false"/>
                <w:i/>
                <w:iCs/>
                <w:color w:val="AAAAAA"/>
                <w:sz w:val="20"/>
                <w:szCs w:val="20"/>
              </w:rPr>
              <w:t>Establish brand dominance and client relationships now, before a competitor enters. Switching costs in laboratory testing are high -- once a grower has a validated method with a lab, changing is disruptive.</w:t>
            </w:r>
          </w:p>
        </w:tc>
      </w:tr>
      <w:tr>
        <w:tc>
          <w:tcPr>
            <w:tcW w:type="dxa" w:w="4680"/>
            <w:tcBorders>
              <w:top w:val="single" w:color="DCE4EE" w:sz="4"/>
              <w:left w:val="single" w:color="DCE4EE" w:sz="4"/>
              <w:bottom w:val="single" w:color="DCE4EE" w:sz="4"/>
              <w:right w:val="single" w:color="DCE4EE" w:sz="4"/>
            </w:tcBorders>
            <w:shd w:fill="FFF0F0" w:val="clear"/>
            <w:tcMar>
              <w:top w:type="dxa" w:w="140"/>
              <w:left w:type="dxa" w:w="140"/>
              <w:bottom w:type="dxa" w:w="140"/>
              <w:right w:type="dxa" w:w="140"/>
            </w:tcMar>
          </w:tcPr>
          <w:p>
            <w:pPr>
              <w:spacing w:before="0" w:after="40"/>
            </w:pPr>
            <w:r>
              <w:rPr>
                <w:rFonts w:ascii="Arial" w:cs="Arial" w:eastAsia="Arial" w:hAnsi="Arial"/>
                <w:b/>
                <w:bCs/>
                <w:i w:val="false"/>
                <w:iCs w:val="false"/>
                <w:color w:val="B91C1C"/>
                <w:sz w:val="18"/>
                <w:szCs w:val="18"/>
              </w:rPr>
              <w:t>RISK</w:t>
            </w:r>
          </w:p>
          <w:p>
            <w:pPr>
              <w:spacing w:before="80" w:after="80"/>
            </w:pPr>
            <w:r>
              <w:rPr>
                <w:rFonts w:ascii="Arial" w:cs="Arial" w:eastAsia="Arial" w:hAnsi="Arial"/>
                <w:b w:val="false"/>
                <w:bCs w:val="false"/>
                <w:i/>
                <w:iCs/>
                <w:color w:val="AAAAAA"/>
                <w:sz w:val="20"/>
                <w:szCs w:val="20"/>
              </w:rPr>
              <w:t>Accreditation Scope Challenges: Maintaining and expanding A2LA accreditation requires ongoing investment in proficiency testing, method validation, and quality system maintenance.</w:t>
            </w:r>
          </w:p>
        </w:tc>
        <w:tc>
          <w:tcPr>
            <w:tcW w:type="dxa" w:w="4680"/>
            <w:tcBorders>
              <w:top w:val="single" w:color="DCE4EE" w:sz="4"/>
              <w:left w:val="single" w:color="DCE4EE" w:sz="4"/>
              <w:bottom w:val="single" w:color="DCE4EE" w:sz="4"/>
              <w:right w:val="single" w:color="DCE4EE" w:sz="4"/>
            </w:tcBorders>
            <w:shd w:fill="F0FBF4" w:val="clear"/>
            <w:tcMar>
              <w:top w:type="dxa" w:w="140"/>
              <w:left w:type="dxa" w:w="140"/>
              <w:bottom w:type="dxa" w:w="140"/>
              <w:right w:type="dxa" w:w="140"/>
            </w:tcMar>
          </w:tcPr>
          <w:p>
            <w:pPr>
              <w:spacing w:before="0" w:after="40"/>
            </w:pPr>
            <w:r>
              <w:rPr>
                <w:rFonts w:ascii="Arial" w:cs="Arial" w:eastAsia="Arial" w:hAnsi="Arial"/>
                <w:b/>
                <w:bCs/>
                <w:i w:val="false"/>
                <w:iCs w:val="false"/>
                <w:color w:val="1E7D43"/>
                <w:sz w:val="18"/>
                <w:szCs w:val="18"/>
              </w:rPr>
              <w:t>MITIGATION</w:t>
            </w:r>
          </w:p>
          <w:p>
            <w:pPr>
              <w:spacing w:before="80" w:after="80"/>
            </w:pPr>
            <w:r>
              <w:rPr>
                <w:rFonts w:ascii="Arial" w:cs="Arial" w:eastAsia="Arial" w:hAnsi="Arial"/>
                <w:b w:val="false"/>
                <w:bCs w:val="false"/>
                <w:i/>
                <w:iCs/>
                <w:color w:val="AAAAAA"/>
                <w:sz w:val="20"/>
                <w:szCs w:val="20"/>
              </w:rPr>
              <w:t>Budget for annual A2LA assessments and proficiency testing. Document quality system rigorously. Jorge's scientific background is an asset here -- leverage it.</w:t>
            </w:r>
          </w:p>
        </w:tc>
      </w:tr>
      <w:tr>
        <w:tc>
          <w:tcPr>
            <w:tcW w:type="dxa" w:w="4680"/>
            <w:tcBorders>
              <w:top w:val="single" w:color="DCE4EE" w:sz="4"/>
              <w:left w:val="single" w:color="DCE4EE" w:sz="4"/>
              <w:bottom w:val="single" w:color="DCE4EE" w:sz="4"/>
              <w:right w:val="single" w:color="DCE4EE" w:sz="4"/>
            </w:tcBorders>
            <w:shd w:fill="FFF0F0" w:val="clear"/>
            <w:tcMar>
              <w:top w:type="dxa" w:w="140"/>
              <w:left w:type="dxa" w:w="140"/>
              <w:bottom w:type="dxa" w:w="140"/>
              <w:right w:type="dxa" w:w="140"/>
            </w:tcMar>
          </w:tcPr>
          <w:p>
            <w:pPr>
              <w:spacing w:before="0" w:after="40"/>
            </w:pPr>
            <w:r>
              <w:rPr>
                <w:rFonts w:ascii="Arial" w:cs="Arial" w:eastAsia="Arial" w:hAnsi="Arial"/>
                <w:b/>
                <w:bCs/>
                <w:i w:val="false"/>
                <w:iCs w:val="false"/>
                <w:color w:val="B91C1C"/>
                <w:sz w:val="18"/>
                <w:szCs w:val="18"/>
              </w:rPr>
              <w:t>RISK</w:t>
            </w:r>
          </w:p>
          <w:p>
            <w:pPr>
              <w:spacing w:before="80" w:after="80"/>
            </w:pPr>
            <w:r>
              <w:rPr>
                <w:rFonts w:ascii="Arial" w:cs="Arial" w:eastAsia="Arial" w:hAnsi="Arial"/>
                <w:b w:val="false"/>
                <w:bCs w:val="false"/>
                <w:i/>
                <w:iCs/>
                <w:color w:val="AAAAAA"/>
                <w:sz w:val="20"/>
                <w:szCs w:val="20"/>
              </w:rPr>
              <w:t>Instrumentation Downtime: LC/MS-MS and GC/MS-MS instruments require regular maintenance and occasional repair. Downtime directly impacts revenue and client trust.</w:t>
            </w:r>
          </w:p>
        </w:tc>
        <w:tc>
          <w:tcPr>
            <w:tcW w:type="dxa" w:w="4680"/>
            <w:tcBorders>
              <w:top w:val="single" w:color="DCE4EE" w:sz="4"/>
              <w:left w:val="single" w:color="DCE4EE" w:sz="4"/>
              <w:bottom w:val="single" w:color="DCE4EE" w:sz="4"/>
              <w:right w:val="single" w:color="DCE4EE" w:sz="4"/>
            </w:tcBorders>
            <w:shd w:fill="F0FBF4" w:val="clear"/>
            <w:tcMar>
              <w:top w:type="dxa" w:w="140"/>
              <w:left w:type="dxa" w:w="140"/>
              <w:bottom w:type="dxa" w:w="140"/>
              <w:right w:type="dxa" w:w="140"/>
            </w:tcMar>
          </w:tcPr>
          <w:p>
            <w:pPr>
              <w:spacing w:before="0" w:after="40"/>
            </w:pPr>
            <w:r>
              <w:rPr>
                <w:rFonts w:ascii="Arial" w:cs="Arial" w:eastAsia="Arial" w:hAnsi="Arial"/>
                <w:b/>
                <w:bCs/>
                <w:i w:val="false"/>
                <w:iCs w:val="false"/>
                <w:color w:val="1E7D43"/>
                <w:sz w:val="18"/>
                <w:szCs w:val="18"/>
              </w:rPr>
              <w:t>MITIGATION</w:t>
            </w:r>
          </w:p>
          <w:p>
            <w:pPr>
              <w:spacing w:before="80" w:after="80"/>
            </w:pPr>
            <w:r>
              <w:rPr>
                <w:rFonts w:ascii="Arial" w:cs="Arial" w:eastAsia="Arial" w:hAnsi="Arial"/>
                <w:b w:val="false"/>
                <w:bCs w:val="false"/>
                <w:i/>
                <w:iCs/>
                <w:color w:val="AAAAAA"/>
                <w:sz w:val="20"/>
                <w:szCs w:val="20"/>
              </w:rPr>
              <w:t>Maintain service contracts on critical instruments. Build relationships with backup labs for emergency overflow. Communicate transparently with clients about instrument status.</w:t>
            </w:r>
          </w:p>
        </w:tc>
      </w:tr>
      <w:tr>
        <w:tc>
          <w:tcPr>
            <w:tcW w:type="dxa" w:w="4680"/>
            <w:tcBorders>
              <w:top w:val="single" w:color="DCE4EE" w:sz="4"/>
              <w:left w:val="single" w:color="DCE4EE" w:sz="4"/>
              <w:bottom w:val="single" w:color="DCE4EE" w:sz="4"/>
              <w:right w:val="single" w:color="DCE4EE" w:sz="4"/>
            </w:tcBorders>
            <w:shd w:fill="FFF0F0" w:val="clear"/>
            <w:tcMar>
              <w:top w:type="dxa" w:w="140"/>
              <w:left w:type="dxa" w:w="140"/>
              <w:bottom w:type="dxa" w:w="140"/>
              <w:right w:type="dxa" w:w="140"/>
            </w:tcMar>
          </w:tcPr>
          <w:p>
            <w:pPr>
              <w:spacing w:before="0" w:after="40"/>
            </w:pPr>
            <w:r>
              <w:rPr>
                <w:rFonts w:ascii="Arial" w:cs="Arial" w:eastAsia="Arial" w:hAnsi="Arial"/>
                <w:b/>
                <w:bCs/>
                <w:i w:val="false"/>
                <w:iCs w:val="false"/>
                <w:color w:val="B91C1C"/>
                <w:sz w:val="18"/>
                <w:szCs w:val="18"/>
              </w:rPr>
              <w:t>RISK</w:t>
            </w:r>
          </w:p>
          <w:p>
            <w:pPr>
              <w:spacing w:before="80" w:after="80"/>
            </w:pPr>
            <w:r>
              <w:rPr>
                <w:rFonts w:ascii="Arial" w:cs="Arial" w:eastAsia="Arial" w:hAnsi="Arial"/>
                <w:b w:val="false"/>
                <w:bCs w:val="false"/>
                <w:i/>
                <w:iCs/>
                <w:color w:val="AAAAAA"/>
                <w:sz w:val="20"/>
                <w:szCs w:val="20"/>
              </w:rPr>
              <w:t>Regulatory Shifts: Changes in FDA testing requirements, FSMA enforcement priorities, or international trade agreements could alter testing demand patterns.</w:t>
            </w:r>
          </w:p>
        </w:tc>
        <w:tc>
          <w:tcPr>
            <w:tcW w:type="dxa" w:w="4680"/>
            <w:tcBorders>
              <w:top w:val="single" w:color="DCE4EE" w:sz="4"/>
              <w:left w:val="single" w:color="DCE4EE" w:sz="4"/>
              <w:bottom w:val="single" w:color="DCE4EE" w:sz="4"/>
              <w:right w:val="single" w:color="DCE4EE" w:sz="4"/>
            </w:tcBorders>
            <w:shd w:fill="F0FBF4" w:val="clear"/>
            <w:tcMar>
              <w:top w:type="dxa" w:w="140"/>
              <w:left w:type="dxa" w:w="140"/>
              <w:bottom w:type="dxa" w:w="140"/>
              <w:right w:type="dxa" w:w="140"/>
            </w:tcMar>
          </w:tcPr>
          <w:p>
            <w:pPr>
              <w:spacing w:before="0" w:after="40"/>
            </w:pPr>
            <w:r>
              <w:rPr>
                <w:rFonts w:ascii="Arial" w:cs="Arial" w:eastAsia="Arial" w:hAnsi="Arial"/>
                <w:b/>
                <w:bCs/>
                <w:i w:val="false"/>
                <w:iCs w:val="false"/>
                <w:color w:val="1E7D43"/>
                <w:sz w:val="18"/>
                <w:szCs w:val="18"/>
              </w:rPr>
              <w:t>MITIGATION</w:t>
            </w:r>
          </w:p>
          <w:p>
            <w:pPr>
              <w:spacing w:before="80" w:after="80"/>
            </w:pPr>
            <w:r>
              <w:rPr>
                <w:rFonts w:ascii="Arial" w:cs="Arial" w:eastAsia="Arial" w:hAnsi="Arial"/>
                <w:b w:val="false"/>
                <w:bCs w:val="false"/>
                <w:i/>
                <w:iCs/>
                <w:color w:val="AAAAAA"/>
                <w:sz w:val="20"/>
                <w:szCs w:val="20"/>
              </w:rPr>
              <w:t>Stay current on regulatory developments through industry associations and FDA guidance documents. Diversify testing capabilities across multiple regulatory frameworks.</w:t>
            </w:r>
          </w:p>
        </w:tc>
      </w:tr>
      <w:tr>
        <w:tc>
          <w:tcPr>
            <w:tcW w:type="dxa" w:w="4680"/>
            <w:tcBorders>
              <w:top w:val="single" w:color="DCE4EE" w:sz="4"/>
              <w:left w:val="single" w:color="DCE4EE" w:sz="4"/>
              <w:bottom w:val="single" w:color="DCE4EE" w:sz="4"/>
              <w:right w:val="single" w:color="DCE4EE" w:sz="4"/>
            </w:tcBorders>
            <w:shd w:fill="FFF0F0" w:val="clear"/>
            <w:tcMar>
              <w:top w:type="dxa" w:w="140"/>
              <w:left w:type="dxa" w:w="140"/>
              <w:bottom w:type="dxa" w:w="140"/>
              <w:right w:type="dxa" w:w="140"/>
            </w:tcMar>
          </w:tcPr>
          <w:p>
            <w:pPr>
              <w:spacing w:before="0" w:after="40"/>
            </w:pPr>
            <w:r>
              <w:rPr>
                <w:rFonts w:ascii="Arial" w:cs="Arial" w:eastAsia="Arial" w:hAnsi="Arial"/>
                <w:b/>
                <w:bCs/>
                <w:i w:val="false"/>
                <w:iCs w:val="false"/>
                <w:color w:val="B91C1C"/>
                <w:sz w:val="18"/>
                <w:szCs w:val="18"/>
              </w:rPr>
              <w:t>RISK</w:t>
            </w:r>
          </w:p>
          <w:p>
            <w:pPr>
              <w:spacing w:before="80" w:after="80"/>
            </w:pPr>
            <w:r>
              <w:rPr>
                <w:rFonts w:ascii="Arial" w:cs="Arial" w:eastAsia="Arial" w:hAnsi="Arial"/>
                <w:b w:val="false"/>
                <w:bCs w:val="false"/>
                <w:i/>
                <w:iCs/>
                <w:color w:val="AAAAAA"/>
                <w:sz w:val="20"/>
                <w:szCs w:val="20"/>
              </w:rPr>
              <w:t>Economic Slowdown in Produce Sector: A recession or trade disruption could reduce produce volumes through the RGV corridor.</w:t>
            </w:r>
          </w:p>
        </w:tc>
        <w:tc>
          <w:tcPr>
            <w:tcW w:type="dxa" w:w="4680"/>
            <w:tcBorders>
              <w:top w:val="single" w:color="DCE4EE" w:sz="4"/>
              <w:left w:val="single" w:color="DCE4EE" w:sz="4"/>
              <w:bottom w:val="single" w:color="DCE4EE" w:sz="4"/>
              <w:right w:val="single" w:color="DCE4EE" w:sz="4"/>
            </w:tcBorders>
            <w:shd w:fill="F0FBF4" w:val="clear"/>
            <w:tcMar>
              <w:top w:type="dxa" w:w="140"/>
              <w:left w:type="dxa" w:w="140"/>
              <w:bottom w:type="dxa" w:w="140"/>
              <w:right w:type="dxa" w:w="140"/>
            </w:tcMar>
          </w:tcPr>
          <w:p>
            <w:pPr>
              <w:spacing w:before="0" w:after="40"/>
            </w:pPr>
            <w:r>
              <w:rPr>
                <w:rFonts w:ascii="Arial" w:cs="Arial" w:eastAsia="Arial" w:hAnsi="Arial"/>
                <w:b/>
                <w:bCs/>
                <w:i w:val="false"/>
                <w:iCs w:val="false"/>
                <w:color w:val="1E7D43"/>
                <w:sz w:val="18"/>
                <w:szCs w:val="18"/>
              </w:rPr>
              <w:t>MITIGATION</w:t>
            </w:r>
          </w:p>
          <w:p>
            <w:pPr>
              <w:spacing w:before="80" w:after="80"/>
            </w:pPr>
            <w:r>
              <w:rPr>
                <w:rFonts w:ascii="Arial" w:cs="Arial" w:eastAsia="Arial" w:hAnsi="Arial"/>
                <w:b w:val="false"/>
                <w:bCs w:val="false"/>
                <w:i/>
                <w:iCs/>
                <w:color w:val="AAAAAA"/>
                <w:sz w:val="20"/>
                <w:szCs w:val="20"/>
              </w:rPr>
              <w:t>Diversify revenue streams across food safety, petroleum geochemistry, and environmental testing. The petroleum geochemistry capability provides a natural hedge against agricultural sector volatility.</w:t>
            </w:r>
          </w:p>
        </w:tc>
      </w:tr>
    </w:tbl>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06</w:t>
      </w:r>
    </w:p>
    <w:p>
      <w:pPr>
        <w:spacing w:before="0" w:after="100"/>
        <w:keepNext/>
        <w:keepLines/>
        <w:ind w:left="1440" w:right="1440"/>
      </w:pPr>
      <w:r>
        <w:rPr>
          <w:rFonts w:ascii="Arial" w:cs="Arial" w:eastAsia="Arial" w:hAnsi="Arial"/>
          <w:b/>
          <w:bCs/>
          <w:i w:val="false"/>
          <w:iCs w:val="false"/>
          <w:color w:val="162336"/>
          <w:sz w:val="36"/>
          <w:szCs w:val="36"/>
        </w:rPr>
        <w:t>5-Year Strategic Horizon</w:t>
      </w:r>
    </w:p>
    <w:p>
      <w:pPr>
        <w:spacing w:before="0" w:after="200"/>
        <w:ind w:left="1440" w:right="1440"/>
      </w:pPr>
      <w:r>
        <w:rPr>
          <w:rFonts w:ascii="Arial" w:cs="Arial" w:eastAsia="Arial" w:hAnsi="Arial"/>
          <w:b w:val="false"/>
          <w:bCs w:val="false"/>
          <w:i w:val="false"/>
          <w:iCs w:val="false"/>
          <w:color w:val="7E8691"/>
          <w:sz w:val="20"/>
          <w:szCs w:val="20"/>
        </w:rPr>
        <w:t>Where Empiria Labs should be positioned by — and what it takes to get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85D1A" w:val="clear"/>
            <w:tcMar>
              <w:top w:type="dxa" w:w="80"/>
              <w:left w:type="dxa" w:w="120"/>
              <w:bottom w:type="dxa" w:w="80"/>
              <w:right w:type="dxa" w:w="120"/>
            </w:tcMar>
          </w:tcPr>
          <w:p>
            <w:pPr>
              <w:jc w:val="center"/>
            </w:pPr>
            <w:r>
              <w:rPr>
                <w:rFonts w:ascii="Arial" w:cs="Arial" w:eastAsia="Arial" w:hAnsi="Arial"/>
                <w:b/>
                <w:bCs/>
                <w:i w:val="false"/>
                <w:iCs w:val="false"/>
                <w:color w:val="FFFFFF"/>
                <w:sz w:val="22"/>
                <w:szCs w:val="22"/>
              </w:rPr>
              <w:t>2026</w:t>
            </w:r>
          </w:p>
        </w:tc>
        <w:tc>
          <w:tcPr>
            <w:tcW w:type="dxa" w:w="1872"/>
            <w:tcBorders>
              <w:top w:val="none" w:color="FFFFFF" w:sz="0"/>
              <w:left w:val="none" w:color="FFFFFF" w:sz="0"/>
              <w:bottom w:val="none" w:color="FFFFFF" w:sz="0"/>
              <w:right w:val="none" w:color="FFFFFF" w:sz="0"/>
            </w:tcBorders>
            <w:shd w:fill="E85D1A" w:val="clear"/>
            <w:tcMar>
              <w:top w:type="dxa" w:w="80"/>
              <w:left w:type="dxa" w:w="120"/>
              <w:bottom w:type="dxa" w:w="80"/>
              <w:right w:type="dxa" w:w="120"/>
            </w:tcMar>
          </w:tcPr>
          <w:p>
            <w:pPr>
              <w:jc w:val="center"/>
            </w:pPr>
            <w:r>
              <w:rPr>
                <w:rFonts w:ascii="Arial" w:cs="Arial" w:eastAsia="Arial" w:hAnsi="Arial"/>
                <w:b/>
                <w:bCs/>
                <w:i w:val="false"/>
                <w:iCs w:val="false"/>
                <w:color w:val="FFFFFF"/>
                <w:sz w:val="22"/>
                <w:szCs w:val="22"/>
              </w:rPr>
              <w:t>2027</w:t>
            </w:r>
          </w:p>
        </w:tc>
        <w:tc>
          <w:tcPr>
            <w:tcW w:type="dxa" w:w="1872"/>
            <w:tcBorders>
              <w:top w:val="none" w:color="FFFFFF" w:sz="0"/>
              <w:left w:val="none" w:color="FFFFFF" w:sz="0"/>
              <w:bottom w:val="none" w:color="FFFFFF" w:sz="0"/>
              <w:right w:val="none" w:color="FFFFFF" w:sz="0"/>
            </w:tcBorders>
            <w:shd w:fill="E85D1A" w:val="clear"/>
            <w:tcMar>
              <w:top w:type="dxa" w:w="80"/>
              <w:left w:type="dxa" w:w="120"/>
              <w:bottom w:type="dxa" w:w="80"/>
              <w:right w:type="dxa" w:w="120"/>
            </w:tcMar>
          </w:tcPr>
          <w:p>
            <w:pPr>
              <w:jc w:val="center"/>
            </w:pPr>
            <w:r>
              <w:rPr>
                <w:rFonts w:ascii="Arial" w:cs="Arial" w:eastAsia="Arial" w:hAnsi="Arial"/>
                <w:b/>
                <w:bCs/>
                <w:i w:val="false"/>
                <w:iCs w:val="false"/>
                <w:color w:val="FFFFFF"/>
                <w:sz w:val="22"/>
                <w:szCs w:val="22"/>
              </w:rPr>
              <w:t>2028</w:t>
            </w:r>
          </w:p>
        </w:tc>
        <w:tc>
          <w:tcPr>
            <w:tcW w:type="dxa" w:w="1872"/>
            <w:tcBorders>
              <w:top w:val="none" w:color="FFFFFF" w:sz="0"/>
              <w:left w:val="none" w:color="FFFFFF" w:sz="0"/>
              <w:bottom w:val="none" w:color="FFFFFF" w:sz="0"/>
              <w:right w:val="none" w:color="FFFFFF" w:sz="0"/>
            </w:tcBorders>
            <w:shd w:fill="E85D1A" w:val="clear"/>
            <w:tcMar>
              <w:top w:type="dxa" w:w="80"/>
              <w:left w:type="dxa" w:w="120"/>
              <w:bottom w:type="dxa" w:w="80"/>
              <w:right w:type="dxa" w:w="120"/>
            </w:tcMar>
          </w:tcPr>
          <w:p>
            <w:pPr>
              <w:jc w:val="center"/>
            </w:pPr>
            <w:r>
              <w:rPr>
                <w:rFonts w:ascii="Arial" w:cs="Arial" w:eastAsia="Arial" w:hAnsi="Arial"/>
                <w:b/>
                <w:bCs/>
                <w:i w:val="false"/>
                <w:iCs w:val="false"/>
                <w:color w:val="FFFFFF"/>
                <w:sz w:val="22"/>
                <w:szCs w:val="22"/>
              </w:rPr>
              <w:t>2029</w:t>
            </w:r>
          </w:p>
        </w:tc>
        <w:tc>
          <w:tcPr>
            <w:tcW w:type="dxa" w:w="1872"/>
            <w:tcBorders>
              <w:top w:val="none" w:color="FFFFFF" w:sz="0"/>
              <w:left w:val="none" w:color="FFFFFF" w:sz="0"/>
              <w:bottom w:val="none" w:color="FFFFFF" w:sz="0"/>
              <w:right w:val="none" w:color="FFFFFF" w:sz="0"/>
            </w:tcBorders>
            <w:shd w:fill="E85D1A" w:val="clear"/>
            <w:tcMar>
              <w:top w:type="dxa" w:w="80"/>
              <w:left w:type="dxa" w:w="120"/>
              <w:bottom w:type="dxa" w:w="80"/>
              <w:right w:type="dxa" w:w="120"/>
            </w:tcMar>
          </w:tcPr>
          <w:p>
            <w:pPr>
              <w:jc w:val="center"/>
            </w:pPr>
            <w:r>
              <w:rPr>
                <w:rFonts w:ascii="Arial" w:cs="Arial" w:eastAsia="Arial" w:hAnsi="Arial"/>
                <w:b/>
                <w:bCs/>
                <w:i w:val="false"/>
                <w:iCs w:val="false"/>
                <w:color w:val="FFFFFF"/>
                <w:sz w:val="22"/>
                <w:szCs w:val="22"/>
              </w:rPr>
              <w:t>2030</w:t>
            </w:r>
          </w:p>
        </w:tc>
      </w:tr>
      <w:tr>
        <w:tc>
          <w:tcPr>
            <w:tcW w:type="dxa" w:w="1872"/>
            <w:tcBorders>
              <w:top w:val="single" w:color="DCE4EE" w:sz="4"/>
              <w:left w:val="single" w:color="DCE4EE" w:sz="4"/>
              <w:bottom w:val="single" w:color="DCE4EE" w:sz="4"/>
              <w:right w:val="single" w:color="DCE4EE" w:sz="4"/>
            </w:tcBorders>
            <w:shd w:fill="E7EDF4" w:val="clear"/>
            <w:tcMar>
              <w:top w:type="dxa" w:w="160"/>
              <w:left w:type="dxa" w:w="140"/>
              <w:bottom w:type="dxa" w:w="160"/>
              <w:right w:type="dxa" w:w="140"/>
            </w:tcMar>
          </w:tcPr>
          <w:p>
            <w:pPr>
              <w:spacing w:before="80" w:after="80"/>
            </w:pPr>
            <w:r>
              <w:rPr>
                <w:rFonts w:ascii="Arial" w:cs="Arial" w:eastAsia="Arial" w:hAnsi="Arial"/>
                <w:b w:val="false"/>
                <w:bCs w:val="false"/>
                <w:i/>
                <w:iCs/>
                <w:color w:val="AAAAAA"/>
                <w:sz w:val="20"/>
                <w:szCs w:val="20"/>
              </w:rPr>
              <w:t>Foundation: Launch professional website, establish Google presence, capture first wave of inbound leads from digital visibility. Goal: prove that digital investment converts to testing contracts.</w:t>
            </w:r>
          </w:p>
        </w:tc>
        <w:tc>
          <w:tcPr>
            <w:tcW w:type="dxa" w:w="1872"/>
            <w:tcBorders>
              <w:top w:val="single" w:color="DCE4EE" w:sz="4"/>
              <w:left w:val="single" w:color="DCE4EE" w:sz="4"/>
              <w:bottom w:val="single" w:color="DCE4EE" w:sz="4"/>
              <w:right w:val="single" w:color="DCE4EE" w:sz="4"/>
            </w:tcBorders>
            <w:shd w:fill="F4F6F9" w:val="clear"/>
            <w:tcMar>
              <w:top w:type="dxa" w:w="160"/>
              <w:left w:type="dxa" w:w="140"/>
              <w:bottom w:type="dxa" w:w="160"/>
              <w:right w:type="dxa" w:w="140"/>
            </w:tcMar>
          </w:tcPr>
          <w:p>
            <w:pPr>
              <w:spacing w:before="80" w:after="80"/>
            </w:pPr>
            <w:r>
              <w:rPr>
                <w:rFonts w:ascii="Arial" w:cs="Arial" w:eastAsia="Arial" w:hAnsi="Arial"/>
                <w:b w:val="false"/>
                <w:bCs w:val="false"/>
                <w:i/>
                <w:iCs/>
                <w:color w:val="AAAAAA"/>
                <w:sz w:val="20"/>
                <w:szCs w:val="20"/>
              </w:rPr>
              <w:t>Growth: SEO and content marketing drive consistent monthly leads. Cross-border testing expands as Mexican exporters discover Empiria through bilingual digital presence. First full year of digital-driven client acquisition.</w:t>
            </w:r>
          </w:p>
        </w:tc>
        <w:tc>
          <w:tcPr>
            <w:tcW w:type="dxa" w:w="1872"/>
            <w:tcBorders>
              <w:top w:val="single" w:color="DCE4EE" w:sz="4"/>
              <w:left w:val="single" w:color="DCE4EE" w:sz="4"/>
              <w:bottom w:val="single" w:color="DCE4EE" w:sz="4"/>
              <w:right w:val="single" w:color="DCE4EE" w:sz="4"/>
            </w:tcBorders>
            <w:shd w:fill="E7EDF4" w:val="clear"/>
            <w:tcMar>
              <w:top w:type="dxa" w:w="160"/>
              <w:left w:type="dxa" w:w="140"/>
              <w:bottom w:type="dxa" w:w="160"/>
              <w:right w:type="dxa" w:w="140"/>
            </w:tcMar>
          </w:tcPr>
          <w:p>
            <w:pPr>
              <w:spacing w:before="80" w:after="80"/>
            </w:pPr>
            <w:r>
              <w:rPr>
                <w:rFonts w:ascii="Arial" w:cs="Arial" w:eastAsia="Arial" w:hAnsi="Arial"/>
                <w:b w:val="false"/>
                <w:bCs w:val="false"/>
                <w:i/>
                <w:iCs/>
                <w:color w:val="AAAAAA"/>
                <w:sz w:val="20"/>
                <w:szCs w:val="20"/>
              </w:rPr>
              <w:t>Expansion: Evaluate second instrument suite or expanded testing scope based on demand patterns. Consider environmental testing accreditation to diversify revenue. Hire additional analytical staff to handle volume.</w:t>
            </w:r>
          </w:p>
        </w:tc>
        <w:tc>
          <w:tcPr>
            <w:tcW w:type="dxa" w:w="1872"/>
            <w:tcBorders>
              <w:top w:val="single" w:color="DCE4EE" w:sz="4"/>
              <w:left w:val="single" w:color="DCE4EE" w:sz="4"/>
              <w:bottom w:val="single" w:color="DCE4EE" w:sz="4"/>
              <w:right w:val="single" w:color="DCE4EE" w:sz="4"/>
            </w:tcBorders>
            <w:shd w:fill="F4F6F9" w:val="clear"/>
            <w:tcMar>
              <w:top w:type="dxa" w:w="160"/>
              <w:left w:type="dxa" w:w="140"/>
              <w:bottom w:type="dxa" w:w="160"/>
              <w:right w:type="dxa" w:w="140"/>
            </w:tcMar>
          </w:tcPr>
          <w:p>
            <w:pPr>
              <w:spacing w:before="80" w:after="80"/>
            </w:pPr>
            <w:r>
              <w:rPr>
                <w:rFonts w:ascii="Arial" w:cs="Arial" w:eastAsia="Arial" w:hAnsi="Arial"/>
                <w:b w:val="false"/>
                <w:bCs w:val="false"/>
                <w:i/>
                <w:iCs/>
                <w:color w:val="AAAAAA"/>
                <w:sz w:val="20"/>
                <w:szCs w:val="20"/>
              </w:rPr>
              <w:t>Authority: Empiria is recognized as the go-to food safety testing lab in South Texas. Conference speaking, industry publication, and association partnerships cement thought leadership. Explore partnership or licensing model for laboratory management consulting.</w:t>
            </w:r>
          </w:p>
        </w:tc>
        <w:tc>
          <w:tcPr>
            <w:tcW w:type="dxa" w:w="1872"/>
            <w:tcBorders>
              <w:top w:val="single" w:color="DCE4EE" w:sz="4"/>
              <w:left w:val="single" w:color="DCE4EE" w:sz="4"/>
              <w:bottom w:val="single" w:color="DCE4EE" w:sz="4"/>
              <w:right w:val="single" w:color="DCE4EE" w:sz="4"/>
            </w:tcBorders>
            <w:shd w:fill="E7EDF4" w:val="clear"/>
            <w:tcMar>
              <w:top w:type="dxa" w:w="160"/>
              <w:left w:type="dxa" w:w="140"/>
              <w:bottom w:type="dxa" w:w="160"/>
              <w:right w:type="dxa" w:w="140"/>
            </w:tcMar>
          </w:tcPr>
          <w:p>
            <w:pPr>
              <w:spacing w:before="80" w:after="80"/>
            </w:pPr>
            <w:r>
              <w:rPr>
                <w:rFonts w:ascii="Arial" w:cs="Arial" w:eastAsia="Arial" w:hAnsi="Arial"/>
                <w:b w:val="false"/>
                <w:bCs w:val="false"/>
                <w:i/>
                <w:iCs/>
                <w:color w:val="AAAAAA"/>
                <w:sz w:val="20"/>
                <w:szCs w:val="20"/>
              </w:rPr>
              <w:t>Scale: Full facility utilization with clear path to second location or expanded capacity. Multiple revenue streams (food safety, petroleum, environmental) provide stability. Brand value supports premium pricing relative to commodity testing services.</w:t>
            </w:r>
          </w:p>
        </w:tc>
      </w:tr>
    </w:tbl>
    <w:p>
      <w:pPr>
        <w:spacing w:before="240" w:after="160"/>
        <w:ind w:left="1440" w:right="1440"/>
      </w:pPr>
      <w:r>
        <w:rPr>
          <w:rFonts w:ascii="Arial" w:cs="Arial" w:eastAsia="Arial" w:hAnsi="Arial"/>
          <w:b w:val="false"/>
          <w:bCs w:val="false"/>
          <w:i w:val="false"/>
          <w:iCs w:val="false"/>
          <w:color w:val="7E8691"/>
          <w:sz w:val="20"/>
          <w:szCs w:val="20"/>
        </w:rPr>
      </w:r>
      <w:r>
        <w:rPr>
          <w:rFonts w:ascii="Arial" w:cs="Arial" w:eastAsia="Arial" w:hAnsi="Arial"/>
          <w:color w:val="E85D1A"/>
          <w:sz w:val="20"/>
          <w:szCs w:val="20"/>
        </w:rPr>
      </w:r>
      <w:r>
        <w:rPr>
          <w:rFonts w:ascii="Arial" w:cs="Arial" w:eastAsia="Arial" w:hAnsi="Arial"/>
          <w:b w:val="false"/>
          <w:bCs w:val="false"/>
          <w:i w:val="false"/>
          <w:iCs w:val="false"/>
          <w:color w:val="7E8691"/>
          <w:sz w:val="20"/>
          <w:szCs w:val="20"/>
        </w:rPr>
        <w:t>By , the in will be meaningfully larger than it is today. The structural drivers — FSMA Produce Safety Rule enforcement increasing demand for third-party testing, Nearshoring and cross-border produce trade growth in South Texas, Consumer demand for pesticide-free and organic certification, and Retail and foodservice supply chain audit requirements tightening — will have compounded for five more years. The question is not whether there will be demand for Empiria Labs's products. The question is whether Empiria Labs will be findable, credible, and operationally scaled when that demand arrives.</w:t>
      </w:r>
    </w:p>
    <w:p>
      <w:pPr>
        <w:spacing w:before="80" w:after="80"/>
        <w:ind w:left="1440" w:right="1440"/>
      </w:pPr>
      <w:r>
        <w:rPr>
          <w:rFonts w:ascii="Arial" w:cs="Arial" w:eastAsia="Arial" w:hAnsi="Arial"/>
          <w:b w:val="false"/>
          <w:bCs w:val="false"/>
          <w:i/>
          <w:iCs/>
          <w:color w:val="AAAAAA"/>
          <w:sz w:val="20"/>
          <w:szCs w:val="20"/>
        </w:rPr>
        <w:t>The food safety testing market is not speculative -- it is driven by regulatory mandates that are only tightening. Empiria's unique combination of dual accreditation, geographic advantage, and scientific leadership positions the lab for sustained growth if the digital foundation is built now.</w:t>
        <w:br/>
        <w:br/>
        <w:t>In five years, Empiria Labs should be the undisputed food safety testing authority in South Texas, with $1M+ ARR, a full client roster of RGV produce companies, cross-border testing contracts, and a growing petroleum geochemistry practice. The brand should command premium pricing based on accreditation, proximity, and scientific leadership. For that future to materialize, the digital presence must be built today -- every month of delay is market share ceded to distant competitors who are already investing in digital visibility.</w:t>
      </w:r>
    </w:p>
    <w:p>
      <w:pPr>
        <w:spacing w:before="20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"The does not reward the best — it rewards the most visible one. Empiria Labs has the operational excellence to win on product. The 5-year forecast belongs to the version of Empiria Labs that also wins on presence."</w:t>
            </w:r>
          </w:p>
          <w:p>
            <w:pPr>
              <w:spacing w:before="0" w:after="0"/>
            </w:pPr>
            <w:r>
              <w:rPr>
                <w:rFonts w:ascii="Arial" w:cs="Arial" w:eastAsia="Arial" w:hAnsi="Arial"/>
                <w:b w:val="false"/>
                <w:bCs w:val="false"/>
                <w:i w:val="false"/>
                <w:iCs w:val="false"/>
                <w:color w:val="E85D1A"/>
                <w:sz w:val="18"/>
                <w:szCs w:val="18"/>
              </w:rPr>
              <w:t>— Maker Web Studios Market Analysis</w:t>
            </w:r>
          </w:p>
        </w:tc>
      </w:tr>
    </w:tbl>
    <w:sectPr>
      <w:headerReference w:type="default" r:id="rId6"/>
      <w:footerReference w:type="default" r:id="rId7"/>
      <w:headerReference w:type="first" r:id="rId15"/>
      <w:footerReference w:type="first" r:id="rId16"/>
      <w:pgSz w:w="12240" w:h="15840" w:orient="portrait"/>
      <w:pgMar w:top="0" w:right="0" w:bottom="0" w:left="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Empiria Labs</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Footer 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[CLIENT NAME]</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Code"/>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1A" w:sz="6" w:space="1"/>
      </w:pBdr>
      <w:tabs>
        <w:tab w:val="right" w:pos="9360"/>
      </w:tabs>
      <w:spacing w:before="0" w:after="200"/>
    </w:pPr>
    <w:r/>
    <w:r>
      <w:rPr>
        <w:rFonts w:ascii="Arial" w:cs="Arial" w:eastAsia="Arial" w:hAnsi="Arial"/>
        <w:b/>
        <w:bCs/>
        <w:caps/>
        <w:color w:val="E85D1A"/>
        <w:sz w:val="18"/>
        <w:szCs w:val="18"/>
      </w:rPr>
    </w:r>
    <w:r>
      <w:rPr>
        <w:rFonts w:ascii="Arial" w:cs="Arial" w:eastAsia="Arial" w:hAnsi="Arial"/>
        <w:sz w:val="18"/>
        <w:szCs w:val="18"/>
      </w:rPr>
    </w:r>
    <w:r>
      <w:rPr>
        <w:rFonts w:ascii="Arial" w:cs="Arial" w:eastAsia="Arial" w:hAnsi="Arial"/>
        <w:color w:val="7E8691"/>
        <w:sz w:val="18"/>
        <w:szCs w:val="18"/>
      </w:rPr>
      <w:t>MAKER WEB STUDIOS</w:t>
      <w:tab/>
      <w:t>Empiria Labs | MARKET ANALYSIS &amp; 5-YEAR FORECAST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3b38e8080f2c68cd11e9f3e82cddd5de9969f5b.jpg"/><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2026-03-24T16:15:08.041Z</dcterms:created>
  <dcterms:modified xsi:type="dcterms:W3CDTF">2026-03-24T16:15:08.041Z</dcterms:modified>
</cp:coreProperties>
</file>

<file path=docProps/custom.xml><?xml version="1.0" encoding="utf-8"?>
<Properties xmlns="http://schemas.openxmlformats.org/officeDocument/2006/custom-properties" xmlns:vt="http://schemas.openxmlformats.org/officeDocument/2006/docPropsVTypes"/>
</file>