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B2B" w:val="clear"/>
            <w:tcMar>
              <w:top w:type="dxa" w:w="1440"/>
              <w:left w:type="dxa" w:w="1440"/>
              <w:bottom w:type="dxa" w:w="1440"/>
              <w:right w:type="dxa" w:w="1440"/>
            </w:tcMar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40"/>
                  </w:pPr>
                  <w:r>
                    <w:drawing>
                      <wp:inline distT="0" distB="0" distL="0" distR="0">
                        <wp:extent cx="571500" cy="5429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542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before="40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  <w:t>SALES STRATEGY &amp; VALUE PLAYBOOK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>SALES STRATEGY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>&amp; VALUE PLAYBOOK</w:t>
            </w:r>
          </w:p>
          <w:p>
            <w:pPr>
              <w:pBdr>
                <w:bottom w:val="single" w:color="E85D1A" w:sz="8"/>
              </w:pBdr>
              <w:spacing w:before="280" w:after="280"/>
            </w:pP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>Positioning, Prospecting, and Building a Pipeline That Scales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>● Prepared by Maker Web Studios ● March 2026 ●</w:t>
            </w: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</w: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</w:r>
          </w:p>
          <w:p>
            <w:pPr>
              <w:pBdr>
                <w:top w:val="single" w:color="2A3A4A" w:sz="4"/>
              </w:pBdr>
              <w:spacing w:before="32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>CONFIDENTIAL — PREPARED EXCLUSIVELY FOR Empiria Labs</w:t>
            </w:r>
          </w:p>
        </w:tc>
      </w:tr>
    </w:tbl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>SECTION 01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>Current Position — Honest Assessment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Services &amp; Revenue Potential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SERVICE CATEGORY</w:t>
            </w:r>
          </w:p>
        </w:tc>
        <w:tc>
          <w:tcPr>
            <w:tcW w:type="dxa" w:w="24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BUYER PROFILE</w:t>
            </w:r>
          </w:p>
        </w:tc>
        <w:tc>
          <w:tcPr>
            <w:tcW w:type="dxa" w:w="39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REVENUE POTENTIAL</w:t>
            </w:r>
          </w:p>
        </w:tc>
      </w:tr>
      <w:tr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Pesticide Residue Analysis (LC/MS-MS, GC/MS-MS)</w:t>
            </w:r>
          </w:p>
        </w:tc>
        <w:tc>
          <w:tcPr>
            <w:tcW w:type="dxa" w:w="24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QA Manager at produce companies, FSMA compliance officers</w:t>
            </w:r>
          </w:p>
        </w:tc>
        <w:tc>
          <w:tcPr>
            <w:tcW w:type="dxa" w:w="39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HIGHEST -- This is the core revenue driver. Every produce company shipping through the RGV needs pesticide testing for regulatory compliance and retailer audits. Recurring revenue, high volume, non-discretionary.</w:t>
            </w:r>
          </w:p>
        </w:tc>
      </w:tr>
      <w:tr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Microbiological Testing (E. coli, Salmonella, Listeria)</w:t>
            </w:r>
          </w:p>
        </w:tc>
        <w:tc>
          <w:tcPr>
            <w:tcW w:type="dxa" w:w="24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Food safety directors, produce company owners</w:t>
            </w:r>
          </w:p>
        </w:tc>
        <w:tc>
          <w:tcPr>
            <w:tcW w:type="dxa" w:w="39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HIGHEST -- Required for FSMA compliance, retailer food safety audits, and export certifications. Often bundled with pesticide testing for the same shipments.</w:t>
            </w:r>
          </w:p>
        </w:tc>
      </w:tr>
      <w:tr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Heavy Metals &amp; Mycotoxin Analysis (ICP/OES)</w:t>
            </w:r>
          </w:p>
        </w:tc>
        <w:tc>
          <w:tcPr>
            <w:tcW w:type="dxa" w:w="24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Organic producers, export-focused companies, regulatory agencies</w:t>
            </w:r>
          </w:p>
        </w:tc>
        <w:tc>
          <w:tcPr>
            <w:tcW w:type="dxa" w:w="39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HIGH -- Growing demand driven by consumer awareness and tightening international standards. Often required for organic certification and premium retail placement.</w:t>
            </w:r>
          </w:p>
        </w:tc>
      </w:tr>
      <w:tr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Petroleum Geochemistry (TOC, Pyrolysis, Rock Eval, Biomarkers)</w:t>
            </w:r>
          </w:p>
        </w:tc>
        <w:tc>
          <w:tcPr>
            <w:tcW w:type="dxa" w:w="24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Oil &amp; gas exploration companies, geological survey firms</w:t>
            </w:r>
          </w:p>
        </w:tc>
        <w:tc>
          <w:tcPr>
            <w:tcW w:type="dxa" w:w="39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MEDIUM -- Separate revenue stream from food safety. Less recurring but higher per-project value. Leverages Jorge Cortes' PhD expertise directly.</w:t>
            </w:r>
          </w:p>
        </w:tc>
      </w:tr>
    </w:tbl>
    <w:p>
      <w:pPr>
        <w:spacing w:before="280" w:after="8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ROI Ranking: Where to Spend Sales Energy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720"/>
        <w:gridCol w:w="3000"/>
        <w:gridCol w:w="5640"/>
      </w:tblGrid>
      <w:tr>
        <w:tc>
          <w:tcPr>
            <w:tcW w:type="dxa" w:w="7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RANK</w:t>
            </w:r>
          </w:p>
        </w:tc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CLIENT TYPE</w:t>
            </w:r>
          </w:p>
        </w:tc>
        <w:tc>
          <w:tcPr>
            <w:tcW w:type="dxa" w:w="56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WHY IT WINS</w:t>
            </w:r>
          </w:p>
        </w:tc>
      </w:tr>
      <w:tr>
        <w:tc>
          <w:tcPr>
            <w:tcW w:type="dxa" w:w="7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>#1</w:t>
            </w:r>
          </w:p>
        </w:tc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Mid-size produce companies ($5M-$50M revenue) in the RGV</w:t>
            </w:r>
          </w:p>
        </w:tc>
        <w:tc>
          <w:tcPr>
            <w:tcW w:type="dxa" w:w="56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Highest volume, most testing frequency, strongest proximity advantage, recurring monthly contracts.</w:t>
            </w:r>
          </w:p>
        </w:tc>
      </w:tr>
      <w:tr>
        <w:tc>
          <w:tcPr>
            <w:tcW w:type="dxa" w:w="7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>#2</w:t>
            </w:r>
          </w:p>
        </w:tc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Cross-border produce importers (Mexico to US)</w:t>
            </w:r>
          </w:p>
        </w:tc>
        <w:tc>
          <w:tcPr>
            <w:tcW w:type="dxa" w:w="56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Need both US and Latin American regulatory expertise. Empiria's bilingual capability and Colombian entity create a unique bridge.</w:t>
            </w:r>
          </w:p>
        </w:tc>
      </w:tr>
      <w:tr>
        <w:tc>
          <w:tcPr>
            <w:tcW w:type="dxa" w:w="7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>#3</w:t>
            </w:r>
          </w:p>
        </w:tc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Organic produce growers seeking certification</w:t>
            </w:r>
          </w:p>
        </w:tc>
        <w:tc>
          <w:tcPr>
            <w:tcW w:type="dxa" w:w="56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Premium testing requirements, willing to pay more for accredited results, growing market segment.</w:t>
            </w:r>
          </w:p>
        </w:tc>
      </w:tr>
      <w:tr>
        <w:tc>
          <w:tcPr>
            <w:tcW w:type="dxa" w:w="7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>#4</w:t>
            </w:r>
          </w:p>
        </w:tc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Retail supply chain auditors (Walmart, HEB, Kroger suppliers)</w:t>
            </w:r>
          </w:p>
        </w:tc>
        <w:tc>
          <w:tcPr>
            <w:tcW w:type="dxa" w:w="56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Retailer requirements are tightening, and suppliers need accredited labs to maintain shelf access.</w:t>
            </w:r>
          </w:p>
        </w:tc>
      </w:tr>
      <w:tr>
        <w:tc>
          <w:tcPr>
            <w:tcW w:type="dxa" w:w="7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>#5</w:t>
            </w:r>
          </w:p>
        </w:tc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Oil &amp; gas exploration companies in South Texas</w:t>
            </w:r>
          </w:p>
        </w:tc>
        <w:tc>
          <w:tcPr>
            <w:tcW w:type="dxa" w:w="56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Leverages Jorge's PhD directly, higher project values, less price-sensitive, but lower frequency.</w:t>
            </w:r>
          </w:p>
        </w:tc>
      </w:tr>
    </w:tbl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>SECTION 02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>5 Highest-Value Capabilities by Market Demand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4"/>
                <w:szCs w:val="24"/>
              </w:rPr>
              <w:t>SKILL 1: Pesticide Residue Analysis Using Multi-Residue LC/MS-MS and GC/MS-MS Methods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>MARKET DEMAND: 9/10 | SCARCITY: HIGH | SCALABLE: YES</w:t>
            </w:r>
          </w:p>
        </w:tc>
      </w:tr>
    </w:tbl>
    <w:p>
      <w:pPr>
        <w:spacing w:before="14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Who Pays for This?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QA Manager or Food Safety Director at a mid-size produce company in the Rio Grande Valley, responsible for FSMA compliance and third-party testing vendor relationships. Typically manages $50K-$100K+ annual testing budget across multiple crops and shipping cycles.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What Problem Does It Solve?</w:t>
      </w:r>
    </w:p>
    <w:p>
      <w:pPr>
        <w:spacing w:before="0" w:after="14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Produce growers in the RGV are shipping samples 350+ miles to Houston or San Antonio, losing 3-5 days per testing cycle during peak harvest when every day of delay costs thousands in held inventory. They need a local, accredited testing partner but cannot find one online because Empiria's digital presence is functionally nonexistent.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What a $ Engagement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WHAT IT INCLUDES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VALUE TO CLIENT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Multi-residue pesticide screen (200+ compounds)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Composition analysis with interpretation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Pass/fail determination for FDA, USDA, and retailer limits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Certificate of Analysis (CoA)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Composition analysis with interpretation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Regulatory-ready documentation for shipment release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Quarterly compliance summary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Composition analysis with interpretation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Early warning system for emerging contamination patterns</w:t>
            </w:r>
          </w:p>
        </w:tc>
      </w:tr>
    </w:tbl>
    <w:p>
      <w:pPr>
        <w:spacing w:before="24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4"/>
                <w:szCs w:val="24"/>
              </w:rPr>
              <w:t>SKILL 2: Microbiological Pathogen Detection and Indicator Organism Testing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>MARKET DEMAND: 9/10 | SCARCITY: HIGH | SCALABLE: YES</w:t>
            </w:r>
          </w:p>
        </w:tc>
      </w:tr>
    </w:tbl>
    <w:p>
      <w:pPr>
        <w:spacing w:before="14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Who Pays for This?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QA Manager or Owner at a $1M-$50M produce operation in South Texas or Northern Mexico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What Problem Does It Solve?</w:t>
      </w:r>
    </w:p>
    <w:p>
      <w:pPr>
        <w:spacing w:before="0" w:after="14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Cannot find a local accredited lab and currently ships samples to Houston, losing 3-5 days of turnaround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What a $ Engagement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WHAT IT INCLUDES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VALUE TO CLIENT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Pathogen detection panel (Salmonella, Listeria, E. coli O157:H7)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Validated methods per FDA BAM and ISO standards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Clear positive/negative results with turnaround commitment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Indicator organism testing (Total Coliforms, Yeast &amp; Mold, Staph aureus)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Quantitative results for process control and sanitation verification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Trend data to prevent contamination events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Environmental monitoring program design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Sampling plan, zone mapping, and corrective action triggers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Proactive contamination prevention system</w:t>
            </w:r>
          </w:p>
        </w:tc>
      </w:tr>
    </w:tbl>
    <w:p>
      <w:pPr>
        <w:spacing w:before="24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4"/>
                <w:szCs w:val="24"/>
              </w:rPr>
              <w:t>SKILL 3: Heavy Metals Quantification via ICP/OES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  <w:t>MARKET DEMAND: 10/10 |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 SCARCITY: CRITICAL | SCALABLE: YES</w:t>
            </w:r>
          </w:p>
        </w:tc>
      </w:tr>
    </w:tbl>
    <w:p>
      <w:pPr>
        <w:spacing w:before="14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Who Pays for This?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QA Manager or Owner at a $1M-$50M produce operation in South Texas or Northern Mexico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What Problem Does It Solve?</w:t>
      </w:r>
    </w:p>
    <w:p>
      <w:pPr>
        <w:spacing w:before="0" w:after="14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Cannot find a local accredited lab and currently ships samples to Houston, losing 3-5 days of turnaround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What a $ Engagement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WHAT IT INCLUDES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VALUE TO CLIENT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Heavy metals panel (Pb, Cd, As, Hg)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ICP/OES analysis with method validation under ISO 17025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Results benchmarked against FDA, Prop 65, and retailer limits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Raw material screening program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Incoming ingredient testing protocol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Supplier qualification data for procurement decisions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Annual heavy metals trend report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Year-over-year comparison of results by product and source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Risk assessment and sourcing recommendations</w:t>
            </w:r>
          </w:p>
        </w:tc>
      </w:tr>
    </w:tbl>
    <w:p>
      <w:pPr>
        <w:spacing w:before="24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4"/>
                <w:szCs w:val="24"/>
              </w:rPr>
              <w:t>SKILL 4: Mycotoxin Analysis for Grains, Spices, and Produce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>MARKET DEMAND: 6/10 | SCARCITY: HIGH | SCALABLE: YES</w:t>
            </w:r>
          </w:p>
        </w:tc>
      </w:tr>
    </w:tbl>
    <w:p>
      <w:pPr>
        <w:spacing w:before="14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Who Pays for This?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QA Manager or Owner at a $1M-$50M produce operation in South Texas or Northern Mexico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What Problem Does It Solve?</w:t>
      </w:r>
    </w:p>
    <w:p>
      <w:pPr>
        <w:spacing w:before="0" w:after="14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Cannot find a local accredited lab and currently ships samples to Houston, losing 3-5 days of turnaround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What a $ Engagement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WHAT IT INCLUDES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VALUE TO CLIENT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Mycotoxin screening panel (Aflatoxins B1/B2/G1/G2, Ochratoxin A, Fumonisins)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LC/MS-MS quantification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Results compared to FDA action levels and EU maximum limits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Import clearance testing package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Rapid turnaround for border-crossing shipments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Documentation formatted for CBP and FDA import compliance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Storage condition monitoring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Pre- and post-storage testing to verify mycotoxin stability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Data to support warehouse quality control decisions</w:t>
            </w:r>
          </w:p>
        </w:tc>
      </w:tr>
    </w:tbl>
    <w:p>
      <w:pPr>
        <w:spacing w:before="24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4"/>
                <w:szCs w:val="24"/>
              </w:rPr>
              <w:t>SKILL 5: Petroleum Geochemistry -- TOC, Pyrolysis, Rock Eval, Biomarker Analysis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  <w:t>MARKET DEMAND: 10/10 |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 SCARCITY: CRITICAL | SCALABLE: YES</w:t>
            </w:r>
          </w:p>
        </w:tc>
      </w:tr>
    </w:tbl>
    <w:p>
      <w:pPr>
        <w:spacing w:before="14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Who Pays for This?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QA Manager or Owner at a $1M-$50M produce operation in South Texas or Northern Mexico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What Problem Does It Solve?</w:t>
      </w:r>
    </w:p>
    <w:p>
      <w:pPr>
        <w:spacing w:before="0" w:after="14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Cannot find a local accredited lab and currently ships samples to Houston, losing 3-5 days of turnaround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What a $ Engagement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WHAT IT INCLUDES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VALUE TO CLIENT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Source rock evaluation (TOC + Rock Eval Pyrolysis)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Organic richness and thermal maturity assessment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Prospect ranking data for exploration decisions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Biomarker fingerprinting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GC/MS-MS molecular characterization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Source correlation and migration pathway analysis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Crude oil geochemistry report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Composition analysis with interpretation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Asset valuation support data</w:t>
            </w:r>
          </w:p>
        </w:tc>
      </w:tr>
    </w:tbl>
    <w:p>
      <w:pPr>
        <w:spacing w:before="240" w:after="0"/>
        <w:ind w:left="1440" w:right="1440"/>
      </w:pP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>SECTION 03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>Outreach Messages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Prospect-specific messages that lead with their problem. Personalize the before sending.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>Message 1 — —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Subject: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Hi , . . . . .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>Message 2 — —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Subject: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Hi , . . . . .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>Message 3 — —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Subject: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Hi , . . . . .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>Message 4 — —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Subject: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Hi , . . . . .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>Message 5 — —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Subject: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Hi , . . . . .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>Message 6 — —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Subject: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Hi , . . . . .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>SECTION 04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>Client Onboarding Questionnaire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Send before the first discovery call. Saves 30+ minutes and signals professionalism before the work begins.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>SECTION 05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>Proposal Template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for all client-specific fields. Sections: The Opportunity, Recommended Package, Why Empiria Labs, Investment, Next Steps.]</w:t>
      </w:r>
    </w:p>
    <w:p>
      <w:pPr>
        <w:spacing w:before="20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8"/>
              <w:bottom w:val="none" w:color="FFFFFF" w:sz="0"/>
              <w:right w:val="none" w:color="FFFFFF" w:sz="0"/>
            </w:tcBorders>
            <w:shd w:fill="2029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>"Before sending: (1) Read the proposal aloud once. (2) Reference something specific from the discovery call. (3) Add one credential that matches their industry. These three things are the difference between a proposal that gets filed and one that gets signed."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D1A"/>
                <w:sz w:val="18"/>
                <w:szCs w:val="18"/>
              </w:rPr>
              <w:t>— Maker Web Studios Proposal Personalization Reminder</w:t>
            </w:r>
          </w:p>
        </w:tc>
      </w:tr>
    </w:tbl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>SECTION 06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>Final Notes — The Advantage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>Recommended First 90 Days: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Deploy the Website Within 30 Days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The single highest-leverage action Empiria can take is having a functioning website that communicates services, credentials, and a way to submit samples. Every other action depends on this foundation existing.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Claim and Optimize Google Business Profile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This is the fastest path to local search visibility. A fully optimized GBP with services, photos, and posts will surface Empiria in "lab near me" searches within weeks -- even before the website ranks organically.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Build Direct Relationships with Produce Association Leaders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Empiria should be a presenting sponsor or speaker at Viva Fresh and similar produce industry events. Sarai's existing presence at Viva Fresh EDGE is the right foundation -- expand it to include Empiria's testing capabilities.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Develop a Referral Program for Existing Clients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Every satisfied client knows other growers who need testing. A simple referral incentive (priority processing, volume discount) can turn existing relationships into a pipeline.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Publish One Educational Article Per Month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Topics like "What FSMA Means for RGV Produce Growers" or "How to Read a Pesticide Residue Report" position Empiria as a thought leader and capture organic search traffic from growers researching compliance requirements.</w:t>
            </w:r>
          </w:p>
        </w:tc>
      </w:tr>
    </w:tbl>
    <w:p>
      <w:pPr>
        <w:spacing w:before="20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8"/>
              <w:bottom w:val="none" w:color="FFFFFF" w:sz="0"/>
              <w:right w:val="none" w:color="FFFFFF" w:sz="0"/>
            </w:tcBorders>
            <w:shd w:fill="2029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>"The move: Stop selling . Start selling outcomes. does not buy — they buy . does not buy — they buy . Price accordingly."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D1A"/>
                <w:sz w:val="18"/>
                <w:szCs w:val="18"/>
              </w:rPr>
              <w:t>— Maker Web Studios Growth Strategy Recommendation</w:t>
            </w:r>
          </w:p>
        </w:tc>
      </w:tr>
    </w:tbl>
    <w:sectPr>
      <w:headerReference w:type="default" r:id="rId6"/>
      <w:footerReference w:type="default" r:id="rId7"/>
      <w:headerReference w:type="first" r:id="rId15"/>
      <w:footerReference w:type="first" r:id="rId16"/>
      <w:pgSz w:w="12240" w:h="15840" w:orient="portrait"/>
      <w:pgMar w:top="0" w:right="0" w:bottom="0" w:left="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 xmlns:a="http://schemas.openxmlformats.org/drawingml/2006/main" xmlns:pic="http://schemas.openxmlformats.org/drawingml/2006/picture">
    <w:tblPr>
      <w:tblW w:w="9360" w:type="dxa"/>
      <w:tblInd w:w="14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r>
      <w:tc>
        <w:tcPr>
          <w:tcW w:w="1080" w:type="dxa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274320" cy="274320"/>
                <wp:docPr id="200" name="Logo"/>
                <a:graphic>
                  <a:graphicData uri="http://schemas.openxmlformats.org/drawingml/2006/picture">
                    <pic:pic>
                      <pic:nvPicPr>
                        <pic:cNvPr id="20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vAlign w:val="center"/>
        </w:tcPr>
        <w:p>
          <w:pPr>
            <w:jc w:val="center"/>
            <w:spacing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CONFIDENTIAL — PREPARED EXCLUSIVELY FOR Empiria Labs</w:t>
          </w:r>
        </w:p>
        <w:p>
          <w:pPr>
            <w:jc w:val="center"/>
            <w:spacing w:before="0"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www.makerwebstudios.com</w:t>
          </w:r>
        </w:p>
      </w:tc>
      <w:tc>
        <w:tcPr>
          <w:tcW w:w="1080" w:type="dxa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274320" cy="274320"/>
                <wp:docPr id="201" name="QR"/>
                <a:graphic>
                  <a:graphicData uri="http://schemas.openxmlformats.org/drawingml/2006/picture">
                    <pic:pic>
                      <pic:nvPicPr>
                        <pic:cNvPr id="201" name="q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 xmlns:a="http://schemas.openxmlformats.org/drawingml/2006/main" xmlns:pic="http://schemas.openxmlformats.org/drawingml/2006/picture">
    <w:tblPr>
      <w:tblW w:w="9360" w:type="dxa"/>
      <w:tblInd w:w="14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r>
      <w:tc>
        <w:tcPr>
          <w:tcW w:w="1080" w:type="dxa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274320" cy="274320"/>
                <wp:docPr id="200" name="Footer Logo"/>
                <a:graphic>
                  <a:graphicData uri="http://schemas.openxmlformats.org/drawingml/2006/picture">
                    <pic:pic>
                      <pic:nvPicPr>
                        <pic:cNvPr id="20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vAlign w:val="center"/>
        </w:tcPr>
        <w:p>
          <w:pPr>
            <w:jc w:val="center"/>
            <w:spacing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CONFIDENTIAL — PREPARED EXCLUSIVELY FOR [CLIENT NAME]</w:t>
          </w:r>
        </w:p>
        <w:p>
          <w:pPr>
            <w:jc w:val="center"/>
            <w:spacing w:before="0"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www.makerwebstudios.com</w:t>
          </w:r>
        </w:p>
      </w:tc>
      <w:tc>
        <w:tcPr>
          <w:tcW w:w="1080" w:type="dxa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274320" cy="274320"/>
                <wp:docPr id="201" name="QR Code"/>
                <a:graphic>
                  <a:graphicData uri="http://schemas.openxmlformats.org/drawingml/2006/picture">
                    <pic:pic>
                      <pic:nvPicPr>
                        <pic:cNvPr id="201" name="q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1A" w:sz="6" w:space="1"/>
      </w:pBdr>
      <w:tabs>
        <w:tab w:val="right" w:pos="9360"/>
      </w:tabs>
      <w:spacing w:before="0" w:after="200"/>
    </w:pPr>
    <w:r/>
    <w:r>
      <w:rPr>
        <w:rFonts w:ascii="Arial" w:cs="Arial" w:eastAsia="Arial" w:hAnsi="Arial"/>
        <w:b/>
        <w:bCs/>
        <w:caps/>
        <w:color w:val="E85D1A"/>
        <w:sz w:val="18"/>
        <w:szCs w:val="18"/>
      </w:rPr>
    </w:r>
    <w:r>
      <w:rPr>
        <w:rFonts w:ascii="Arial" w:cs="Arial" w:eastAsia="Arial" w:hAnsi="Arial"/>
        <w:sz w:val="18"/>
        <w:szCs w:val="18"/>
      </w:rPr>
    </w:r>
    <w:r>
      <w:rPr>
        <w:rFonts w:ascii="Arial" w:cs="Arial" w:eastAsia="Arial" w:hAnsi="Arial"/>
        <w:color w:val="7E8691"/>
        <w:sz w:val="18"/>
        <w:szCs w:val="18"/>
      </w:rPr>
      <w:t>MAKER WEB STUDIOS</w:t>
      <w:tab/>
      <w:t>Empiria Labs | GROWTH STRATEGY &amp; VALUE PLAYBOOK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3b38e8080f2c68cd11e9f3e82cddd5de9969f5b.jpg"/><Relationship Id="rId9" Type="http://schemas.openxmlformats.org/officeDocument/2006/relationships/fontTable" Target="fontTable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03b38e8080f2c68cd11e9f3e82cddd5de9969f5b.jpg"/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03b38e8080f2c68cd11e9f3e82cddd5de9969f5b.jpg"/><Relationship Id="rId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2026-03-24T16:15:07.676Z</dcterms:created>
  <dcterms:modified xsi:type="dcterms:W3CDTF">2026-03-24T16:15:07.676Z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