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0E1B2B" w:val="clear"/>
            <w:tcMar>
              <w:top w:type="dxa" w:w="1440"/>
              <w:left w:type="dxa" w:w="1440"/>
              <w:bottom w:type="dxa" w:w="1440"/>
              <w:right w:type="dxa" w:w="1440"/>
            </w:tcMa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color="FFFFFF" w:sz="0"/>
                    <w:left w:val="none" w:color="FFFFFF" w:sz="0"/>
                    <w:bottom w:val="none" w:color="FFFFFF" w:sz="0"/>
                    <w:right w:val="none" w:color="FFFFFF" w:sz="0"/>
                  </w:tcBorders>
                  <w:tcMar>
                    <w:top w:type="dxa" w:w="100"/>
                    <w:left w:type="dxa" w:w="120"/>
                    <w:bottom w:type="dxa" w:w="100"/>
                    <w:right w:type="dxa" w:w="120"/>
                  </w:tcMar>
                </w:tcPr>
                <w:p>
                  <w:pPr>
                    <w:spacing w:before="0" w:after="40"/>
                  </w:pPr>
                  <w:r>
                    <w:drawing>
                      <wp:inline distT="0" distB="0" distL="0" distR="0">
                        <wp:extent cx="571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542925"/>
                                </a:xfrm>
                                <a:prstGeom prst="rect">
                                  <a:avLst/>
                                </a:prstGeom>
                              </pic:spPr>
                            </pic:pic>
                          </a:graphicData>
                        </a:graphic>
                      </wp:inline>
                    </w:drawing>
                  </w:r>
                </w:p>
                <w:p>
                  <w:pPr>
                    <w:spacing w:before="0" w:after="0"/>
                  </w:pPr>
                  <w:r>
                    <w:rPr>
                      <w:rFonts w:ascii="Arial" w:cs="Arial" w:eastAsia="Arial" w:hAnsi="Arial"/>
                      <w:b/>
                      <w:bCs/>
                      <w:i w:val="false"/>
                      <w:iCs w:val="false"/>
                      <w:color w:val="FFFFFF"/>
                      <w:sz w:val="18"/>
                      <w:szCs w:val="18"/>
                    </w:rPr>
                    <w:t xml:space="preserve"/>
                  </w:r>
                </w:p>
              </w:tc>
            </w:tr>
          </w:tbl>
          <w:p>
            <w:pPr>
              <w:spacing w:before="400" w:after="120"/>
              <w:keepNext/>
              <w:keepLines/>
            </w:pPr>
            <w:r>
              <w:rPr>
                <w:rFonts w:ascii="Arial" w:cs="Arial" w:eastAsia="Arial" w:hAnsi="Arial"/>
                <w:b/>
                <w:bCs/>
                <w:i w:val="false"/>
                <w:iCs w:val="false"/>
                <w:color w:val="E85D1A"/>
                <w:sz w:val="18"/>
                <w:szCs w:val="18"/>
              </w:rPr>
              <w:t xml:space="preserve">BLIND SPOT AUDIT</w:t>
            </w:r>
          </w:p>
          <w:p>
            <w:pPr>
              <w:spacing w:before="0" w:after="40"/>
              <w:keepNext/>
              <w:keepLines/>
            </w:pPr>
            <w:r>
              <w:rPr>
                <w:rFonts w:ascii="Arial" w:cs="Arial" w:eastAsia="Arial" w:hAnsi="Arial"/>
                <w:b/>
                <w:bCs/>
                <w:i w:val="false"/>
                <w:iCs w:val="false"/>
                <w:color w:val="FFFFFF"/>
                <w:sz w:val="68"/>
                <w:szCs w:val="68"/>
              </w:rPr>
              <w:t xml:space="preserve">BLIND SPOT</w:t>
            </w:r>
          </w:p>
          <w:p>
            <w:pPr>
              <w:spacing w:before="0" w:after="0"/>
            </w:pPr>
            <w:r>
              <w:rPr>
                <w:rFonts w:ascii="Arial" w:cs="Arial" w:eastAsia="Arial" w:hAnsi="Arial"/>
                <w:b/>
                <w:bCs/>
                <w:i w:val="false"/>
                <w:iCs w:val="false"/>
                <w:color w:val="FFFFFF"/>
                <w:sz w:val="68"/>
                <w:szCs w:val="68"/>
              </w:rPr>
              <w:t xml:space="preserve">AUDIT</w:t>
            </w:r>
          </w:p>
          <w:p>
            <w:pPr>
              <w:pBdr>
                <w:bottom w:val="single" w:color="E85D1A" w:sz="8"/>
              </w:pBdr>
              <w:spacing w:before="280" w:after="280"/>
            </w:pPr>
          </w:p>
          <w:p>
            <w:pPr>
              <w:spacing w:before="0" w:after="80"/>
            </w:pPr>
            <w:r>
              <w:rPr>
                <w:rFonts w:ascii="Arial" w:cs="Arial" w:eastAsia="Arial" w:hAnsi="Arial"/>
                <w:b w:val="false"/>
                <w:bCs w:val="false"/>
                <w:i w:val="false"/>
                <w:iCs w:val="false"/>
                <w:color w:val="FFFFFF"/>
                <w:sz w:val="22"/>
                <w:szCs w:val="22"/>
              </w:rPr>
              <w:t xml:space="preserve">[Client Name] — The Strategic Gaps a [Industry] Cannot Afford</w:t>
            </w:r>
          </w:p>
          <w:p>
            <w:pPr>
              <w:spacing w:before="0" w:after="0"/>
            </w:pPr>
            <w:r>
              <w:rPr>
                <w:rFonts w:ascii="Arial" w:cs="Arial" w:eastAsia="Arial" w:hAnsi="Arial"/>
                <w:color w:val="E85D1A"/>
                <w:sz w:val="20"/>
                <w:szCs w:val="20"/>
              </w:rPr>
              <w:t xml:space="preserve">●  </w:t>
            </w:r>
            <w:r>
              <w:rPr>
                <w:rFonts w:ascii="Arial" w:cs="Arial" w:eastAsia="Arial" w:hAnsi="Arial"/>
                <w:b w:val="false"/>
                <w:bCs w:val="false"/>
                <w:i w:val="false"/>
                <w:iCs w:val="false"/>
                <w:color w:val="BBBBBB"/>
                <w:sz w:val="20"/>
                <w:szCs w:val="20"/>
              </w:rPr>
              <w:t xml:space="preserve">Deep Research Audit</w:t>
            </w:r>
            <w:r>
              <w:rPr>
                <w:rFonts w:ascii="Arial" w:cs="Arial" w:eastAsia="Arial" w:hAnsi="Arial"/>
                <w:color w:val="E85D1A"/>
                <w:sz w:val="20"/>
                <w:szCs w:val="20"/>
              </w:rPr>
              <w:t xml:space="preserve">   ●  </w:t>
            </w:r>
            <w:r>
              <w:rPr>
                <w:rFonts w:ascii="Arial" w:cs="Arial" w:eastAsia="Arial" w:hAnsi="Arial"/>
                <w:b w:val="false"/>
                <w:bCs w:val="false"/>
                <w:i w:val="false"/>
                <w:iCs w:val="false"/>
                <w:color w:val="BBBBBB"/>
                <w:sz w:val="20"/>
                <w:szCs w:val="20"/>
              </w:rPr>
              <w:t xml:space="preserve">[Month Year]</w:t>
            </w:r>
            <w:r>
              <w:rPr>
                <w:rFonts w:ascii="Arial" w:cs="Arial" w:eastAsia="Arial" w:hAnsi="Arial"/>
                <w:color w:val="E85D1A"/>
                <w:sz w:val="20"/>
                <w:szCs w:val="20"/>
              </w:rPr>
              <w:t xml:space="preserve">   ●  </w:t>
            </w:r>
            <w:r>
              <w:rPr>
                <w:rFonts w:ascii="Arial" w:cs="Arial" w:eastAsia="Arial" w:hAnsi="Arial"/>
                <w:b w:val="false"/>
                <w:bCs w:val="false"/>
                <w:i w:val="false"/>
                <w:iCs w:val="false"/>
                <w:color w:val="BBBBBB"/>
                <w:sz w:val="20"/>
                <w:szCs w:val="20"/>
              </w:rPr>
              <w:t xml:space="preserve">Prepared by Maker Web Studios</w:t>
            </w:r>
          </w:p>
          <w:p>
            <w:pPr>
              <w:pBdr>
                <w:top w:val="single" w:color="2A3A4A" w:sz="4"/>
              </w:pBdr>
              <w:spacing w:before="3200" w:after="0"/>
            </w:pPr>
            <w:r>
              <w:rPr>
                <w:rFonts w:ascii="Arial" w:cs="Arial" w:eastAsia="Arial" w:hAnsi="Arial"/>
                <w:b w:val="false"/>
                <w:bCs w:val="false"/>
                <w:i w:val="false"/>
                <w:iCs w:val="false"/>
                <w:color w:val="7E8691"/>
                <w:sz w:val="18"/>
                <w:szCs w:val="18"/>
              </w:rPr>
              <w:t xml:space="preserve">CONFIDENTIAL — PREPARED EXCLUSIVELY FOR [CLIENT NAME]</w:t>
            </w:r>
          </w:p>
        </w:tc>
      </w:tr>
    </w:tbl>
    <w:p>
      <w:pPr>
        <w:spacing w:before="360" w:after="40"/>
        <w:keepNext/>
        <w:keepLines/>
        <w:ind w:left="1440" w:right="1440"/>
      </w:pPr>
      <w:r>
        <w:rPr>
          <w:rFonts w:ascii="Arial" w:cs="Arial" w:eastAsia="Arial" w:hAnsi="Arial"/>
          <w:b/>
          <w:bCs/>
          <w:i w:val="false"/>
          <w:iCs w:val="false"/>
          <w:color w:val="E85D1A"/>
          <w:sz w:val="17"/>
          <w:szCs w:val="17"/>
        </w:rPr>
        <w:t xml:space="preserve">OVERVIEW</w:t>
      </w:r>
    </w:p>
    <w:p>
      <w:pPr>
        <w:spacing w:before="0" w:after="100"/>
        <w:ind w:left="1440" w:right="1440"/>
      </w:pPr>
      <w:r>
        <w:rPr>
          <w:rFonts w:ascii="Arial" w:cs="Arial" w:eastAsia="Arial" w:hAnsi="Arial"/>
          <w:b/>
          <w:bCs/>
          <w:i w:val="false"/>
          <w:iCs w:val="false"/>
          <w:color w:val="162336"/>
          <w:sz w:val="36"/>
          <w:szCs w:val="36"/>
        </w:rPr>
        <w:t xml:space="preserve">What Is a Blind Spot Audit?</w:t>
      </w:r>
    </w:p>
    <w:p>
      <w:pPr>
        <w:spacing w:before="0" w:after="160"/>
        <w:ind w:left="1440" w:right="1440"/>
      </w:pPr>
      <w:r>
        <w:rPr>
          <w:rFonts w:ascii="Arial" w:cs="Arial" w:eastAsia="Arial" w:hAnsi="Arial"/>
          <w:b w:val="false"/>
          <w:bCs w:val="false"/>
          <w:i w:val="false"/>
          <w:iCs w:val="false"/>
          <w:color w:val="7E8691"/>
          <w:sz w:val="22"/>
          <w:szCs w:val="22"/>
        </w:rPr>
        <w:t xml:space="preserve">A Blind Spot Audit goes deeper than SEO checklists. It identifies the strategic, behavioral, and market-positioning gaps that cost a company leads, loyalty, and long-term market share — the things that don't show up in a standard audit but compound in painful and preventable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 xml:space="preserve">"[Opening strategic framing — why the communication gap is the core problem, not the product or service.]"</w:t>
            </w:r>
          </w:p>
          <w:p>
            <w:pPr>
              <w:spacing w:before="0" w:after="0"/>
            </w:pPr>
            <w:r>
              <w:rPr>
                <w:rFonts w:ascii="Arial" w:cs="Arial" w:eastAsia="Arial" w:hAnsi="Arial"/>
                <w:b w:val="false"/>
                <w:bCs w:val="false"/>
                <w:i w:val="false"/>
                <w:iCs w:val="false"/>
                <w:color w:val="E85D1A"/>
                <w:sz w:val="18"/>
                <w:szCs w:val="18"/>
              </w:rPr>
              <w:t xml:space="preserve">— Maker Web Studios Audit Finding</w:t>
            </w:r>
          </w:p>
        </w:tc>
      </w:tr>
    </w:tbl>
    <w:p>
      <w:pPr>
        <w:spacing w:before="360" w:after="40"/>
        <w:keepNext/>
        <w:keepLines/>
        <w:ind w:left="1440" w:right="1440"/>
      </w:pPr>
      <w:r>
        <w:rPr>
          <w:rFonts w:ascii="Arial" w:cs="Arial" w:eastAsia="Arial" w:hAnsi="Arial"/>
          <w:b/>
          <w:bCs/>
          <w:i w:val="false"/>
          <w:iCs w:val="false"/>
          <w:color w:val="E85D1A"/>
          <w:sz w:val="17"/>
          <w:szCs w:val="17"/>
        </w:rPr>
        <w:t xml:space="preserve">OVERVIEW</w:t>
      </w:r>
    </w:p>
    <w:p>
      <w:pPr>
        <w:spacing w:before="0" w:after="100"/>
        <w:ind w:left="1440" w:right="1440"/>
      </w:pPr>
      <w:r>
        <w:rPr>
          <w:rFonts w:ascii="Arial" w:cs="Arial" w:eastAsia="Arial" w:hAnsi="Arial"/>
          <w:b/>
          <w:bCs/>
          <w:i w:val="false"/>
          <w:iCs w:val="false"/>
          <w:color w:val="162336"/>
          <w:sz w:val="36"/>
          <w:szCs w:val="36"/>
        </w:rPr>
        <w:t xml:space="preserve">The 5 Biggest Blind Spots</w:t>
      </w:r>
    </w:p>
    <w:p>
      <w:pPr>
        <w:spacing w:before="0" w:after="240"/>
        <w:ind w:left="1440" w:right="1440"/>
      </w:pPr>
      <w:r>
        <w:rPr>
          <w:rFonts w:ascii="Arial" w:cs="Arial" w:eastAsia="Arial" w:hAnsi="Arial"/>
          <w:b w:val="false"/>
          <w:bCs w:val="false"/>
          <w:i w:val="false"/>
          <w:iCs w:val="false"/>
          <w:color w:val="7E8691"/>
          <w:sz w:val="20"/>
          <w:szCs w:val="20"/>
        </w:rPr>
        <w:t xml:space="preserve">These are not website fixes. These are business-level strategic gaps with compounding revenue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t xml:space="preserve">01</w:t>
            </w:r>
            <w:r>
              <w:rPr>
                <w:rFonts w:ascii="Arial" w:cs="Arial" w:eastAsia="Arial" w:hAnsi="Arial"/>
                <w:b/>
                <w:bCs/>
                <w:i w:val="false"/>
                <w:iCs w:val="false"/>
                <w:color w:val="162336"/>
                <w:sz w:val="22"/>
                <w:szCs w:val="22"/>
              </w:rPr>
              <w:t xml:space="preserve">  [Blind Spot #1 Title]</w:t>
            </w:r>
          </w:p>
          <w:p>
            <w:pPr>
              <w:spacing w:before="0" w:after="0"/>
              <w:keepNext/>
              <w:keepLines/>
            </w:pPr>
            <w:r>
              <w:rPr>
                <w:rFonts w:ascii="Arial" w:cs="Arial" w:eastAsia="Arial" w:hAnsi="Arial"/>
                <w:b w:val="false"/>
                <w:bCs w:val="false"/>
                <w:i w:val="false"/>
                <w:iCs w:val="false"/>
                <w:color w:val="7E8691"/>
                <w:sz w:val="18"/>
                <w:szCs w:val="18"/>
              </w:rPr>
              <w:t xml:space="preserve">Value proposition blind spot  ·  Critical Revenue Risk  ·  High SEO Impact</w:t>
            </w:r>
          </w:p>
        </w:tc>
      </w:tr>
    </w:tbl>
    <w:p>
      <w:pPr>
        <w:spacing w:before="180" w:after="80"/>
        <w:keepNext/>
        <w:keepLines/>
        <w:ind w:left="1440" w:right="1440"/>
      </w:pPr>
      <w:r>
        <w:rPr>
          <w:rFonts w:ascii="Arial" w:cs="Arial" w:eastAsia="Arial" w:hAnsi="Arial"/>
          <w:b/>
          <w:bCs/>
          <w:i w:val="false"/>
          <w:iCs w:val="false"/>
          <w:color w:val="1A2332"/>
          <w:sz w:val="22"/>
          <w:szCs w:val="22"/>
        </w:rPr>
        <w:t xml:space="preserve">THE BLIND SPOT</w:t>
      </w:r>
    </w:p>
    <w:p>
      <w:pPr>
        <w:spacing w:before="0" w:after="160"/>
        <w:ind w:left="1440" w:right="1440"/>
      </w:pPr>
      <w:r>
        <w:rPr>
          <w:rFonts w:ascii="Arial" w:cs="Arial" w:eastAsia="Arial" w:hAnsi="Arial"/>
          <w:b w:val="false"/>
          <w:bCs w:val="false"/>
          <w:i w:val="false"/>
          <w:iCs w:val="false"/>
          <w:color w:val="7E8691"/>
          <w:sz w:val="20"/>
          <w:szCs w:val="20"/>
        </w:rPr>
        <w:t xml:space="preserve">[Describe the blind spot — what specific credential or advantage is being hidden or communicated generically. What is it costing in lost leads. Why does it persist. Be specific about the competitor winning because of this gap.]</w:t>
      </w:r>
    </w:p>
    <w:p>
      <w:pPr>
        <w:spacing w:before="0" w:after="80"/>
        <w:keepNext/>
        <w:keepLines/>
        <w:ind w:left="1440" w:right="1440"/>
      </w:pPr>
      <w:r>
        <w:rPr>
          <w:rFonts w:ascii="Arial" w:cs="Arial" w:eastAsia="Arial" w:hAnsi="Arial"/>
          <w:b/>
          <w:bCs/>
          <w:i w:val="false"/>
          <w:iCs w:val="false"/>
          <w:color w:val="1A2332"/>
          <w:sz w:val="22"/>
          <w:szCs w:val="22"/>
        </w:rPr>
        <w:t xml:space="preserve">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1-1]</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1-2]</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1-3]</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1-4]</w:t>
      </w:r>
    </w:p>
    <w:p>
      <w:pPr>
        <w:spacing w:before="2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t xml:space="preserve">02</w:t>
            </w:r>
            <w:r>
              <w:rPr>
                <w:rFonts w:ascii="Arial" w:cs="Arial" w:eastAsia="Arial" w:hAnsi="Arial"/>
                <w:b/>
                <w:bCs/>
                <w:i w:val="false"/>
                <w:iCs w:val="false"/>
                <w:color w:val="162336"/>
                <w:sz w:val="22"/>
                <w:szCs w:val="22"/>
              </w:rPr>
              <w:t xml:space="preserve">  [Blind Spot #2 Title]</w:t>
            </w:r>
          </w:p>
          <w:p>
            <w:pPr>
              <w:spacing w:before="0" w:after="0"/>
              <w:keepNext/>
              <w:keepLines/>
            </w:pPr>
            <w:r>
              <w:rPr>
                <w:rFonts w:ascii="Arial" w:cs="Arial" w:eastAsia="Arial" w:hAnsi="Arial"/>
                <w:b w:val="false"/>
                <w:bCs w:val="false"/>
                <w:i w:val="false"/>
                <w:iCs w:val="false"/>
                <w:color w:val="7E8691"/>
                <w:sz w:val="18"/>
                <w:szCs w:val="18"/>
              </w:rPr>
              <w:t xml:space="preserve">Audience education blind spot  ·  High Revenue Risk  ·  High SEO Impact</w:t>
            </w:r>
          </w:p>
        </w:tc>
      </w:tr>
    </w:tbl>
    <w:p>
      <w:pPr>
        <w:spacing w:before="180" w:after="80"/>
        <w:keepNext/>
        <w:keepLines/>
        <w:ind w:left="1440" w:right="1440"/>
      </w:pPr>
      <w:r>
        <w:rPr>
          <w:rFonts w:ascii="Arial" w:cs="Arial" w:eastAsia="Arial" w:hAnsi="Arial"/>
          <w:b/>
          <w:bCs/>
          <w:i w:val="false"/>
          <w:iCs w:val="false"/>
          <w:color w:val="1A2332"/>
          <w:sz w:val="22"/>
          <w:szCs w:val="22"/>
        </w:rPr>
        <w:t xml:space="preserve">THE BLIND SPOT</w:t>
      </w:r>
    </w:p>
    <w:p>
      <w:pPr>
        <w:spacing w:before="0" w:after="160"/>
        <w:ind w:left="1440" w:right="1440"/>
      </w:pPr>
      <w:r>
        <w:rPr>
          <w:rFonts w:ascii="Arial" w:cs="Arial" w:eastAsia="Arial" w:hAnsi="Arial"/>
          <w:b w:val="false"/>
          <w:bCs w:val="false"/>
          <w:i w:val="false"/>
          <w:iCs w:val="false"/>
          <w:color w:val="7E8691"/>
          <w:sz w:val="20"/>
          <w:szCs w:val="20"/>
        </w:rPr>
        <w:t xml:space="preserve">[Describe what buyer questions are going unanswered — the exact research queries, the decision-stage content missing, and which competitor is capturing those buyers instead.]</w:t>
      </w:r>
    </w:p>
    <w:p>
      <w:pPr>
        <w:spacing w:before="0" w:after="80"/>
        <w:keepNext/>
        <w:keepLines/>
        <w:ind w:left="1440" w:right="1440"/>
      </w:pPr>
      <w:r>
        <w:rPr>
          <w:rFonts w:ascii="Arial" w:cs="Arial" w:eastAsia="Arial" w:hAnsi="Arial"/>
          <w:b/>
          <w:bCs/>
          <w:i w:val="false"/>
          <w:iCs w:val="false"/>
          <w:color w:val="1A2332"/>
          <w:sz w:val="22"/>
          <w:szCs w:val="22"/>
        </w:rPr>
        <w:t xml:space="preserve">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2-1]</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2-2]</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2-3]</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2-4]</w:t>
      </w:r>
    </w:p>
    <w:p>
      <w:pPr>
        <w:spacing w:before="2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t xml:space="preserve">03</w:t>
            </w:r>
            <w:r>
              <w:rPr>
                <w:rFonts w:ascii="Arial" w:cs="Arial" w:eastAsia="Arial" w:hAnsi="Arial"/>
                <w:b/>
                <w:bCs/>
                <w:i w:val="false"/>
                <w:iCs w:val="false"/>
                <w:color w:val="162336"/>
                <w:sz w:val="22"/>
                <w:szCs w:val="22"/>
              </w:rPr>
              <w:t xml:space="preserve">  [Blind Spot #3 Title]</w:t>
            </w:r>
          </w:p>
          <w:p>
            <w:pPr>
              <w:spacing w:before="0" w:after="0"/>
              <w:keepNext/>
              <w:keepLines/>
            </w:pPr>
            <w:r>
              <w:rPr>
                <w:rFonts w:ascii="Arial" w:cs="Arial" w:eastAsia="Arial" w:hAnsi="Arial"/>
                <w:b w:val="false"/>
                <w:bCs w:val="false"/>
                <w:i w:val="false"/>
                <w:iCs w:val="false"/>
                <w:color w:val="7E8691"/>
                <w:sz w:val="18"/>
                <w:szCs w:val="18"/>
              </w:rPr>
              <w:t xml:space="preserve">Distribution blind spot  ·  High Long-Term Risk  ·  High Channel Impact</w:t>
            </w:r>
          </w:p>
        </w:tc>
      </w:tr>
    </w:tbl>
    <w:p>
      <w:pPr>
        <w:spacing w:before="180" w:after="80"/>
        <w:keepNext/>
        <w:keepLines/>
        <w:ind w:left="1440" w:right="1440"/>
      </w:pPr>
      <w:r>
        <w:rPr>
          <w:rFonts w:ascii="Arial" w:cs="Arial" w:eastAsia="Arial" w:hAnsi="Arial"/>
          <w:b/>
          <w:bCs/>
          <w:i w:val="false"/>
          <w:iCs w:val="false"/>
          <w:color w:val="1A2332"/>
          <w:sz w:val="22"/>
          <w:szCs w:val="22"/>
        </w:rPr>
        <w:t xml:space="preserve">THE BLIND SPOT</w:t>
      </w:r>
    </w:p>
    <w:p>
      <w:pPr>
        <w:spacing w:before="0" w:after="160"/>
        <w:ind w:left="1440" w:right="1440"/>
      </w:pPr>
      <w:r>
        <w:rPr>
          <w:rFonts w:ascii="Arial" w:cs="Arial" w:eastAsia="Arial" w:hAnsi="Arial"/>
          <w:b w:val="false"/>
          <w:bCs w:val="false"/>
          <w:i w:val="false"/>
          <w:iCs w:val="false"/>
          <w:color w:val="7E8691"/>
          <w:sz w:val="20"/>
          <w:szCs w:val="20"/>
        </w:rPr>
        <w:t xml:space="preserve">[Describe which digital channels the buyer uses before they ever call — and which ones the client is completely absent from. Be specific about directories, platforms, and search behavior.]</w:t>
      </w:r>
    </w:p>
    <w:p>
      <w:pPr>
        <w:spacing w:before="0" w:after="80"/>
        <w:keepNext/>
        <w:keepLines/>
        <w:ind w:left="1440" w:right="1440"/>
      </w:pPr>
      <w:r>
        <w:rPr>
          <w:rFonts w:ascii="Arial" w:cs="Arial" w:eastAsia="Arial" w:hAnsi="Arial"/>
          <w:b/>
          <w:bCs/>
          <w:i w:val="false"/>
          <w:iCs w:val="false"/>
          <w:color w:val="1A2332"/>
          <w:sz w:val="22"/>
          <w:szCs w:val="22"/>
        </w:rPr>
        <w:t xml:space="preserve">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3-1]</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3-2]</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3-3]</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3-4]</w:t>
      </w:r>
    </w:p>
    <w:p>
      <w:pPr>
        <w:spacing w:before="2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t xml:space="preserve">04</w:t>
            </w:r>
            <w:r>
              <w:rPr>
                <w:rFonts w:ascii="Arial" w:cs="Arial" w:eastAsia="Arial" w:hAnsi="Arial"/>
                <w:b/>
                <w:bCs/>
                <w:i w:val="false"/>
                <w:iCs w:val="false"/>
                <w:color w:val="162336"/>
                <w:sz w:val="22"/>
                <w:szCs w:val="22"/>
              </w:rPr>
              <w:t xml:space="preserve">  [Blind Spot #4 Title]</w:t>
            </w:r>
          </w:p>
          <w:p>
            <w:pPr>
              <w:spacing w:before="0" w:after="0"/>
              <w:keepNext/>
              <w:keepLines/>
            </w:pPr>
            <w:r>
              <w:rPr>
                <w:rFonts w:ascii="Arial" w:cs="Arial" w:eastAsia="Arial" w:hAnsi="Arial"/>
                <w:b w:val="false"/>
                <w:bCs w:val="false"/>
                <w:i w:val="false"/>
                <w:iCs w:val="false"/>
                <w:color w:val="7E8691"/>
                <w:sz w:val="18"/>
                <w:szCs w:val="18"/>
              </w:rPr>
              <w:t xml:space="preserve">Conversion blind spot  ·  High Conversion Risk  ·  Low Fix Complexity</w:t>
            </w:r>
          </w:p>
        </w:tc>
      </w:tr>
    </w:tbl>
    <w:p>
      <w:pPr>
        <w:spacing w:before="180" w:after="80"/>
        <w:keepNext/>
        <w:keepLines/>
        <w:ind w:left="1440" w:right="1440"/>
      </w:pPr>
      <w:r>
        <w:rPr>
          <w:rFonts w:ascii="Arial" w:cs="Arial" w:eastAsia="Arial" w:hAnsi="Arial"/>
          <w:b/>
          <w:bCs/>
          <w:i w:val="false"/>
          <w:iCs w:val="false"/>
          <w:color w:val="1A2332"/>
          <w:sz w:val="22"/>
          <w:szCs w:val="22"/>
        </w:rPr>
        <w:t xml:space="preserve">THE BLIND SPOT</w:t>
      </w:r>
    </w:p>
    <w:p>
      <w:pPr>
        <w:spacing w:before="0" w:after="160"/>
        <w:ind w:left="1440" w:right="1440"/>
      </w:pPr>
      <w:r>
        <w:rPr>
          <w:rFonts w:ascii="Arial" w:cs="Arial" w:eastAsia="Arial" w:hAnsi="Arial"/>
          <w:b w:val="false"/>
          <w:bCs w:val="false"/>
          <w:i w:val="false"/>
          <w:iCs w:val="false"/>
          <w:color w:val="7E8691"/>
          <w:sz w:val="20"/>
          <w:szCs w:val="20"/>
        </w:rPr>
        <w:t xml:space="preserve">[Describe the friction points in the buyer experience — phone number placement, CTA language, RFQ form absence, live chat gap. Describe what the current experience communicates vs. what it should.]</w:t>
      </w:r>
    </w:p>
    <w:p>
      <w:pPr>
        <w:spacing w:before="0" w:after="80"/>
        <w:keepNext/>
        <w:keepLines/>
        <w:ind w:left="1440" w:right="1440"/>
      </w:pPr>
      <w:r>
        <w:rPr>
          <w:rFonts w:ascii="Arial" w:cs="Arial" w:eastAsia="Arial" w:hAnsi="Arial"/>
          <w:b/>
          <w:bCs/>
          <w:i w:val="false"/>
          <w:iCs w:val="false"/>
          <w:color w:val="1A2332"/>
          <w:sz w:val="22"/>
          <w:szCs w:val="22"/>
        </w:rPr>
        <w:t xml:space="preserve">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4-1]</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4-2]</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4-3]</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4-4]</w:t>
      </w:r>
    </w:p>
    <w:p>
      <w:pPr>
        <w:spacing w:before="2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E7EDF4" w:val="clear"/>
            <w:tcMar>
              <w:top w:type="dxa" w:w="200"/>
              <w:left w:type="dxa" w:w="280"/>
              <w:bottom w:type="dxa" w:w="200"/>
              <w:right w:type="dxa" w:w="280"/>
            </w:tcMar>
          </w:tcPr>
          <w:p>
            <w:pPr>
              <w:spacing w:before="0" w:after="60"/>
              <w:keepNext/>
              <w:keepLines/>
            </w:pPr>
            <w:r>
              <w:rPr>
                <w:rFonts w:ascii="Arial" w:cs="Arial" w:eastAsia="Arial" w:hAnsi="Arial"/>
                <w:b/>
                <w:bCs/>
                <w:i w:val="false"/>
                <w:iCs w:val="false"/>
                <w:color w:val="E85D1A"/>
                <w:sz w:val="36"/>
                <w:szCs w:val="36"/>
              </w:rPr>
              <w:t xml:space="preserve">05</w:t>
            </w:r>
            <w:r>
              <w:rPr>
                <w:rFonts w:ascii="Arial" w:cs="Arial" w:eastAsia="Arial" w:hAnsi="Arial"/>
                <w:b/>
                <w:bCs/>
                <w:i w:val="false"/>
                <w:iCs w:val="false"/>
                <w:color w:val="162336"/>
                <w:sz w:val="22"/>
                <w:szCs w:val="22"/>
              </w:rPr>
              <w:t xml:space="preserve">  [Blind Spot #5 Title]</w:t>
            </w:r>
          </w:p>
          <w:p>
            <w:pPr>
              <w:spacing w:before="0" w:after="0"/>
              <w:keepNext/>
              <w:keepLines/>
            </w:pPr>
            <w:r>
              <w:rPr>
                <w:rFonts w:ascii="Arial" w:cs="Arial" w:eastAsia="Arial" w:hAnsi="Arial"/>
                <w:b w:val="false"/>
                <w:bCs w:val="false"/>
                <w:i w:val="false"/>
                <w:iCs w:val="false"/>
                <w:color w:val="7E8691"/>
                <w:sz w:val="18"/>
                <w:szCs w:val="18"/>
              </w:rPr>
              <w:t xml:space="preserve">Brand trust blind spot  ·  High Trust Risk  ·  Low Fix Complexity</w:t>
            </w:r>
          </w:p>
        </w:tc>
      </w:tr>
    </w:tbl>
    <w:p>
      <w:pPr>
        <w:spacing w:before="180" w:after="80"/>
        <w:keepNext/>
        <w:keepLines/>
        <w:ind w:left="1440" w:right="1440"/>
      </w:pPr>
      <w:r>
        <w:rPr>
          <w:rFonts w:ascii="Arial" w:cs="Arial" w:eastAsia="Arial" w:hAnsi="Arial"/>
          <w:b/>
          <w:bCs/>
          <w:i w:val="false"/>
          <w:iCs w:val="false"/>
          <w:color w:val="1A2332"/>
          <w:sz w:val="22"/>
          <w:szCs w:val="22"/>
        </w:rPr>
        <w:t xml:space="preserve">THE BLIND SPOT</w:t>
      </w:r>
    </w:p>
    <w:p>
      <w:pPr>
        <w:spacing w:before="0" w:after="160"/>
        <w:ind w:left="1440" w:right="1440"/>
      </w:pPr>
      <w:r>
        <w:rPr>
          <w:rFonts w:ascii="Arial" w:cs="Arial" w:eastAsia="Arial" w:hAnsi="Arial"/>
          <w:b w:val="false"/>
          <w:bCs w:val="false"/>
          <w:i w:val="false"/>
          <w:iCs w:val="false"/>
          <w:color w:val="7E8691"/>
          <w:sz w:val="20"/>
          <w:szCs w:val="20"/>
        </w:rPr>
        <w:t xml:space="preserve">[Describe how the company's single most powerful differentiator is buried in body text instead of leading the page. What does a 30-second visitor see vs. what they should see?]</w:t>
      </w:r>
    </w:p>
    <w:p>
      <w:pPr>
        <w:spacing w:before="0" w:after="80"/>
        <w:keepNext/>
        <w:keepLines/>
        <w:ind w:left="1440" w:right="1440"/>
      </w:pPr>
      <w:r>
        <w:rPr>
          <w:rFonts w:ascii="Arial" w:cs="Arial" w:eastAsia="Arial" w:hAnsi="Arial"/>
          <w:b/>
          <w:bCs/>
          <w:i w:val="false"/>
          <w:iCs w:val="false"/>
          <w:color w:val="1A2332"/>
          <w:sz w:val="22"/>
          <w:szCs w:val="22"/>
        </w:rPr>
        <w:t xml:space="preserve">THE FIX</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5-1]</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5-2]</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5-3]</w:t>
      </w:r>
    </w:p>
    <w:p>
      <w:pPr>
        <w:pStyle w:val="ListParagraph"/>
        <w:numPr>
          <w:ilvl w:val="0"/>
          <w:numId w:val="2"/>
        </w:numPr>
        <w:spacing w:before="60" w:after="0"/>
        <w:ind w:left="1440" w:right="1440"/>
      </w:pPr>
      <w:r>
        <w:rPr>
          <w:rFonts w:ascii="Arial" w:cs="Arial" w:eastAsia="Arial" w:hAnsi="Arial"/>
          <w:b w:val="false"/>
          <w:bCs w:val="false"/>
          <w:i w:val="false"/>
          <w:iCs w:val="false"/>
          <w:color w:val="7E8691"/>
          <w:sz w:val="20"/>
          <w:szCs w:val="20"/>
        </w:rPr>
        <w:t>[Fix 5-4]</w:t>
      </w:r>
    </w:p>
    <w:p>
      <w:pPr>
        <w:spacing w:before="280" w:after="0"/>
        <w:ind w:left="1440" w:right="1440"/>
      </w:pP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 xml:space="preserve">OVERVIEW</w:t>
      </w:r>
    </w:p>
    <w:p>
      <w:pPr>
        <w:spacing w:before="0" w:after="100"/>
        <w:ind w:left="1440" w:right="1440"/>
      </w:pPr>
      <w:r>
        <w:rPr>
          <w:rFonts w:ascii="Arial" w:cs="Arial" w:eastAsia="Arial" w:hAnsi="Arial"/>
          <w:b/>
          <w:bCs/>
          <w:i w:val="false"/>
          <w:iCs w:val="false"/>
          <w:color w:val="162336"/>
          <w:sz w:val="36"/>
          <w:szCs w:val="36"/>
        </w:rPr>
        <w:t xml:space="preserve">Strategic Opportunity</w:t>
      </w:r>
    </w:p>
    <w:p>
      <w:pPr>
        <w:spacing w:before="80" w:after="80"/>
        <w:ind w:left="1440" w:right="1440"/>
      </w:pPr>
      <w:r>
        <w:rPr>
          <w:rFonts w:ascii="Arial" w:cs="Arial" w:eastAsia="Arial" w:hAnsi="Arial"/>
          <w:b w:val="false"/>
          <w:bCs w:val="false"/>
          <w:i/>
          <w:iCs/>
          <w:color w:val="AAAAAA"/>
          <w:sz w:val="20"/>
          <w:szCs w:val="20"/>
        </w:rPr>
        <w:t xml:space="preserve">[Write 2–3 paragraphs: what the client has earned through operational execution, why these blind spots are communication problems not product problems, and what becomes possible when they are closed.]</w:t>
      </w:r>
    </w:p>
    <w:p>
      <w:pPr>
        <w:spacing w:before="20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 xml:space="preserve">"[Closing quote — what becomes possible when the operational excellence matches the digital presence.]"</w:t>
            </w:r>
          </w:p>
          <w:p>
            <w:pPr>
              <w:spacing w:before="0" w:after="0"/>
            </w:pPr>
            <w:r>
              <w:rPr>
                <w:rFonts w:ascii="Arial" w:cs="Arial" w:eastAsia="Arial" w:hAnsi="Arial"/>
                <w:b w:val="false"/>
                <w:bCs w:val="false"/>
                <w:i w:val="false"/>
                <w:iCs w:val="false"/>
                <w:color w:val="E85D1A"/>
                <w:sz w:val="18"/>
                <w:szCs w:val="18"/>
              </w:rPr>
              <w:t xml:space="preserve">— Maker Web Studios Audit Finding</w:t>
            </w:r>
          </w:p>
        </w:tc>
      </w:tr>
    </w:tbl>
    <w:sectPr>
      <w:headerReference w:type="default" r:id="rId6"/>
      <w:footerReference w:type="default" r:id="rId7"/>
      <w:headerReference w:type="first" r:id="rId15"/>
      <w:footerReference w:type="first" r:id="rId16"/>
      <w:pgSz w:w="12240" w:h="15840" w:orient="portrait"/>
      <w:pgMar w:top="0" w:right="0" w:bottom="0" w:left="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[CLIENT NAME]</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Footer 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[CLIENT NAME]</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Code"/>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1A" w:sz="6" w:space="1"/>
      </w:pBdr>
      <w:tabs>
        <w:tab w:val="right" w:pos="9360"/>
      </w:tabs>
      <w:spacing w:before="0" w:after="200"/>
    </w:pPr>
    <w:r>
      <w:drawing>
        <wp:inline distT="0" distB="0" distL="0" distR="0">
          <wp:extent cx="381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81000" cy="361950"/>
                  </a:xfrm>
                  <a:prstGeom prst="rect">
                    <a:avLst/>
                  </a:prstGeom>
                </pic:spPr>
              </pic:pic>
            </a:graphicData>
          </a:graphic>
        </wp:inline>
      </w:drawing>
    </w:r>
    <w:r>
      <w:rPr>
        <w:rFonts w:ascii="Arial" w:cs="Arial" w:eastAsia="Arial" w:hAnsi="Arial"/>
        <w:b/>
        <w:bCs/>
        <w:caps/>
        <w:color w:val="E85D1A"/>
        <w:sz w:val="18"/>
        <w:szCs w:val="18"/>
      </w:rPr>
      <w:t xml:space="preserve">  MAKER WEB STUDIOS</w:t>
    </w:r>
    <w:r>
      <w:rPr>
        <w:rFonts w:ascii="Arial" w:cs="Arial" w:eastAsia="Arial" w:hAnsi="Arial"/>
        <w:sz w:val="18"/>
        <w:szCs w:val="18"/>
      </w:rPr>
      <w:t xml:space="preserve">	</w:t>
    </w:r>
    <w:r>
      <w:rPr>
        <w:rFonts w:ascii="Arial" w:cs="Arial" w:eastAsia="Arial" w:hAnsi="Arial"/>
        <w:color w:val="7E8691"/>
        <w:sz w:val="18"/>
        <w:szCs w:val="18"/>
      </w:rPr>
      <w:t xml:space="preserve">[CLIENT NAME]  |  BLIND SPOT AUDIT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3b38e8080f2c68cd11e9f3e82cddd5de9969f5b.jpg"/><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2026-03-24T16:15:07.573Z</dcterms:created>
  <dcterms:modified xsi:type="dcterms:W3CDTF">2026-03-24T16:15:07.573Z</dcterms:modified>
</cp:coreProperties>
</file>

<file path=docProps/custom.xml><?xml version="1.0" encoding="utf-8"?>
<Properties xmlns="http://schemas.openxmlformats.org/officeDocument/2006/custom-properties" xmlns:vt="http://schemas.openxmlformats.org/officeDocument/2006/docPropsVTypes"/>
</file>