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LIMITATIONS AND SAFETY</w:t>
      </w:r>
    </w:p>
    <w:p>
      <w:pPr>
        <w:jc w:val="center"/>
      </w:pPr>
      <w:r>
        <w:rPr>
          <w:i/>
        </w:rPr>
        <w:t>Smart IV Monitoring System</w:t>
      </w:r>
    </w:p>
    <w:p>
      <w:r>
        <w:t>Document purpose: To describe the current limitations, foreseeable risks, and safety measures for the Smart IV Monitoring System prototype. This document describes an academic prototype and does not establish that the system is safe or suitable for clinical use.</w:t>
      </w:r>
    </w:p>
    <w:p>
      <w:pPr>
        <w:pStyle w:val="Heading1"/>
      </w:pPr>
      <w:r>
        <w:t>1. System Limitations</w:t>
      </w:r>
    </w:p>
    <w:p>
      <w:pPr>
        <w:pStyle w:val="ListBullet"/>
      </w:pPr>
      <w:r>
        <w:rPr>
          <w:b/>
        </w:rPr>
        <w:t xml:space="preserve">Prototype validation is limited: </w:t>
      </w:r>
      <w:r>
        <w:t>Performance depends on the hardware, firmware, mounting, calibration, and tests actually completed. Results from a bench prototype may not represent performance in a hospital environment.</w:t>
      </w:r>
    </w:p>
    <w:p>
      <w:pPr>
        <w:pStyle w:val="ListBullet"/>
      </w:pPr>
      <w:r>
        <w:rPr>
          <w:b/>
        </w:rPr>
        <w:t xml:space="preserve">Fluid-level estimate may be indirect: </w:t>
      </w:r>
      <w:r>
        <w:t>If the system uses a load cell, it estimates remaining fluid from measured weight. The result can be affected by container type, tubing forces, hanger movement, vibration, and the mass of the container and accessories.</w:t>
      </w:r>
    </w:p>
    <w:p>
      <w:pPr>
        <w:pStyle w:val="ListBullet"/>
      </w:pPr>
      <w:r>
        <w:rPr>
          <w:b/>
        </w:rPr>
        <w:t xml:space="preserve">Sensor accuracy and drift: </w:t>
      </w:r>
      <w:r>
        <w:t>Sensor readings can vary with temperature, mechanical alignment, electrical noise, component tolerances, and time. Calibration and periodic verification are required.</w:t>
      </w:r>
    </w:p>
    <w:p>
      <w:pPr>
        <w:pStyle w:val="ListBullet"/>
      </w:pPr>
      <w:r>
        <w:rPr>
          <w:b/>
        </w:rPr>
        <w:t xml:space="preserve">Movement and disturbance artifacts: </w:t>
      </w:r>
      <w:r>
        <w:t>Sloshing, accidental contact, swinging of the IV stand, and pulling on tubing may cause temporary reading changes or false alerts. Filtering can reduce some noise but may also delay detection.</w:t>
      </w:r>
    </w:p>
    <w:p>
      <w:pPr>
        <w:pStyle w:val="ListBullet"/>
      </w:pPr>
      <w:r>
        <w:rPr>
          <w:b/>
        </w:rPr>
        <w:t xml:space="preserve">Connectivity dependence: </w:t>
      </w:r>
      <w:r>
        <w:t>Wireless notifications and remote dashboards may be delayed or unavailable when Wi-Fi, the network, server, or application is disconnected. Local indication should be evaluated separately.</w:t>
      </w:r>
    </w:p>
    <w:p>
      <w:pPr>
        <w:pStyle w:val="ListBullet"/>
      </w:pPr>
      <w:r>
        <w:rPr>
          <w:b/>
        </w:rPr>
        <w:t xml:space="preserve">Power interruption: </w:t>
      </w:r>
      <w:r>
        <w:t>A loss of power may stop measurement and alerts unless a tested backup power arrangement is provided.</w:t>
      </w:r>
    </w:p>
    <w:p>
      <w:pPr>
        <w:pStyle w:val="ListBullet"/>
      </w:pPr>
      <w:r>
        <w:rPr>
          <w:b/>
        </w:rPr>
        <w:t xml:space="preserve">Threshold-only monitoring: </w:t>
      </w:r>
      <w:r>
        <w:t>A configured fluid-level threshold does not confirm the prescribed infusion rate, diagnose an occlusion, detect infiltration/extravasation, verify patient condition, or guarantee that an infusion is flowing correctly.</w:t>
      </w:r>
    </w:p>
    <w:p>
      <w:pPr>
        <w:pStyle w:val="ListBullet"/>
      </w:pPr>
      <w:r>
        <w:rPr>
          <w:b/>
        </w:rPr>
        <w:t xml:space="preserve">Limited user testing: </w:t>
      </w:r>
      <w:r>
        <w:t>Usability and workflow benefits should not be claimed until structured testing has been conducted with appropriate participants and documented results.</w:t>
      </w:r>
    </w:p>
    <w:p>
      <w:pPr>
        <w:pStyle w:val="ListBullet"/>
      </w:pPr>
      <w:r>
        <w:rPr>
          <w:b/>
        </w:rPr>
        <w:t xml:space="preserve">Not a certified medical device: </w:t>
      </w:r>
      <w:r>
        <w:t>The prototype has not been demonstrated by this document to meet medical-device regulatory, electrical-safety, electromagnetic-compatibility, software-lifecycle, or clinical-validation requirements.</w:t>
      </w:r>
    </w:p>
    <w:p>
      <w:pPr>
        <w:pStyle w:val="Heading1"/>
      </w:pPr>
      <w:r>
        <w:t>2. Safety Risks and Controls</w:t>
      </w:r>
    </w:p>
    <w:tbl>
      <w:tblPr>
        <w:tblStyle w:val="TableGrid"/>
        <w:tblW w:type="auto" w:w="0"/>
        <w:tblLook w:firstColumn="1" w:firstRow="1" w:lastColumn="0" w:lastRow="0" w:noHBand="0" w:noVBand="1" w:val="04A0"/>
      </w:tblPr>
      <w:tblGrid>
        <w:gridCol w:w="3312"/>
        <w:gridCol w:w="3312"/>
        <w:gridCol w:w="3312"/>
      </w:tblGrid>
      <w:tr>
        <w:tc>
          <w:tcPr>
            <w:tcW w:type="dxa" w:w="3312"/>
          </w:tcPr>
          <w:p>
            <w:r>
              <w:t>Potential hazard</w:t>
            </w:r>
          </w:p>
        </w:tc>
        <w:tc>
          <w:tcPr>
            <w:tcW w:type="dxa" w:w="3312"/>
          </w:tcPr>
          <w:p>
            <w:r>
              <w:t>Possible consequence</w:t>
            </w:r>
          </w:p>
        </w:tc>
        <w:tc>
          <w:tcPr>
            <w:tcW w:type="dxa" w:w="3312"/>
          </w:tcPr>
          <w:p>
            <w:r>
              <w:t>Recommended control</w:t>
            </w:r>
          </w:p>
        </w:tc>
      </w:tr>
      <w:tr>
        <w:tc>
          <w:tcPr>
            <w:tcW w:type="dxa" w:w="3312"/>
          </w:tcPr>
          <w:p>
            <w:r>
              <w:t>Missed or delayed alert</w:t>
            </w:r>
          </w:p>
        </w:tc>
        <w:tc>
          <w:tcPr>
            <w:tcW w:type="dxa" w:w="3312"/>
          </w:tcPr>
          <w:p>
            <w:r>
              <w:t>Staff may not be notified promptly of a low-fluid condition.</w:t>
            </w:r>
          </w:p>
        </w:tc>
        <w:tc>
          <w:tcPr>
            <w:tcW w:type="dxa" w:w="3312"/>
          </w:tcPr>
          <w:p>
            <w:r>
              <w:t>Use a clear local alert; test threshold behavior and response latency; document failures; do not rely on this prototype as the only monitoring method.</w:t>
            </w:r>
          </w:p>
        </w:tc>
      </w:tr>
      <w:tr>
        <w:tc>
          <w:tcPr>
            <w:tcW w:type="dxa" w:w="3312"/>
          </w:tcPr>
          <w:p>
            <w:r>
              <w:t>False or nuisance alert</w:t>
            </w:r>
          </w:p>
        </w:tc>
        <w:tc>
          <w:tcPr>
            <w:tcW w:type="dxa" w:w="3312"/>
          </w:tcPr>
          <w:p>
            <w:r>
              <w:t>Unnecessary interruptions or reduced trust in the system.</w:t>
            </w:r>
          </w:p>
        </w:tc>
        <w:tc>
          <w:tcPr>
            <w:tcW w:type="dxa" w:w="3312"/>
          </w:tcPr>
          <w:p>
            <w:r>
              <w:t>Validate thresholds and filtering using representative bench tests; document false-alert behavior and avoid suppressing alarms without validation.</w:t>
            </w:r>
          </w:p>
        </w:tc>
      </w:tr>
      <w:tr>
        <w:tc>
          <w:tcPr>
            <w:tcW w:type="dxa" w:w="3312"/>
          </w:tcPr>
          <w:p>
            <w:r>
              <w:t>Mechanical failure or unstable mounting</w:t>
            </w:r>
          </w:p>
        </w:tc>
        <w:tc>
          <w:tcPr>
            <w:tcW w:type="dxa" w:w="3312"/>
          </w:tcPr>
          <w:p>
            <w:r>
              <w:t>Container may shift or fall; readings may become invalid.</w:t>
            </w:r>
          </w:p>
        </w:tc>
        <w:tc>
          <w:tcPr>
            <w:tcW w:type="dxa" w:w="3312"/>
          </w:tcPr>
          <w:p>
            <w:r>
              <w:t>Use secure load-bearing mounting, strain relief, and a stable test stand; inspect before each bench test.</w:t>
            </w:r>
          </w:p>
        </w:tc>
      </w:tr>
      <w:tr>
        <w:tc>
          <w:tcPr>
            <w:tcW w:type="dxa" w:w="3312"/>
          </w:tcPr>
          <w:p>
            <w:r>
              <w:t>Electrical fault or overheating</w:t>
            </w:r>
          </w:p>
        </w:tc>
        <w:tc>
          <w:tcPr>
            <w:tcW w:type="dxa" w:w="3312"/>
          </w:tcPr>
          <w:p>
            <w:r>
              <w:t>Equipment damage or potential electrical hazard.</w:t>
            </w:r>
          </w:p>
        </w:tc>
        <w:tc>
          <w:tcPr>
            <w:tcW w:type="dxa" w:w="3312"/>
          </w:tcPr>
          <w:p>
            <w:r>
              <w:t>Use a suitable regulated supply, insulated connections, appropriate protection, and an enclosure; disconnect power before rewiring.</w:t>
            </w:r>
          </w:p>
        </w:tc>
      </w:tr>
      <w:tr>
        <w:tc>
          <w:tcPr>
            <w:tcW w:type="dxa" w:w="3312"/>
          </w:tcPr>
          <w:p>
            <w:r>
              <w:t>Fluid spill near electronics</w:t>
            </w:r>
          </w:p>
        </w:tc>
        <w:tc>
          <w:tcPr>
            <w:tcW w:type="dxa" w:w="3312"/>
          </w:tcPr>
          <w:p>
            <w:r>
              <w:t>Short circuit or equipment damage.</w:t>
            </w:r>
          </w:p>
        </w:tc>
        <w:tc>
          <w:tcPr>
            <w:tcW w:type="dxa" w:w="3312"/>
          </w:tcPr>
          <w:p>
            <w:r>
              <w:t>Keep electronics away from fluid paths; use physical separation and a suitable enclosure; never place non-medical electronics where they can contact patient fluids.</w:t>
            </w:r>
          </w:p>
        </w:tc>
      </w:tr>
      <w:tr>
        <w:tc>
          <w:tcPr>
            <w:tcW w:type="dxa" w:w="3312"/>
          </w:tcPr>
          <w:p>
            <w:r>
              <w:t>Network or application failure</w:t>
            </w:r>
          </w:p>
        </w:tc>
        <w:tc>
          <w:tcPr>
            <w:tcW w:type="dxa" w:w="3312"/>
          </w:tcPr>
          <w:p>
            <w:r>
              <w:t>Remote alert may not be delivered.</w:t>
            </w:r>
          </w:p>
        </w:tc>
        <w:tc>
          <w:tcPr>
            <w:tcW w:type="dxa" w:w="3312"/>
          </w:tcPr>
          <w:p>
            <w:r>
              <w:t>Show connection status, test offline behavior, and provide a local indicator; never assume a sent message was received without confirmation.</w:t>
            </w:r>
          </w:p>
        </w:tc>
      </w:tr>
      <w:tr>
        <w:tc>
          <w:tcPr>
            <w:tcW w:type="dxa" w:w="3312"/>
          </w:tcPr>
          <w:p>
            <w:r>
              <w:t>Incorrect calibration or threshold</w:t>
            </w:r>
          </w:p>
        </w:tc>
        <w:tc>
          <w:tcPr>
            <w:tcW w:type="dxa" w:w="3312"/>
          </w:tcPr>
          <w:p>
            <w:r>
              <w:t>Incorrect remaining-fluid estimate or alert timing.</w:t>
            </w:r>
          </w:p>
        </w:tc>
        <w:tc>
          <w:tcPr>
            <w:tcW w:type="dxa" w:w="3312"/>
          </w:tcPr>
          <w:p>
            <w:r>
              <w:t>Use known reference weights, record calibration data, verify before tests, and document the threshold units and rationale.</w:t>
            </w:r>
          </w:p>
        </w:tc>
      </w:tr>
    </w:tbl>
    <w:p>
      <w:pPr>
        <w:pStyle w:val="Heading1"/>
      </w:pPr>
      <w:r>
        <w:t>3. Safe Testing Procedure</w:t>
      </w:r>
    </w:p>
    <w:p>
      <w:pPr>
        <w:pStyle w:val="ListNumber"/>
      </w:pPr>
      <w:r>
        <w:t>Test on a bench using a non-clinical container and safe test loads only. Do not connect the prototype to a patient or a live infusion line.</w:t>
      </w:r>
    </w:p>
    <w:p>
      <w:pPr>
        <w:pStyle w:val="ListNumber"/>
      </w:pPr>
      <w:r>
        <w:t>Inspect the mount, wiring, power supply, enclosure, and sensor connections before applying power.</w:t>
      </w:r>
    </w:p>
    <w:p>
      <w:pPr>
        <w:pStyle w:val="ListNumber"/>
      </w:pPr>
      <w:r>
        <w:t>Verify readings with known reference weights and record the calibration method and observed error.</w:t>
      </w:r>
    </w:p>
    <w:p>
      <w:pPr>
        <w:pStyle w:val="ListNumber"/>
      </w:pPr>
      <w:r>
        <w:t>Test normal, threshold-crossing, disturbance, disconnected-network, and power-interruption cases where safe and applicable.</w:t>
      </w:r>
    </w:p>
    <w:p>
      <w:pPr>
        <w:pStyle w:val="ListNumber"/>
      </w:pPr>
      <w:r>
        <w:t>Record alert response time, missed alerts, false alerts, and any unexpected behavior. Do not invent results or label unperformed tests as passed.</w:t>
      </w:r>
    </w:p>
    <w:p>
      <w:pPr>
        <w:pStyle w:val="ListNumber"/>
      </w:pPr>
      <w:r>
        <w:t>Keep the existing clinical monitoring and supervision procedures in place; the prototype must not be used to make treatment decisions.</w:t>
      </w:r>
    </w:p>
    <w:p>
      <w:pPr>
        <w:pStyle w:val="Heading1"/>
      </w:pPr>
      <w:r>
        <w:t>4. Safe Use Statement</w:t>
      </w:r>
    </w:p>
    <w:p>
      <w:r>
        <w:t>The Smart IV Monitoring System is intended for academic prototyping and controlled bench evaluation only. It is not a replacement for clinical observation, prescribed infusion equipment, or hospital alarm systems. It must not be used to initiate, stop, regulate, or make treatment decisions about an infusion. Before any clinical consideration, the design would require formal risk management, verified engineering controls, electrical and electromagnetic safety assessment, software verification, usability evaluation, and appropriate regulatory and clinical review by qualified professionals.</w:t>
      </w:r>
    </w:p>
    <w:p>
      <w:pPr>
        <w:pStyle w:val="Heading1"/>
      </w:pPr>
      <w:r>
        <w:t>5. Evidence to Add Before Review</w:t>
      </w:r>
    </w:p>
    <w:p>
      <w:pPr>
        <w:pStyle w:val="ListBullet"/>
      </w:pPr>
      <w:r>
        <w:t>Actual sensor and controller part numbers used in the prototype.</w:t>
      </w:r>
    </w:p>
    <w:p>
      <w:pPr>
        <w:pStyle w:val="ListBullet"/>
      </w:pPr>
      <w:r>
        <w:t>Calibration table with reference values, measured values, and calculated error.</w:t>
      </w:r>
    </w:p>
    <w:p>
      <w:pPr>
        <w:pStyle w:val="ListBullet"/>
      </w:pPr>
      <w:r>
        <w:t>Test log containing date, setup, test condition, expected result, actual result, and pass/fail status.</w:t>
      </w:r>
    </w:p>
    <w:p>
      <w:pPr>
        <w:pStyle w:val="ListBullet"/>
      </w:pPr>
      <w:r>
        <w:t>Measured alert latency and documented false-positive / missed-alert observations.</w:t>
      </w:r>
    </w:p>
    <w:p>
      <w:pPr>
        <w:pStyle w:val="ListBullet"/>
      </w:pPr>
      <w:r>
        <w:t>Photographs of the bench setup and enclosure, with patient information excluded.</w:t>
      </w:r>
    </w:p>
    <w:p>
      <w:pPr>
        <w:pStyle w:val="ListBullet"/>
      </w:pPr>
      <w:r>
        <w:t>A clear list of unimplemented features and known failure modes.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 IV Monitoring System | Limitations and Safety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