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38"/>
        <w:ind w:left="0" w:right="0" w:firstLine="0"/>
        <w:spacing w:before="0" w:after="206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41"/>
        </w:rPr>
        <w:t xml:space="preserve">Руководство по внутренним перемещениям сотрудников</w:t>
      </w:r>
      <w:r/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404040"/>
          <w:sz w:val="24"/>
        </w:rPr>
        <w:t xml:space="preserve">Дата ________</w:t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</w:p>
    <w:p>
      <w:pPr>
        <w:pStyle w:val="918"/>
        <w:numPr>
          <w:ilvl w:val="0"/>
          <w:numId w:val="30"/>
        </w:numPr>
        <w:ind w:right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Сокращения и определения</w:t>
      </w:r>
      <w:r>
        <w:rPr>
          <w:rFonts w:ascii="Arial" w:hAnsi="Arial" w:eastAsia="Arial" w:cs="Arial"/>
          <w:i/>
          <w:color w:val="404040"/>
          <w:sz w:val="24"/>
          <w:highlight w:val="none"/>
        </w:rPr>
      </w:r>
      <w:r/>
    </w:p>
    <w:p>
      <w:pPr>
        <w:ind w:left="709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i/>
          <w:color w:val="404040"/>
          <w:sz w:val="24"/>
          <w:highlight w:val="none"/>
        </w:rPr>
        <w:t xml:space="preserve">Компания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 – АО «Р7»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.</w:t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</w:p>
    <w:p>
      <w:pPr>
        <w:ind w:left="709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404040"/>
          <w:sz w:val="24"/>
          <w:highlight w:val="none"/>
        </w:rPr>
      </w:r>
      <w:r>
        <w:rPr>
          <w:rFonts w:ascii="Arial" w:hAnsi="Arial" w:eastAsia="Arial" w:cs="Arial"/>
          <w:b/>
          <w:bCs/>
          <w:i/>
          <w:color w:val="404040"/>
          <w:sz w:val="24"/>
          <w:highlight w:val="none"/>
        </w:rPr>
        <w:t xml:space="preserve">Внутренний кандидат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 – действующий сотрудник Компании, претендующий на занятие вакантной должности в любом подразделении Компании.</w:t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</w:p>
    <w:p>
      <w:pPr>
        <w:ind w:left="709" w:right="0" w:firstLine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i/>
          <w:color w:val="404040"/>
          <w:sz w:val="24"/>
          <w:highlight w:val="none"/>
        </w:rPr>
        <w:t xml:space="preserve">Внутренний конкурс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 – конкурс, объявляемый публично во всех случаях, когда претендентами на вакансию в Принимающем подразделении рассматриваются внутренние кандидаты.</w:t>
      </w:r>
      <w:r>
        <w:rPr>
          <w:rFonts w:ascii="Arial" w:hAnsi="Arial" w:eastAsia="Arial" w:cs="Arial"/>
          <w:i/>
          <w:color w:val="404040"/>
          <w:sz w:val="24"/>
          <w:highlight w:val="none"/>
        </w:rPr>
      </w:r>
      <w:r/>
    </w:p>
    <w:p>
      <w:pPr>
        <w:ind w:left="709" w:right="0" w:firstLine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i/>
          <w:color w:val="404040"/>
          <w:sz w:val="24"/>
          <w:highlight w:val="none"/>
        </w:rPr>
        <w:t xml:space="preserve">Подразделение-донор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 – любое подразделение Компании, из которого сотрудник переходит в другое подразделение Компании.</w:t>
      </w:r>
      <w:r>
        <w:rPr>
          <w:rFonts w:ascii="Arial" w:hAnsi="Arial" w:eastAsia="Arial" w:cs="Arial"/>
          <w:i/>
          <w:color w:val="404040"/>
          <w:sz w:val="24"/>
          <w:highlight w:val="none"/>
        </w:rPr>
      </w:r>
      <w:r/>
    </w:p>
    <w:p>
      <w:pPr>
        <w:ind w:left="709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i/>
          <w:color w:val="404040"/>
          <w:sz w:val="24"/>
          <w:highlight w:val="none"/>
        </w:rPr>
        <w:t xml:space="preserve">Принимающее подразделение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 – любое подразделение Компании, в которое сотрудник изъявляет желание перейти на открытую вакансию.</w:t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  <w:r>
        <w:rPr>
          <w:rFonts w:ascii="Arial" w:hAnsi="Arial" w:eastAsia="Arial" w:cs="Arial"/>
          <w:bCs/>
          <w:i/>
          <w:color w:val="404040"/>
          <w:sz w:val="24"/>
          <w:szCs w:val="24"/>
          <w:highlight w:val="none"/>
        </w:rPr>
      </w:r>
    </w:p>
    <w:p>
      <w:pPr>
        <w:ind w:left="709" w:right="0" w:firstLine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i/>
          <w:color w:val="404040"/>
          <w:sz w:val="24"/>
          <w:highlight w:val="none"/>
        </w:rPr>
        <w:t xml:space="preserve">HR  специалист </w:t>
      </w:r>
      <w:r>
        <w:rPr>
          <w:rFonts w:ascii="Arial" w:hAnsi="Arial" w:eastAsia="Arial" w:cs="Arial"/>
          <w:i/>
          <w:color w:val="404040"/>
          <w:sz w:val="24"/>
          <w:highlight w:val="none"/>
        </w:rPr>
        <w:t xml:space="preserve">– специалист Департамента по управлению персоналом, ответственный за открытую вакансию.</w:t>
      </w:r>
      <w:r>
        <w:rPr>
          <w:rFonts w:ascii="Arial" w:hAnsi="Arial" w:eastAsia="Arial" w:cs="Arial"/>
          <w:i/>
          <w:color w:val="404040"/>
          <w:sz w:val="24"/>
          <w:highlight w:val="none"/>
        </w:rPr>
      </w:r>
      <w:r/>
    </w:p>
    <w:p>
      <w:pPr>
        <w:pStyle w:val="740"/>
        <w:ind w:left="0" w:right="0" w:firstLine="0"/>
        <w:spacing w:before="274" w:after="206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34"/>
        </w:rPr>
        <w:t xml:space="preserve">1. Общие положения</w:t>
      </w:r>
      <w:r/>
    </w:p>
    <w:p>
      <w:pPr>
        <w:ind w:left="0" w:right="0" w:firstLine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</w:rPr>
        <w:t xml:space="preserve">Компания поддерживает профессиональное развитие сотрудников и поощряет внутренние перемещения между командами и отделами. </w:t>
      </w:r>
      <w:r>
        <w:rPr>
          <w:rFonts w:ascii="Arial" w:hAnsi="Arial" w:eastAsia="Arial" w:cs="Arial"/>
          <w:color w:val="404040"/>
          <w:sz w:val="24"/>
        </w:rPr>
        <w:t xml:space="preserve">Данное руководство устанавливает единые правила для внутренних конкурсов и перемещений сотрудников для обеспечения прозрачности, справедливости и минимизации рисков для бизнеса.</w:t>
      </w:r>
      <w:r>
        <w:rPr>
          <w:rFonts w:ascii="Arial" w:hAnsi="Arial" w:eastAsia="Arial" w:cs="Arial"/>
          <w:color w:val="404040"/>
          <w:sz w:val="24"/>
        </w:rPr>
      </w:r>
      <w:r/>
    </w:p>
    <w:p>
      <w:pPr>
        <w:pStyle w:val="742"/>
        <w:ind w:left="0" w:right="0" w:firstLine="0"/>
        <w:spacing w:before="274" w:after="206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7"/>
        </w:rPr>
        <w:t xml:space="preserve">Основные принципы: </w:t>
      </w:r>
      <w:r/>
    </w:p>
    <w:p>
      <w:pPr>
        <w:pStyle w:val="918"/>
        <w:numPr>
          <w:ilvl w:val="0"/>
          <w:numId w:val="16"/>
        </w:num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Развитие внутри компании</w:t>
      </w:r>
      <w:r>
        <w:rPr>
          <w:rFonts w:ascii="Arial" w:hAnsi="Arial" w:eastAsia="Arial" w:cs="Arial"/>
          <w:color w:val="404040"/>
          <w:sz w:val="24"/>
        </w:rPr>
        <w:t xml:space="preserve"> — приоритет для карьерного роста.</w:t>
      </w:r>
      <w:r/>
    </w:p>
    <w:p>
      <w:pPr>
        <w:pStyle w:val="918"/>
        <w:numPr>
          <w:ilvl w:val="0"/>
          <w:numId w:val="16"/>
        </w:num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Прозрачность</w:t>
      </w:r>
      <w:r>
        <w:rPr>
          <w:rFonts w:ascii="Arial" w:hAnsi="Arial" w:eastAsia="Arial" w:cs="Arial"/>
          <w:color w:val="404040"/>
          <w:sz w:val="24"/>
        </w:rPr>
        <w:t xml:space="preserve"> — единые правила для всех перемещений.</w:t>
      </w:r>
      <w:r/>
    </w:p>
    <w:p>
      <w:pPr>
        <w:pStyle w:val="918"/>
        <w:numPr>
          <w:ilvl w:val="0"/>
          <w:numId w:val="16"/>
        </w:num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Баланс интересов</w:t>
      </w:r>
      <w:r>
        <w:rPr>
          <w:rFonts w:ascii="Arial" w:hAnsi="Arial" w:eastAsia="Arial" w:cs="Arial"/>
          <w:color w:val="404040"/>
          <w:sz w:val="24"/>
        </w:rPr>
        <w:t xml:space="preserve"> — учет потребностей бизнеса, команды и сотрудника.</w:t>
      </w:r>
      <w:r/>
    </w:p>
    <w:p>
      <w:pPr>
        <w:pStyle w:val="918"/>
        <w:numPr>
          <w:ilvl w:val="0"/>
          <w:numId w:val="16"/>
        </w:num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24"/>
        </w:rPr>
        <w:t xml:space="preserve">Этичность</w:t>
      </w:r>
      <w:r>
        <w:rPr>
          <w:rFonts w:ascii="Arial" w:hAnsi="Arial" w:eastAsia="Arial" w:cs="Arial"/>
          <w:color w:val="404040"/>
          <w:sz w:val="24"/>
        </w:rPr>
        <w:t xml:space="preserve"> —  </w:t>
      </w:r>
      <w:r>
        <w:rPr>
          <w:rFonts w:ascii="Arial" w:hAnsi="Arial" w:eastAsia="Arial" w:cs="Arial"/>
          <w:color w:val="404040"/>
          <w:sz w:val="24"/>
        </w:rPr>
        <w:t xml:space="preserve">отсутствие внутренней конкуренции за сотрудников между подразделениями компании</w:t>
      </w:r>
      <w:r>
        <w:rPr>
          <w:rFonts w:ascii="Arial" w:hAnsi="Arial" w:eastAsia="Arial" w:cs="Arial"/>
          <w:color w:val="404040"/>
          <w:sz w:val="24"/>
        </w:rPr>
        <w:t xml:space="preserve">.</w:t>
      </w:r>
      <w:r>
        <w:rPr>
          <w:rFonts w:ascii="Arial" w:hAnsi="Arial" w:eastAsia="Arial" w:cs="Arial"/>
          <w:color w:val="404040"/>
          <w:sz w:val="24"/>
        </w:rPr>
      </w:r>
      <w:r/>
    </w:p>
    <w:p>
      <w:p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</w:rPr>
        <w:t xml:space="preserve">Настоящее Руковод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ств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о является обязательными для всех сотрудников, принимающих участие во внутренних конкурсах, а также для сотрудников Департамента по управлению персоналом и руководителей подразделений, задействованных в процессе перехода сотрудников между подразделениями.
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right="0"/>
        <w:spacing w:before="0" w:after="0" w:line="428" w:lineRule="atLeast"/>
        <w:rPr>
          <w:rFonts w:ascii="Arial" w:hAnsi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404040"/>
          <w:sz w:val="34"/>
        </w:rPr>
        <w:t xml:space="preserve">2. Условия внутреннего перемещения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right="0" w:firstLine="708"/>
        <w:spacing w:before="0" w:after="0" w:line="428" w:lineRule="atLeast"/>
        <w:rPr>
          <w:rFonts w:ascii="Arial" w:hAnsi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2.1 </w:t>
        <w:tab/>
        <w:t xml:space="preserve">С целью стимулирования кадрового роста сотрудников Компании и повышения лояльности к бренду работодателя приоритет в конкурсах на заполнение вакансий отдается штатным сотрудникам Компании.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2.2 </w:t>
        <w:tab/>
        <w:t xml:space="preserve">Сотрудникам Департамента по управлению пе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рсоналом Компании и сотрудникам Принимающего подразделения  запрещено предпринимать целенаправленные действия, инициирующие переход сотрудников на открытые вакансии по внутреннему конкурсу (например: целенаправленно направлять вакансии по почте, звонить, в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стречаться лично и др.).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2.3 </w:t>
        <w:tab/>
        <w:t xml:space="preserve">Во внутреннем конкурсе может участвовать любой сотрудник Компании, отвечающий следующим требованиям: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для линейных сотрудников  – наличие стажа работы  не менее 1-ого года в текущем департаменте;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c00000"/>
          <w:sz w:val="24"/>
          <w:szCs w:val="24"/>
        </w:rPr>
        <w:t xml:space="preserve">???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для тим лидов, административного персонала, линейных менеджеров, руководителей Групп и Направлений – наличие стажа работы в Компании не менее 1-ого года;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0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для руководителей Отделов/Департаментов – наличие стажа работы в Компании не менее 2-х лет.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c00000"/>
          <w:sz w:val="24"/>
          <w:szCs w:val="24"/>
        </w:rPr>
        <w:t xml:space="preserve">???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Отступление от вышеперечисленных сроков может быть принято в случае наличия критической потребности бизнеса в новой роли и решается по согласованию сторон с участием HR специалиста.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2.4 </w:t>
        <w:tab/>
      </w:r>
      <w:r>
        <w:rPr>
          <w:rFonts w:ascii="Arial" w:hAnsi="Arial" w:eastAsia="Arial" w:cs="Arial"/>
          <w:color w:val="404040"/>
          <w:sz w:val="24"/>
          <w:szCs w:val="24"/>
        </w:rPr>
        <w:t xml:space="preserve">Максимальное увеличение заработной платы сразу после перехода — 10-15%, далее повышение рассматривается в рамках общего цикла пересмотра дохода.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В случае перехода на новую должность или грейд – уровень дохода изменяется  согласно должности/грейду.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2.5 </w:t>
        <w:tab/>
        <w:t xml:space="preserve">Оценка квалификации - к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андидат должен соответствовать требованиям новой роли. Определяется посредством собеседования, тестового задания, если применимо.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right="0"/>
        <w:spacing w:before="0" w:after="0" w:line="428" w:lineRule="atLeast"/>
        <w:rPr>
          <w:rFonts w:ascii="Arial" w:hAnsi="Arial" w:eastAsia="Arial" w:cs="Arial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404040"/>
          <w:sz w:val="34"/>
        </w:rPr>
        <w:t xml:space="preserve">3. Процесс внутреннего перемещения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ind w:right="0"/>
        <w:spacing w:before="0" w:after="0" w:line="428" w:lineRule="atLeast"/>
        <w:rPr>
          <w:rFonts w:ascii="Arial" w:hAnsi="Arial" w:eastAsia="Arial" w:cs="Arial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3.1 </w:t>
        <w:tab/>
        <w:t xml:space="preserve">Все объявления об открытых вакансиях в Компании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доводятся до сведения сотрудников посредством: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1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публикации на карьерной странице Компании 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https://r7-office.ru/vacancy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1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c00000"/>
          <w:sz w:val="24"/>
          <w:szCs w:val="24"/>
        </w:rPr>
        <w:t xml:space="preserve">???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публикации во внутреннем ТГ канале Р7.МСК ежемесячно 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</w:rPr>
        <w:t xml:space="preserve">В объявлении о вакансии  указывается контакт HR специалиста.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Заявка на участие подается посредством электронной почты.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3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.2.</w:t>
        <w:tab/>
        <w:t xml:space="preserve">Сотрудник обязан заранее увед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омить своего непосредственного руководителя об участии во внутреннем конкурсе и поставить текущего руководителя в копию при подаче заявки на участие.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Руководитель не может блокировать желание сотрудника участвовать в конкурсе. В случае, когда сотрудник не уведомляет своего непосредственного руководителя, HR специалист информирует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Руководителя Подразделения-донора об участии их сотрудника в конкурсе не позднее 3-х рабочих дней с момента поступления заявки.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3.3.  </w:t>
        <w:tab/>
        <w:t xml:space="preserve">В течение 5 рабочих дней после подачи заявки текущий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руководитель и HR специалист проводят встречу с сотрудником для обсуждения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причин перехода и рассмотрения возможных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альтернатив.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В случае сохранения интереса для участия во Внутреннем конкурсе, кандидат переводится на следующий этап.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3.4. </w:t>
        <w:tab/>
      </w:r>
      <w:r>
        <w:rPr>
          <w:rFonts w:ascii="Arial" w:hAnsi="Arial" w:eastAsia="Arial" w:cs="Arial"/>
          <w:color w:val="404040"/>
          <w:sz w:val="24"/>
          <w:szCs w:val="24"/>
        </w:rPr>
        <w:t xml:space="preserve">HR специалист организует собеседование с Руководителем/представителем Принимающего подразделения.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Решение по итогам всех этапов собеседований принимается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Руководителем Принимающего подразделения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в течение 10 рабочих дней. 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3.5. </w:t>
        <w:tab/>
        <w:t xml:space="preserve">При рассмотрении кандидата на открытую вакансию Руководитель Принимающего подразделения учитывает условия перехода сотрудника, оговоренные руководителем Подразделения-донора.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.6. </w:t>
        <w:tab/>
        <w:t xml:space="preserve">С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рок перехода сотрудника в Принимающее подразделение согласовывается  HR специалистом и определяется коллегиально руководителем Подразделения-донора, сотрудником и руководителем Принимающего подразделения с учетом интересов Компании, но не может превышать: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2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60 дней (два месяца) для сотрудников Департамента Разработки; 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2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45 дней (полтора месяца) для остальных сотрудников Компании; 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918"/>
        <w:numPr>
          <w:ilvl w:val="0"/>
          <w:numId w:val="42"/>
        </w:numPr>
        <w:ind w:right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90 дней (три месяца) для руководителей и ключевых сотрудников всех подразделений Компании, в т.ч. персонально участвующих в крупных проектах. Срок согласовывается  с  HRD  и топ менеджментом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3.7.</w:t>
        <w:tab/>
        <w:t xml:space="preserve">HR специалист, при необходимости, обращается за рекомендациями на сотрудника (например, в случаях, когда сотрудник увольнялся из Компании, в том числе и по соглашению сторон).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3.8.</w:t>
        <w:tab/>
        <w:t xml:space="preserve">В случае непрохождения внутренним кандидатом конкурса на объявленную вакансию, HR специалист обязан дать обратную связь сотруднику о причинах отказа на любом из этапов конкурса.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  <w:t xml:space="preserve">3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.9.</w:t>
        <w:tab/>
      </w:r>
      <w:r>
        <w:rPr>
          <w:rFonts w:ascii="Arial" w:hAnsi="Arial" w:eastAsia="Arial" w:cs="Arial"/>
          <w:color w:val="404040"/>
          <w:sz w:val="24"/>
          <w:szCs w:val="24"/>
        </w:rPr>
        <w:t xml:space="preserve">Результаты конкурса не должны оказывать влияние на дальнейшую работу и карьерное продвижение тех участников, которые выбыли из конкурса на разных этапах его проведения.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740"/>
        <w:ind w:left="0" w:right="0" w:firstLine="0"/>
        <w:spacing w:before="274" w:after="206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34"/>
        </w:rPr>
        <w:t xml:space="preserve">4. Роли и ответственность</w:t>
      </w:r>
      <w:r/>
    </w:p>
    <w:p>
      <w:pPr>
        <w:ind w:left="0" w:right="0" w:firstLine="0"/>
        <w:spacing w:before="0" w:after="0" w:line="428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Внутренний кандидат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 несет ответственность за соблюдение последовательности действий согласно данному Руководству, своевременное информирование о своем желании участвовать во Внутреннем конкурсе своего руководителя. Участвует </w:t>
      </w:r>
      <w:r>
        <w:rPr>
          <w:rFonts w:ascii="Arial" w:hAnsi="Arial" w:eastAsia="Arial" w:cs="Arial"/>
          <w:color w:val="404040"/>
          <w:sz w:val="24"/>
        </w:rPr>
        <w:t xml:space="preserve">в отборе наравне со внешними кандидатами.</w:t>
      </w:r>
      <w:r>
        <w:rPr>
          <w:rFonts w:ascii="Arial" w:hAnsi="Arial" w:eastAsia="Arial" w:cs="Arial"/>
          <w:color w:val="404040"/>
          <w:sz w:val="24"/>
        </w:rPr>
        <w:t xml:space="preserve"> П</w:t>
      </w:r>
      <w:r>
        <w:rPr>
          <w:rFonts w:ascii="Arial" w:hAnsi="Arial" w:eastAsia="Arial" w:cs="Arial"/>
          <w:color w:val="404040"/>
          <w:sz w:val="24"/>
        </w:rPr>
        <w:t xml:space="preserve">ередает дела перед переходом в другое подразделение в полном объеме.</w:t>
      </w:r>
      <w:r>
        <w:rPr>
          <w:highlight w:val="none"/>
        </w:rPr>
      </w:r>
    </w:p>
    <w:p>
      <w:pPr>
        <w:ind w:left="0" w:right="0" w:firstLine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Текущий руководитель/Руководитель Подразделения - донора </w:t>
      </w:r>
      <w:r>
        <w:rPr>
          <w:rFonts w:ascii="Arial" w:hAnsi="Arial" w:eastAsia="Arial" w:cs="Arial"/>
          <w:b w:val="0"/>
          <w:bCs w:val="0"/>
          <w:color w:val="404040"/>
          <w:sz w:val="24"/>
          <w:szCs w:val="24"/>
        </w:rPr>
        <w:t xml:space="preserve">не б</w:t>
      </w:r>
      <w:r>
        <w:rPr>
          <w:rFonts w:ascii="Arial" w:hAnsi="Arial" w:eastAsia="Arial" w:cs="Arial"/>
          <w:color w:val="404040"/>
          <w:sz w:val="24"/>
        </w:rPr>
        <w:t xml:space="preserve">локирует переход без обоснованных причин.</w:t>
      </w:r>
      <w:r>
        <w:rPr>
          <w:rFonts w:ascii="Arial" w:hAnsi="Arial" w:eastAsia="Arial" w:cs="Arial"/>
          <w:color w:val="404040"/>
          <w:sz w:val="24"/>
        </w:rPr>
        <w:t xml:space="preserve"> Несет ответственность за перераспределение обязанностей, с</w:t>
      </w:r>
      <w:r>
        <w:rPr>
          <w:rFonts w:ascii="Arial" w:hAnsi="Arial" w:eastAsia="Arial" w:cs="Arial"/>
          <w:color w:val="404040"/>
          <w:sz w:val="24"/>
        </w:rPr>
        <w:t xml:space="preserve">огласование сроков отработки, предоставление</w:t>
      </w:r>
      <w:r>
        <w:rPr>
          <w:rFonts w:ascii="Arial" w:hAnsi="Arial" w:eastAsia="Arial" w:cs="Arial"/>
          <w:color w:val="404040"/>
          <w:sz w:val="24"/>
        </w:rPr>
        <w:t xml:space="preserve"> рекомендаций HR специалисту.</w:t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b/>
          <w:bCs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</w:r>
      <w:r>
        <w:rPr>
          <w:rFonts w:ascii="Arial" w:hAnsi="Arial" w:eastAsia="Arial" w:cs="Arial"/>
          <w:b/>
          <w:bCs/>
          <w:color w:val="404040"/>
          <w:sz w:val="24"/>
          <w:szCs w:val="24"/>
        </w:rPr>
      </w:r>
      <w:r>
        <w:rPr>
          <w:rFonts w:ascii="Arial" w:hAnsi="Arial" w:eastAsia="Arial" w:cs="Arial"/>
          <w:b/>
          <w:bCs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Руководитель Принимающего подразделени</w:t>
      </w: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я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несет ответственность за объективный отбор, принятое решение об утверждении кандидата и гарантирует его трудоустройство по истечении согласованного срока ожидания перехода. Длительность срока ожидания перехода сотрудника не может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быть причиной отказа от утвержденного кандидата Принимающим подразделением.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right="0"/>
        <w:spacing w:before="0" w:after="0" w:line="428" w:lineRule="atLeast"/>
        <w:rPr>
          <w:rFonts w:ascii="Arial" w:hAnsi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b/>
          <w:bCs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HR специалист к</w:t>
      </w:r>
      <w:r>
        <w:rPr>
          <w:rFonts w:ascii="Arial" w:hAnsi="Arial" w:eastAsia="Arial" w:cs="Arial"/>
          <w:color w:val="404040"/>
          <w:sz w:val="24"/>
        </w:rPr>
        <w:t xml:space="preserve">оординирует процесс, обеспечивает прозрачность, дает </w:t>
      </w:r>
      <w:r>
        <w:rPr>
          <w:rFonts w:ascii="Arial" w:hAnsi="Arial" w:eastAsia="Arial" w:cs="Arial"/>
          <w:color w:val="404040"/>
          <w:sz w:val="24"/>
        </w:rPr>
        <w:t xml:space="preserve">обратную связь кандидату.</w:t>
      </w:r>
      <w:r>
        <w:rPr>
          <w:rFonts w:ascii="Arial" w:hAnsi="Arial" w:eastAsia="Arial" w:cs="Arial"/>
          <w:b/>
          <w:bCs/>
          <w:color w:val="404040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404040"/>
          <w:sz w:val="24"/>
          <w:szCs w:val="24"/>
          <w14:ligatures w14:val="none"/>
        </w:rPr>
      </w:r>
    </w:p>
    <w:p>
      <w:pPr>
        <w:ind w:right="0"/>
        <w:spacing w:before="0" w:after="0" w:line="428" w:lineRule="atLeast"/>
        <w:rPr>
          <w:rFonts w:ascii="Arial" w:hAnsi="Arial" w:cs="Arial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Департамент по управлению персоналом</w:t>
      </w:r>
      <w:r>
        <w:rPr>
          <w:rFonts w:ascii="Arial" w:hAnsi="Arial" w:eastAsia="Arial" w:cs="Arial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несет ответственность за точное соблюдение кадровых процедур, принятых в Компании, а также за информационно-разъяснительную работу среди сотрудников и руководителей Компании по вопросам их участия во внутренних конкур</w:t>
      </w:r>
      <w:r>
        <w:rPr>
          <w:rFonts w:ascii="Arial" w:hAnsi="Arial" w:eastAsia="Arial" w:cs="Arial"/>
          <w:color w:val="404040"/>
          <w:sz w:val="24"/>
          <w:szCs w:val="24"/>
        </w:rPr>
        <w:t xml:space="preserve">сах, а также о правилах и сроках перехода.</w:t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ind w:left="0" w:right="0" w:firstLine="0"/>
        <w:spacing w:before="0" w:after="0" w:line="428" w:lineRule="atLeast"/>
        <w:rPr>
          <w:rFonts w:ascii="Arial" w:hAnsi="Arial" w:eastAsia="Arial" w:cs="Arial"/>
          <w:color w:val="404040"/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</w:rPr>
      </w:r>
      <w:r>
        <w:rPr>
          <w:rFonts w:ascii="Arial" w:hAnsi="Arial" w:eastAsia="Arial" w:cs="Arial"/>
          <w:color w:val="404040"/>
          <w:sz w:val="24"/>
          <w:szCs w:val="24"/>
          <w14:ligatures w14:val="none"/>
        </w:rPr>
      </w:r>
    </w:p>
    <w:p>
      <w:pPr>
        <w:pStyle w:val="740"/>
        <w:ind w:left="0" w:right="0" w:firstLine="0"/>
        <w:spacing w:before="274" w:after="206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404040"/>
          <w:sz w:val="34"/>
        </w:rPr>
        <w:t xml:space="preserve">5. Исключения</w:t>
      </w:r>
      <w:r/>
    </w:p>
    <w:p>
      <w:pPr>
        <w:ind w:left="0" w:right="0" w:firstLine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</w:rPr>
        <w:t xml:space="preserve">Генеральный директор имеет право отклонить переход, при:</w:t>
      </w:r>
      <w:r/>
    </w:p>
    <w:p>
      <w:pPr>
        <w:pStyle w:val="918"/>
        <w:numPr>
          <w:ilvl w:val="0"/>
          <w:numId w:val="29"/>
        </w:num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</w:rPr>
        <w:t xml:space="preserve">Отсутствии бизнес-потребности.</w:t>
      </w:r>
      <w:r/>
    </w:p>
    <w:p>
      <w:pPr>
        <w:pStyle w:val="918"/>
        <w:numPr>
          <w:ilvl w:val="0"/>
          <w:numId w:val="29"/>
        </w:numPr>
        <w:ind w:right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</w:rPr>
        <w:t xml:space="preserve">Нарушении  workflow критических процессов.</w:t>
      </w:r>
      <w:r/>
    </w:p>
    <w:p>
      <w:pPr>
        <w:ind w:left="0" w:right="0" w:firstLine="0"/>
        <w:spacing w:before="0" w:after="0" w:line="42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</w:rPr>
        <w:t xml:space="preserve">Спорные вопросы решаются на уровне HRD и топ-менеджмента.</w:t>
      </w:r>
      <w:r/>
    </w:p>
    <w:p>
      <w:pPr>
        <w:ind w:left="0" w:right="0" w:firstLine="0"/>
        <w:spacing w:before="206" w:after="206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404040"/>
          <w:sz w:val="24"/>
          <w:highlight w:val="none"/>
        </w:rPr>
      </w:r>
      <w:r>
        <w:rPr>
          <w:rFonts w:ascii="Arial" w:hAnsi="Arial" w:eastAsia="Arial" w:cs="Arial"/>
          <w:color w:val="404040"/>
          <w:sz w:val="24"/>
          <w:highlight w:val="none"/>
        </w:rPr>
      </w:r>
      <w:r/>
    </w:p>
    <w:p>
      <w:pPr>
        <w:ind w:left="0" w:right="0" w:firstLine="0"/>
        <w:spacing w:before="206" w:after="206" w:line="428" w:lineRule="atLeast"/>
        <w:shd w:val="clear" w:color="ffffff" w:fill="ffffff"/>
        <w:rPr>
          <w:rFonts w:ascii="Arial" w:hAnsi="Arial" w:eastAsia="Arial" w:cs="Arial"/>
          <w:color w:val="40404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 w:val="0"/>
          <w:bCs w:val="0"/>
          <w:color w:val="404040"/>
          <w:sz w:val="24"/>
        </w:rPr>
        <w:t xml:space="preserve">Ответственный за исполнение</w:t>
      </w:r>
      <w:r>
        <w:rPr>
          <w:rFonts w:ascii="Arial" w:hAnsi="Arial" w:eastAsia="Arial" w:cs="Arial"/>
          <w:b/>
          <w:color w:val="404040"/>
          <w:sz w:val="24"/>
        </w:rPr>
        <w:t xml:space="preserve">:</w:t>
      </w:r>
      <w:r>
        <w:rPr>
          <w:rFonts w:ascii="Arial" w:hAnsi="Arial" w:eastAsia="Arial" w:cs="Arial"/>
          <w:color w:val="404040"/>
          <w:sz w:val="24"/>
        </w:rPr>
        <w:t xml:space="preserve"> Директор Департамента по управлению персоналом.</w:t>
        <w:br/>
      </w:r>
      <w:r>
        <w:rPr>
          <w:rFonts w:ascii="Arial" w:hAnsi="Arial" w:eastAsia="Arial" w:cs="Arial"/>
          <w:color w:val="404040"/>
          <w:sz w:val="24"/>
          <w:szCs w:val="24"/>
          <w:highlight w:val="none"/>
        </w:rPr>
      </w:r>
    </w:p>
    <w:p>
      <w:pPr>
        <w:ind w:left="0" w:right="0" w:firstLine="0"/>
        <w:spacing w:before="206" w:after="0" w:line="428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/>
          <w:color w:val="404040"/>
          <w:sz w:val="24"/>
        </w:rPr>
        <w:t xml:space="preserve">Одобрено: [ФИО, должность]</w:t>
        <w:br/>
        <w:t xml:space="preserve">Дата утверждения: [ДД.ММ.ГГГГ]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992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40404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40404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40404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40404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40404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o"/>
      <w:lvlJc w:val="left"/>
      <w:pPr>
        <w:ind w:left="720" w:hanging="360"/>
      </w:pPr>
      <w:rPr>
        <w:rFonts w:ascii="Courier New" w:hAnsi="Courier New" w:eastAsia="Courier New" w:cs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40404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40404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40404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40404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40404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40404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40404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40404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404040"/>
        <w:sz w:val="24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38">
    <w:name w:val="Heading 1"/>
    <w:basedOn w:val="914"/>
    <w:next w:val="914"/>
    <w:link w:val="73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39">
    <w:name w:val="Heading 1 Char"/>
    <w:link w:val="738"/>
    <w:uiPriority w:val="9"/>
    <w:rPr>
      <w:rFonts w:ascii="Arial" w:hAnsi="Arial" w:eastAsia="Arial" w:cs="Arial"/>
      <w:sz w:val="40"/>
      <w:szCs w:val="40"/>
    </w:rPr>
  </w:style>
  <w:style w:type="paragraph" w:styleId="740">
    <w:name w:val="Heading 2"/>
    <w:basedOn w:val="914"/>
    <w:next w:val="914"/>
    <w:link w:val="74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1">
    <w:name w:val="Heading 2 Char"/>
    <w:link w:val="740"/>
    <w:uiPriority w:val="9"/>
    <w:rPr>
      <w:rFonts w:ascii="Arial" w:hAnsi="Arial" w:eastAsia="Arial" w:cs="Arial"/>
      <w:sz w:val="34"/>
    </w:rPr>
  </w:style>
  <w:style w:type="paragraph" w:styleId="742">
    <w:name w:val="Heading 3"/>
    <w:basedOn w:val="914"/>
    <w:next w:val="914"/>
    <w:link w:val="74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3">
    <w:name w:val="Heading 3 Char"/>
    <w:link w:val="742"/>
    <w:uiPriority w:val="9"/>
    <w:rPr>
      <w:rFonts w:ascii="Arial" w:hAnsi="Arial" w:eastAsia="Arial" w:cs="Arial"/>
      <w:sz w:val="30"/>
      <w:szCs w:val="30"/>
    </w:rPr>
  </w:style>
  <w:style w:type="paragraph" w:styleId="744">
    <w:name w:val="Heading 4"/>
    <w:basedOn w:val="914"/>
    <w:next w:val="914"/>
    <w:link w:val="74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5">
    <w:name w:val="Heading 4 Char"/>
    <w:link w:val="744"/>
    <w:uiPriority w:val="9"/>
    <w:rPr>
      <w:rFonts w:ascii="Arial" w:hAnsi="Arial" w:eastAsia="Arial" w:cs="Arial"/>
      <w:b/>
      <w:bCs/>
      <w:sz w:val="26"/>
      <w:szCs w:val="26"/>
    </w:rPr>
  </w:style>
  <w:style w:type="paragraph" w:styleId="746">
    <w:name w:val="Heading 5"/>
    <w:basedOn w:val="914"/>
    <w:next w:val="914"/>
    <w:link w:val="74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47">
    <w:name w:val="Heading 5 Char"/>
    <w:link w:val="746"/>
    <w:uiPriority w:val="9"/>
    <w:rPr>
      <w:rFonts w:ascii="Arial" w:hAnsi="Arial" w:eastAsia="Arial" w:cs="Arial"/>
      <w:b/>
      <w:bCs/>
      <w:sz w:val="24"/>
      <w:szCs w:val="24"/>
    </w:rPr>
  </w:style>
  <w:style w:type="paragraph" w:styleId="748">
    <w:name w:val="Heading 6"/>
    <w:basedOn w:val="914"/>
    <w:next w:val="914"/>
    <w:link w:val="74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9">
    <w:name w:val="Heading 6 Char"/>
    <w:link w:val="748"/>
    <w:uiPriority w:val="9"/>
    <w:rPr>
      <w:rFonts w:ascii="Arial" w:hAnsi="Arial" w:eastAsia="Arial" w:cs="Arial"/>
      <w:b/>
      <w:bCs/>
      <w:sz w:val="22"/>
      <w:szCs w:val="22"/>
    </w:rPr>
  </w:style>
  <w:style w:type="paragraph" w:styleId="750">
    <w:name w:val="Heading 7"/>
    <w:basedOn w:val="914"/>
    <w:next w:val="914"/>
    <w:link w:val="75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1">
    <w:name w:val="Heading 7 Char"/>
    <w:link w:val="75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2">
    <w:name w:val="Heading 8"/>
    <w:basedOn w:val="914"/>
    <w:next w:val="914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3">
    <w:name w:val="Heading 8 Char"/>
    <w:link w:val="752"/>
    <w:uiPriority w:val="9"/>
    <w:rPr>
      <w:rFonts w:ascii="Arial" w:hAnsi="Arial" w:eastAsia="Arial" w:cs="Arial"/>
      <w:i/>
      <w:iCs/>
      <w:sz w:val="22"/>
      <w:szCs w:val="22"/>
    </w:rPr>
  </w:style>
  <w:style w:type="paragraph" w:styleId="754">
    <w:name w:val="Heading 9"/>
    <w:basedOn w:val="914"/>
    <w:next w:val="914"/>
    <w:link w:val="75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5">
    <w:name w:val="Heading 9 Char"/>
    <w:link w:val="754"/>
    <w:uiPriority w:val="9"/>
    <w:rPr>
      <w:rFonts w:ascii="Arial" w:hAnsi="Arial" w:eastAsia="Arial" w:cs="Arial"/>
      <w:i/>
      <w:iCs/>
      <w:sz w:val="21"/>
      <w:szCs w:val="21"/>
    </w:rPr>
  </w:style>
  <w:style w:type="paragraph" w:styleId="756">
    <w:name w:val="Title"/>
    <w:basedOn w:val="914"/>
    <w:next w:val="914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>
    <w:name w:val="Title Char"/>
    <w:link w:val="756"/>
    <w:uiPriority w:val="10"/>
    <w:rPr>
      <w:sz w:val="48"/>
      <w:szCs w:val="48"/>
    </w:rPr>
  </w:style>
  <w:style w:type="paragraph" w:styleId="758">
    <w:name w:val="Subtitle"/>
    <w:basedOn w:val="914"/>
    <w:next w:val="914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>
    <w:name w:val="Subtitle Char"/>
    <w:link w:val="758"/>
    <w:uiPriority w:val="11"/>
    <w:rPr>
      <w:sz w:val="24"/>
      <w:szCs w:val="24"/>
    </w:rPr>
  </w:style>
  <w:style w:type="paragraph" w:styleId="760">
    <w:name w:val="Quote"/>
    <w:basedOn w:val="914"/>
    <w:next w:val="914"/>
    <w:link w:val="761"/>
    <w:uiPriority w:val="29"/>
    <w:qFormat/>
    <w:pPr>
      <w:ind w:left="720" w:right="720"/>
    </w:pPr>
    <w:rPr>
      <w:i/>
    </w:rPr>
  </w:style>
  <w:style w:type="character" w:styleId="761">
    <w:name w:val="Quote Char"/>
    <w:link w:val="760"/>
    <w:uiPriority w:val="29"/>
    <w:rPr>
      <w:i/>
    </w:rPr>
  </w:style>
  <w:style w:type="paragraph" w:styleId="762">
    <w:name w:val="Intense Quote"/>
    <w:basedOn w:val="914"/>
    <w:next w:val="914"/>
    <w:link w:val="76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>
    <w:name w:val="Intense Quote Char"/>
    <w:link w:val="762"/>
    <w:uiPriority w:val="30"/>
    <w:rPr>
      <w:i/>
    </w:rPr>
  </w:style>
  <w:style w:type="paragraph" w:styleId="764">
    <w:name w:val="Header"/>
    <w:basedOn w:val="914"/>
    <w:link w:val="7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5">
    <w:name w:val="Header Char"/>
    <w:link w:val="764"/>
    <w:uiPriority w:val="99"/>
  </w:style>
  <w:style w:type="paragraph" w:styleId="766">
    <w:name w:val="Footer"/>
    <w:basedOn w:val="914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7">
    <w:name w:val="Footer Char"/>
    <w:link w:val="766"/>
    <w:uiPriority w:val="99"/>
  </w:style>
  <w:style w:type="paragraph" w:styleId="768">
    <w:name w:val="Caption"/>
    <w:basedOn w:val="914"/>
    <w:next w:val="914"/>
    <w:link w:val="76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69">
    <w:name w:val="Caption Char"/>
    <w:basedOn w:val="768"/>
    <w:link w:val="766"/>
    <w:uiPriority w:val="99"/>
  </w:style>
  <w:style w:type="table" w:styleId="770">
    <w:name w:val="Table Grid"/>
    <w:basedOn w:val="91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1">
    <w:name w:val="Table Grid Light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2">
    <w:name w:val="Plain Table 1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3">
    <w:name w:val="Plain Table 2"/>
    <w:basedOn w:val="91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5">
    <w:name w:val="Plain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Plain Table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7">
    <w:name w:val="Grid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Grid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Grid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9">
    <w:name w:val="Grid Table 4 - Accent 1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0">
    <w:name w:val="Grid Table 4 - Accent 2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Grid Table 4 - Accent 3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2">
    <w:name w:val="Grid Table 4 - Accent 4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Grid Table 4 - Accent 5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4">
    <w:name w:val="Grid Table 4 - Accent 6"/>
    <w:basedOn w:val="91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5">
    <w:name w:val="Grid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06">
    <w:name w:val="Grid Table 5 Dark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07">
    <w:name w:val="Grid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08">
    <w:name w:val="Grid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09">
    <w:name w:val="Grid Table 5 Dark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0">
    <w:name w:val="Grid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2">
    <w:name w:val="Grid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3">
    <w:name w:val="Grid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4">
    <w:name w:val="Grid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5">
    <w:name w:val="Grid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16">
    <w:name w:val="Grid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17">
    <w:name w:val="Grid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8">
    <w:name w:val="Grid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19">
    <w:name w:val="Grid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Grid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List Table 1 Light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List Table 1 Light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List Table 1 Light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List Table 1 Light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4">
    <w:name w:val="List Table 2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5">
    <w:name w:val="List Table 2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36">
    <w:name w:val="List Table 2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37">
    <w:name w:val="List Table 2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38">
    <w:name w:val="List Table 2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39">
    <w:name w:val="List Table 2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0">
    <w:name w:val="List Table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List Table 3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>
    <w:name w:val="List Table 3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List Table 3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3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4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4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4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5 Dark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5">
    <w:name w:val="List Table 5 Dark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6">
    <w:name w:val="List Table 5 Dark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7">
    <w:name w:val="List Table 5 Dark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8">
    <w:name w:val="List Table 5 Dark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6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2">
    <w:name w:val="List Table 6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3">
    <w:name w:val="List Table 6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4">
    <w:name w:val="List Table 6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5">
    <w:name w:val="List Table 6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66">
    <w:name w:val="List Table 6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67">
    <w:name w:val="List Table 6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68">
    <w:name w:val="List Table 7 Colorful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69">
    <w:name w:val="List Table 7 Colorful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0">
    <w:name w:val="List Table 7 Colorful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1">
    <w:name w:val="List Table 7 Colorful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2">
    <w:name w:val="List Table 7 Colorful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3">
    <w:name w:val="List Table 7 Colorful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4">
    <w:name w:val="List Table 7 Colorful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5">
    <w:name w:val="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76">
    <w:name w:val="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77">
    <w:name w:val="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78">
    <w:name w:val="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9">
    <w:name w:val="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0">
    <w:name w:val="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1">
    <w:name w:val="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2">
    <w:name w:val="Bordered &amp; Lined - Accent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3">
    <w:name w:val="Bordered &amp; Lined - Accent 1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4">
    <w:name w:val="Bordered &amp; Lined - Accent 2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5">
    <w:name w:val="Bordered &amp; Lined - Accent 3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6">
    <w:name w:val="Bordered &amp; Lined - Accent 4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7">
    <w:name w:val="Bordered &amp; Lined - Accent 5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8">
    <w:name w:val="Bordered &amp; Lined - Accent 6"/>
    <w:basedOn w:val="91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9">
    <w:name w:val="Bordered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0">
    <w:name w:val="Bordered - Accent 1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1">
    <w:name w:val="Bordered - Accent 2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2">
    <w:name w:val="Bordered - Accent 3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3">
    <w:name w:val="Bordered - Accent 4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4">
    <w:name w:val="Bordered - Accent 5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5">
    <w:name w:val="Bordered - Accent 6"/>
    <w:basedOn w:val="91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96">
    <w:name w:val="Hyperlink"/>
    <w:uiPriority w:val="99"/>
    <w:unhideWhenUsed/>
    <w:rPr>
      <w:color w:val="0000ff" w:themeColor="hyperlink"/>
      <w:u w:val="single"/>
    </w:rPr>
  </w:style>
  <w:style w:type="paragraph" w:styleId="897">
    <w:name w:val="footnote text"/>
    <w:basedOn w:val="914"/>
    <w:link w:val="898"/>
    <w:uiPriority w:val="99"/>
    <w:semiHidden/>
    <w:unhideWhenUsed/>
    <w:pPr>
      <w:spacing w:after="40" w:line="240" w:lineRule="auto"/>
    </w:pPr>
    <w:rPr>
      <w:sz w:val="18"/>
    </w:rPr>
  </w:style>
  <w:style w:type="character" w:styleId="898">
    <w:name w:val="Footnote Text Char"/>
    <w:link w:val="897"/>
    <w:uiPriority w:val="99"/>
    <w:rPr>
      <w:sz w:val="18"/>
    </w:rPr>
  </w:style>
  <w:style w:type="character" w:styleId="899">
    <w:name w:val="footnote reference"/>
    <w:uiPriority w:val="99"/>
    <w:unhideWhenUsed/>
    <w:rPr>
      <w:vertAlign w:val="superscript"/>
    </w:rPr>
  </w:style>
  <w:style w:type="paragraph" w:styleId="900">
    <w:name w:val="endnote text"/>
    <w:basedOn w:val="914"/>
    <w:link w:val="901"/>
    <w:uiPriority w:val="99"/>
    <w:semiHidden/>
    <w:unhideWhenUsed/>
    <w:pPr>
      <w:spacing w:after="0" w:line="240" w:lineRule="auto"/>
    </w:pPr>
    <w:rPr>
      <w:sz w:val="20"/>
    </w:rPr>
  </w:style>
  <w:style w:type="character" w:styleId="901">
    <w:name w:val="Endnote Text Char"/>
    <w:link w:val="900"/>
    <w:uiPriority w:val="99"/>
    <w:rPr>
      <w:sz w:val="20"/>
    </w:rPr>
  </w:style>
  <w:style w:type="character" w:styleId="902">
    <w:name w:val="endnote reference"/>
    <w:uiPriority w:val="99"/>
    <w:semiHidden/>
    <w:unhideWhenUsed/>
    <w:rPr>
      <w:vertAlign w:val="superscript"/>
    </w:rPr>
  </w:style>
  <w:style w:type="paragraph" w:styleId="903">
    <w:name w:val="toc 1"/>
    <w:basedOn w:val="914"/>
    <w:next w:val="914"/>
    <w:uiPriority w:val="39"/>
    <w:unhideWhenUsed/>
    <w:pPr>
      <w:ind w:left="0" w:right="0" w:firstLine="0"/>
      <w:spacing w:after="57"/>
    </w:pPr>
  </w:style>
  <w:style w:type="paragraph" w:styleId="904">
    <w:name w:val="toc 2"/>
    <w:basedOn w:val="914"/>
    <w:next w:val="914"/>
    <w:uiPriority w:val="39"/>
    <w:unhideWhenUsed/>
    <w:pPr>
      <w:ind w:left="283" w:right="0" w:firstLine="0"/>
      <w:spacing w:after="57"/>
    </w:pPr>
  </w:style>
  <w:style w:type="paragraph" w:styleId="905">
    <w:name w:val="toc 3"/>
    <w:basedOn w:val="914"/>
    <w:next w:val="914"/>
    <w:uiPriority w:val="39"/>
    <w:unhideWhenUsed/>
    <w:pPr>
      <w:ind w:left="567" w:right="0" w:firstLine="0"/>
      <w:spacing w:after="57"/>
    </w:pPr>
  </w:style>
  <w:style w:type="paragraph" w:styleId="906">
    <w:name w:val="toc 4"/>
    <w:basedOn w:val="914"/>
    <w:next w:val="914"/>
    <w:uiPriority w:val="39"/>
    <w:unhideWhenUsed/>
    <w:pPr>
      <w:ind w:left="850" w:right="0" w:firstLine="0"/>
      <w:spacing w:after="57"/>
    </w:pPr>
  </w:style>
  <w:style w:type="paragraph" w:styleId="907">
    <w:name w:val="toc 5"/>
    <w:basedOn w:val="914"/>
    <w:next w:val="914"/>
    <w:uiPriority w:val="39"/>
    <w:unhideWhenUsed/>
    <w:pPr>
      <w:ind w:left="1134" w:right="0" w:firstLine="0"/>
      <w:spacing w:after="57"/>
    </w:pPr>
  </w:style>
  <w:style w:type="paragraph" w:styleId="908">
    <w:name w:val="toc 6"/>
    <w:basedOn w:val="914"/>
    <w:next w:val="914"/>
    <w:uiPriority w:val="39"/>
    <w:unhideWhenUsed/>
    <w:pPr>
      <w:ind w:left="1417" w:right="0" w:firstLine="0"/>
      <w:spacing w:after="57"/>
    </w:pPr>
  </w:style>
  <w:style w:type="paragraph" w:styleId="909">
    <w:name w:val="toc 7"/>
    <w:basedOn w:val="914"/>
    <w:next w:val="914"/>
    <w:uiPriority w:val="39"/>
    <w:unhideWhenUsed/>
    <w:pPr>
      <w:ind w:left="1701" w:right="0" w:firstLine="0"/>
      <w:spacing w:after="57"/>
    </w:pPr>
  </w:style>
  <w:style w:type="paragraph" w:styleId="910">
    <w:name w:val="toc 8"/>
    <w:basedOn w:val="914"/>
    <w:next w:val="914"/>
    <w:uiPriority w:val="39"/>
    <w:unhideWhenUsed/>
    <w:pPr>
      <w:ind w:left="1984" w:right="0" w:firstLine="0"/>
      <w:spacing w:after="57"/>
    </w:pPr>
  </w:style>
  <w:style w:type="paragraph" w:styleId="911">
    <w:name w:val="toc 9"/>
    <w:basedOn w:val="914"/>
    <w:next w:val="914"/>
    <w:uiPriority w:val="39"/>
    <w:unhideWhenUsed/>
    <w:pPr>
      <w:ind w:left="2268" w:right="0" w:firstLine="0"/>
      <w:spacing w:after="57"/>
    </w:pPr>
  </w:style>
  <w:style w:type="paragraph" w:styleId="912">
    <w:name w:val="TOC Heading"/>
    <w:uiPriority w:val="39"/>
    <w:unhideWhenUsed/>
  </w:style>
  <w:style w:type="paragraph" w:styleId="913">
    <w:name w:val="table of figures"/>
    <w:basedOn w:val="914"/>
    <w:next w:val="914"/>
    <w:uiPriority w:val="99"/>
    <w:unhideWhenUsed/>
    <w:pPr>
      <w:spacing w:after="0" w:afterAutospacing="0"/>
    </w:pPr>
  </w:style>
  <w:style w:type="paragraph" w:styleId="914" w:default="1">
    <w:name w:val="Normal"/>
    <w:qFormat/>
  </w:style>
  <w:style w:type="table" w:styleId="91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16" w:default="1">
    <w:name w:val="No List"/>
    <w:uiPriority w:val="99"/>
    <w:semiHidden/>
    <w:unhideWhenUsed/>
  </w:style>
  <w:style w:type="paragraph" w:styleId="917">
    <w:name w:val="No Spacing"/>
    <w:basedOn w:val="914"/>
    <w:uiPriority w:val="1"/>
    <w:qFormat/>
    <w:pPr>
      <w:spacing w:after="0" w:line="240" w:lineRule="auto"/>
    </w:pPr>
  </w:style>
  <w:style w:type="paragraph" w:styleId="918">
    <w:name w:val="List Paragraph"/>
    <w:basedOn w:val="914"/>
    <w:uiPriority w:val="34"/>
    <w:qFormat/>
    <w:pPr>
      <w:contextualSpacing/>
      <w:ind w:left="720"/>
    </w:pPr>
  </w:style>
  <w:style w:type="character" w:styleId="91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r7-office/2025.3.1.923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Мария Смирнова</cp:lastModifiedBy>
  <cp:revision>13</cp:revision>
  <dcterms:modified xsi:type="dcterms:W3CDTF">2025-11-09T18:08:52Z</dcterms:modified>
</cp:coreProperties>
</file>